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479A0" w14:textId="0D061C91" w:rsidR="007F695E" w:rsidRPr="00DD724C" w:rsidRDefault="00D24778" w:rsidP="009F5DC9">
      <w:pPr>
        <w:pStyle w:val="ETCBodyCopy"/>
        <w:spacing w:before="0" w:after="0" w:line="276" w:lineRule="auto"/>
        <w:rPr>
          <w:b/>
          <w:i/>
          <w:iCs/>
          <w:color w:val="002060"/>
          <w:sz w:val="28"/>
          <w:szCs w:val="21"/>
        </w:rPr>
      </w:pPr>
      <w:r w:rsidRPr="00AF6AF5">
        <w:rPr>
          <w:b/>
          <w:color w:val="002060"/>
          <w:sz w:val="28"/>
          <w:szCs w:val="21"/>
        </w:rPr>
        <w:t>How to trigger initial deployment of zero-carbon technologies</w:t>
      </w:r>
      <w:r>
        <w:rPr>
          <w:b/>
          <w:color w:val="002060"/>
          <w:sz w:val="28"/>
          <w:szCs w:val="21"/>
        </w:rPr>
        <w:t xml:space="preserve"> – Steel briefing note</w:t>
      </w:r>
    </w:p>
    <w:p w14:paraId="500CDA7A" w14:textId="77777777" w:rsidR="002E1177" w:rsidRPr="00042C01" w:rsidRDefault="002E1177" w:rsidP="002E1177">
      <w:pPr>
        <w:pStyle w:val="ETCBodyCopy"/>
        <w:spacing w:before="0" w:after="140"/>
        <w:rPr>
          <w:b/>
          <w:color w:val="002060"/>
          <w:sz w:val="28"/>
          <w:szCs w:val="21"/>
        </w:rPr>
      </w:pPr>
    </w:p>
    <w:p w14:paraId="79432E06" w14:textId="0D277DF1" w:rsidR="0098058D" w:rsidRDefault="000403E4"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CONTEXT: Steel production and carbon emissions</w:t>
      </w:r>
    </w:p>
    <w:p w14:paraId="3F1741BF" w14:textId="66D4133E" w:rsidR="00223850" w:rsidRPr="00223850" w:rsidRDefault="00223850" w:rsidP="00223850">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sidRPr="00042C01">
        <w:rPr>
          <w:rStyle w:val="normaltextrun"/>
          <w:rFonts w:ascii="Century Gothic" w:hAnsi="Century Gothic" w:cs="Arial"/>
          <w:i/>
          <w:iCs/>
          <w:color w:val="002060"/>
          <w:sz w:val="22"/>
          <w:szCs w:val="22"/>
        </w:rPr>
        <w:t>Current production processes and aggregate demand make steel one of the highest emitting sectors of the global economy</w:t>
      </w:r>
      <w:r>
        <w:rPr>
          <w:rStyle w:val="normaltextrun"/>
          <w:rFonts w:ascii="Century Gothic" w:hAnsi="Century Gothic" w:cs="Arial"/>
          <w:i/>
          <w:iCs/>
          <w:color w:val="002060"/>
          <w:sz w:val="22"/>
          <w:szCs w:val="22"/>
        </w:rPr>
        <w:t>.</w:t>
      </w:r>
    </w:p>
    <w:p w14:paraId="48833073" w14:textId="240888CA" w:rsidR="00E4107B" w:rsidRDefault="00E4107B" w:rsidP="006B3044">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 xml:space="preserve">Energy-related emissions from the iron and steel industry currently amount to circa 2.3Gt </w:t>
      </w:r>
      <w:r w:rsidR="001C1A74">
        <w:rPr>
          <w:rFonts w:ascii="Century Gothic" w:hAnsi="Century Gothic" w:cstheme="minorHAnsi"/>
          <w:sz w:val="20"/>
          <w:szCs w:val="21"/>
        </w:rPr>
        <w:t>CO2</w:t>
      </w:r>
      <w:r w:rsidRPr="00042C01">
        <w:rPr>
          <w:rFonts w:ascii="Century Gothic" w:hAnsi="Century Gothic" w:cstheme="minorHAnsi"/>
          <w:sz w:val="20"/>
          <w:szCs w:val="21"/>
        </w:rPr>
        <w:t>, accounting for 7% of total global emissions from the energy system. However, under a business-as-usual scenario, they would grow to 3.3Gt by 2050, representing 7.5% of global emissions and 34% of the industry sector emissions</w:t>
      </w:r>
      <w:r w:rsidR="00B55356">
        <w:rPr>
          <w:rStyle w:val="FootnoteReference"/>
          <w:rFonts w:ascii="Century Gothic" w:hAnsi="Century Gothic" w:cstheme="minorHAnsi"/>
          <w:sz w:val="20"/>
          <w:szCs w:val="21"/>
        </w:rPr>
        <w:footnoteReference w:id="2"/>
      </w:r>
      <w:r w:rsidRPr="00042C01">
        <w:rPr>
          <w:rFonts w:ascii="Century Gothic" w:hAnsi="Century Gothic" w:cstheme="minorHAnsi"/>
          <w:sz w:val="20"/>
          <w:szCs w:val="21"/>
        </w:rPr>
        <w:t>.</w:t>
      </w:r>
    </w:p>
    <w:p w14:paraId="290A25CC" w14:textId="0707F942" w:rsidR="0023722F" w:rsidRPr="006916F7" w:rsidRDefault="0023722F" w:rsidP="00145746">
      <w:pPr>
        <w:pStyle w:val="ListParagraph"/>
        <w:numPr>
          <w:ilvl w:val="1"/>
          <w:numId w:val="1"/>
        </w:numPr>
        <w:spacing w:before="40" w:after="120"/>
        <w:ind w:left="426"/>
        <w:contextualSpacing w:val="0"/>
        <w:rPr>
          <w:rFonts w:ascii="Century Gothic" w:hAnsi="Century Gothic" w:cstheme="minorHAnsi"/>
          <w:sz w:val="20"/>
          <w:szCs w:val="21"/>
        </w:rPr>
      </w:pPr>
      <w:r w:rsidRPr="006916F7">
        <w:rPr>
          <w:rFonts w:ascii="Century Gothic" w:hAnsi="Century Gothic" w:cstheme="minorHAnsi"/>
          <w:sz w:val="20"/>
          <w:szCs w:val="21"/>
        </w:rPr>
        <w:t>China currently produces about half of global steel production, but local demand is expected to slow down in the coming decades</w:t>
      </w:r>
      <w:r w:rsidR="00145746" w:rsidRPr="006916F7">
        <w:rPr>
          <w:rFonts w:ascii="Century Gothic" w:hAnsi="Century Gothic" w:cstheme="minorHAnsi"/>
          <w:sz w:val="20"/>
          <w:szCs w:val="21"/>
        </w:rPr>
        <w:t xml:space="preserve"> (-30% by 2050). Despite expected increases in demand in India, South East Asia and Africa, the global overcapacity situation is likely to be reinforced. Total global steel demand was 1,808 Mt in 2018</w:t>
      </w:r>
      <w:r w:rsidR="00237E84" w:rsidRPr="006916F7">
        <w:rPr>
          <w:rStyle w:val="FootnoteReference"/>
          <w:rFonts w:ascii="Century Gothic" w:hAnsi="Century Gothic" w:cstheme="minorHAnsi"/>
          <w:sz w:val="20"/>
          <w:szCs w:val="21"/>
        </w:rPr>
        <w:footnoteReference w:id="3"/>
      </w:r>
      <w:r w:rsidR="00145746" w:rsidRPr="006916F7">
        <w:rPr>
          <w:rFonts w:ascii="Century Gothic" w:hAnsi="Century Gothic" w:cstheme="minorHAnsi"/>
          <w:sz w:val="20"/>
          <w:szCs w:val="21"/>
        </w:rPr>
        <w:t>, while global steel production capacity is 2,234 Mt/year</w:t>
      </w:r>
      <w:r w:rsidR="00616C69" w:rsidRPr="006916F7">
        <w:rPr>
          <w:rStyle w:val="FootnoteReference"/>
          <w:rFonts w:ascii="Century Gothic" w:hAnsi="Century Gothic" w:cstheme="minorHAnsi"/>
          <w:sz w:val="20"/>
          <w:szCs w:val="21"/>
        </w:rPr>
        <w:footnoteReference w:id="4"/>
      </w:r>
      <w:r w:rsidR="00145746" w:rsidRPr="006916F7">
        <w:rPr>
          <w:rFonts w:ascii="Century Gothic" w:hAnsi="Century Gothic" w:cstheme="minorHAnsi"/>
          <w:sz w:val="20"/>
          <w:szCs w:val="21"/>
        </w:rPr>
        <w:t>.</w:t>
      </w:r>
      <w:r w:rsidR="007354D9" w:rsidRPr="006916F7">
        <w:rPr>
          <w:rFonts w:ascii="Century Gothic" w:hAnsi="Century Gothic" w:cstheme="minorHAnsi"/>
          <w:sz w:val="20"/>
          <w:szCs w:val="21"/>
        </w:rPr>
        <w:t xml:space="preserve"> Demand by 2050 is projected to be only 2,170 Mt/year</w:t>
      </w:r>
      <w:r w:rsidR="00664690" w:rsidRPr="006916F7">
        <w:rPr>
          <w:rStyle w:val="FootnoteReference"/>
          <w:rFonts w:ascii="Century Gothic" w:hAnsi="Century Gothic" w:cstheme="minorHAnsi"/>
          <w:sz w:val="20"/>
          <w:szCs w:val="21"/>
        </w:rPr>
        <w:footnoteReference w:id="5"/>
      </w:r>
      <w:r w:rsidR="007354D9" w:rsidRPr="006916F7">
        <w:rPr>
          <w:rFonts w:ascii="Century Gothic" w:hAnsi="Century Gothic" w:cstheme="minorHAnsi"/>
          <w:sz w:val="20"/>
          <w:szCs w:val="21"/>
        </w:rPr>
        <w:t>.</w:t>
      </w:r>
    </w:p>
    <w:p w14:paraId="197B7428" w14:textId="3788BDA4" w:rsidR="003A1E2A" w:rsidRPr="00042C01" w:rsidRDefault="003A1E2A" w:rsidP="003A1E2A">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 xml:space="preserve">Global steel production is relatively fragmented with </w:t>
      </w:r>
      <w:r>
        <w:rPr>
          <w:rFonts w:ascii="Century Gothic" w:hAnsi="Century Gothic" w:cstheme="minorHAnsi"/>
          <w:sz w:val="20"/>
          <w:szCs w:val="21"/>
        </w:rPr>
        <w:t>the</w:t>
      </w:r>
      <w:r w:rsidRPr="00042C01">
        <w:rPr>
          <w:rFonts w:ascii="Century Gothic" w:hAnsi="Century Gothic" w:cstheme="minorHAnsi"/>
          <w:sz w:val="20"/>
          <w:szCs w:val="21"/>
        </w:rPr>
        <w:t xml:space="preserve"> top 10 steel producers</w:t>
      </w:r>
      <w:r>
        <w:rPr>
          <w:rFonts w:ascii="Century Gothic" w:hAnsi="Century Gothic" w:cstheme="minorHAnsi"/>
          <w:sz w:val="20"/>
          <w:szCs w:val="21"/>
        </w:rPr>
        <w:t xml:space="preserve"> capturing only 30% of the market altogether (also the Chinese industry is currently going through a consolidation process)</w:t>
      </w:r>
      <w:r w:rsidR="00DC3F9A">
        <w:rPr>
          <w:rStyle w:val="FootnoteReference"/>
          <w:rFonts w:ascii="Century Gothic" w:hAnsi="Century Gothic" w:cstheme="minorHAnsi"/>
          <w:sz w:val="20"/>
          <w:szCs w:val="21"/>
        </w:rPr>
        <w:footnoteReference w:id="6"/>
      </w:r>
      <w:r w:rsidRPr="00042C01">
        <w:rPr>
          <w:rFonts w:ascii="Century Gothic" w:hAnsi="Century Gothic" w:cstheme="minorHAnsi"/>
          <w:sz w:val="20"/>
          <w:szCs w:val="21"/>
        </w:rPr>
        <w:t>.</w:t>
      </w:r>
    </w:p>
    <w:p w14:paraId="09C79374" w14:textId="324A185F" w:rsidR="00492E07" w:rsidRPr="006916F7" w:rsidRDefault="00492E07" w:rsidP="006B3044">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Steel production is split </w:t>
      </w:r>
      <w:r w:rsidRPr="006916F7">
        <w:rPr>
          <w:rFonts w:ascii="Century Gothic" w:hAnsi="Century Gothic" w:cstheme="minorHAnsi"/>
          <w:sz w:val="20"/>
          <w:szCs w:val="21"/>
        </w:rPr>
        <w:t xml:space="preserve">between virgin/primary production (from iron ore) and secondary production (from scrap steel). </w:t>
      </w:r>
      <w:r w:rsidR="007E01B5" w:rsidRPr="006916F7">
        <w:rPr>
          <w:rFonts w:ascii="Century Gothic" w:hAnsi="Century Gothic" w:cstheme="minorHAnsi"/>
          <w:sz w:val="20"/>
          <w:szCs w:val="21"/>
        </w:rPr>
        <w:t>Secondary production</w:t>
      </w:r>
      <w:commentRangeStart w:id="0"/>
      <w:commentRangeStart w:id="1"/>
      <w:commentRangeEnd w:id="0"/>
      <w:commentRangeEnd w:id="1"/>
      <w:r w:rsidR="007E01B5" w:rsidRPr="006916F7">
        <w:rPr>
          <w:rFonts w:ascii="Century Gothic" w:hAnsi="Century Gothic" w:cstheme="minorHAnsi"/>
          <w:sz w:val="20"/>
          <w:szCs w:val="21"/>
        </w:rPr>
        <w:t xml:space="preserve"> </w:t>
      </w:r>
      <w:r w:rsidRPr="006916F7">
        <w:rPr>
          <w:rFonts w:ascii="Century Gothic" w:hAnsi="Century Gothic" w:cstheme="minorHAnsi"/>
          <w:sz w:val="20"/>
          <w:szCs w:val="21"/>
        </w:rPr>
        <w:t xml:space="preserve">is generally cheaper than primary </w:t>
      </w:r>
      <w:proofErr w:type="gramStart"/>
      <w:r w:rsidRPr="006916F7">
        <w:rPr>
          <w:rFonts w:ascii="Century Gothic" w:hAnsi="Century Gothic" w:cstheme="minorHAnsi"/>
          <w:sz w:val="20"/>
          <w:szCs w:val="21"/>
        </w:rPr>
        <w:t>production, but</w:t>
      </w:r>
      <w:proofErr w:type="gramEnd"/>
      <w:r w:rsidRPr="006916F7">
        <w:rPr>
          <w:rFonts w:ascii="Century Gothic" w:hAnsi="Century Gothic" w:cstheme="minorHAnsi"/>
          <w:sz w:val="20"/>
          <w:szCs w:val="21"/>
        </w:rPr>
        <w:t xml:space="preserve"> limited by availability of scrap. </w:t>
      </w:r>
      <w:r w:rsidR="00843085" w:rsidRPr="006916F7">
        <w:rPr>
          <w:rFonts w:ascii="Century Gothic" w:hAnsi="Century Gothic" w:cstheme="minorHAnsi"/>
          <w:sz w:val="20"/>
          <w:szCs w:val="21"/>
        </w:rPr>
        <w:t xml:space="preserve">Recycled steel tends to be of lower quality than virgin steel because it retains whatever contaminants were present in the scrap steel. </w:t>
      </w:r>
      <w:r w:rsidRPr="006916F7">
        <w:rPr>
          <w:rFonts w:ascii="Century Gothic" w:hAnsi="Century Gothic" w:cstheme="minorHAnsi"/>
          <w:sz w:val="20"/>
          <w:szCs w:val="21"/>
        </w:rPr>
        <w:t>It currently represents about 23% of total production. This percentage is set to increase as greater stocks of scrap steel become available.</w:t>
      </w:r>
      <w:r w:rsidR="007E01B5" w:rsidRPr="006916F7">
        <w:rPr>
          <w:rFonts w:ascii="Century Gothic" w:hAnsi="Century Gothic" w:cstheme="minorHAnsi"/>
          <w:sz w:val="20"/>
          <w:szCs w:val="21"/>
        </w:rPr>
        <w:t xml:space="preserve"> </w:t>
      </w:r>
    </w:p>
    <w:p w14:paraId="2B6F16BF" w14:textId="77777777" w:rsidR="00843085" w:rsidRDefault="00492E07" w:rsidP="006B3044">
      <w:pPr>
        <w:pStyle w:val="ListParagraph"/>
        <w:numPr>
          <w:ilvl w:val="1"/>
          <w:numId w:val="1"/>
        </w:numPr>
        <w:spacing w:before="40" w:after="120"/>
        <w:ind w:left="426"/>
        <w:contextualSpacing w:val="0"/>
        <w:rPr>
          <w:rFonts w:ascii="Century Gothic" w:hAnsi="Century Gothic" w:cstheme="minorHAnsi"/>
          <w:sz w:val="20"/>
          <w:szCs w:val="21"/>
        </w:rPr>
      </w:pPr>
      <w:r w:rsidRPr="006916F7">
        <w:rPr>
          <w:rFonts w:ascii="Century Gothic" w:hAnsi="Century Gothic" w:cstheme="minorHAnsi"/>
          <w:sz w:val="20"/>
          <w:szCs w:val="21"/>
        </w:rPr>
        <w:t>Today, t</w:t>
      </w:r>
      <w:r w:rsidR="00145746" w:rsidRPr="006916F7">
        <w:rPr>
          <w:rFonts w:ascii="Century Gothic" w:hAnsi="Century Gothic" w:cstheme="minorHAnsi"/>
          <w:sz w:val="20"/>
          <w:szCs w:val="21"/>
        </w:rPr>
        <w:t>here are</w:t>
      </w:r>
      <w:r w:rsidR="008909FA" w:rsidRPr="006916F7">
        <w:rPr>
          <w:rFonts w:ascii="Century Gothic" w:hAnsi="Century Gothic" w:cstheme="minorHAnsi"/>
          <w:sz w:val="20"/>
          <w:szCs w:val="21"/>
        </w:rPr>
        <w:t xml:space="preserve"> </w:t>
      </w:r>
      <w:r w:rsidR="00145746" w:rsidRPr="006916F7">
        <w:rPr>
          <w:rFonts w:ascii="Century Gothic" w:hAnsi="Century Gothic" w:cstheme="minorHAnsi"/>
          <w:sz w:val="20"/>
          <w:szCs w:val="21"/>
        </w:rPr>
        <w:t>t</w:t>
      </w:r>
      <w:r w:rsidRPr="006916F7">
        <w:rPr>
          <w:rFonts w:ascii="Century Gothic" w:hAnsi="Century Gothic" w:cstheme="minorHAnsi"/>
          <w:sz w:val="20"/>
          <w:szCs w:val="21"/>
        </w:rPr>
        <w:t>wo</w:t>
      </w:r>
      <w:r w:rsidR="008909FA" w:rsidRPr="006916F7">
        <w:rPr>
          <w:rFonts w:ascii="Century Gothic" w:hAnsi="Century Gothic" w:cstheme="minorHAnsi"/>
          <w:sz w:val="20"/>
          <w:szCs w:val="21"/>
        </w:rPr>
        <w:t xml:space="preserve"> main production</w:t>
      </w:r>
      <w:r w:rsidR="008909FA" w:rsidRPr="00042C01">
        <w:rPr>
          <w:rFonts w:ascii="Century Gothic" w:hAnsi="Century Gothic" w:cstheme="minorHAnsi"/>
          <w:sz w:val="20"/>
          <w:szCs w:val="21"/>
        </w:rPr>
        <w:t xml:space="preserve"> processes for </w:t>
      </w:r>
      <w:r>
        <w:rPr>
          <w:rFonts w:ascii="Century Gothic" w:hAnsi="Century Gothic" w:cstheme="minorHAnsi"/>
          <w:sz w:val="20"/>
          <w:szCs w:val="21"/>
        </w:rPr>
        <w:t xml:space="preserve">virgin </w:t>
      </w:r>
      <w:r w:rsidR="008909FA" w:rsidRPr="00042C01">
        <w:rPr>
          <w:rFonts w:ascii="Century Gothic" w:hAnsi="Century Gothic" w:cstheme="minorHAnsi"/>
          <w:sz w:val="20"/>
          <w:szCs w:val="21"/>
        </w:rPr>
        <w:t xml:space="preserve">steel. The blast furnace-blast oxygen furnace (BF-BOF) process is used to make over </w:t>
      </w:r>
      <w:r>
        <w:rPr>
          <w:rFonts w:ascii="Century Gothic" w:hAnsi="Century Gothic" w:cstheme="minorHAnsi"/>
          <w:sz w:val="20"/>
          <w:szCs w:val="21"/>
        </w:rPr>
        <w:t>90%</w:t>
      </w:r>
      <w:r w:rsidR="008909FA" w:rsidRPr="00042C01">
        <w:rPr>
          <w:rFonts w:ascii="Century Gothic" w:hAnsi="Century Gothic" w:cstheme="minorHAnsi"/>
          <w:sz w:val="20"/>
          <w:szCs w:val="21"/>
        </w:rPr>
        <w:t xml:space="preserve"> of the world’s </w:t>
      </w:r>
      <w:r>
        <w:rPr>
          <w:rFonts w:ascii="Century Gothic" w:hAnsi="Century Gothic" w:cstheme="minorHAnsi"/>
          <w:sz w:val="20"/>
          <w:szCs w:val="21"/>
        </w:rPr>
        <w:t>virgin steel. It uses coal as energy source and reduction agent and produces 1.9-2.3 tonnes of CO2 per tonne of steel</w:t>
      </w:r>
      <w:r w:rsidR="008909FA" w:rsidRPr="00042C01">
        <w:rPr>
          <w:rFonts w:ascii="Century Gothic" w:hAnsi="Century Gothic" w:cstheme="minorHAnsi"/>
          <w:sz w:val="20"/>
          <w:szCs w:val="21"/>
        </w:rPr>
        <w:t xml:space="preserve">. The second </w:t>
      </w:r>
      <w:r>
        <w:rPr>
          <w:rFonts w:ascii="Century Gothic" w:hAnsi="Century Gothic" w:cstheme="minorHAnsi"/>
          <w:sz w:val="20"/>
          <w:szCs w:val="21"/>
        </w:rPr>
        <w:t xml:space="preserve">virgin </w:t>
      </w:r>
      <w:r w:rsidR="008909FA" w:rsidRPr="00042C01">
        <w:rPr>
          <w:rFonts w:ascii="Century Gothic" w:hAnsi="Century Gothic" w:cstheme="minorHAnsi"/>
          <w:sz w:val="20"/>
          <w:szCs w:val="21"/>
        </w:rPr>
        <w:t xml:space="preserve">steelmaking process </w:t>
      </w:r>
      <w:r>
        <w:rPr>
          <w:rFonts w:ascii="Century Gothic" w:hAnsi="Century Gothic" w:cstheme="minorHAnsi"/>
          <w:sz w:val="20"/>
          <w:szCs w:val="21"/>
        </w:rPr>
        <w:t>entails</w:t>
      </w:r>
      <w:r w:rsidR="008909FA" w:rsidRPr="00042C01">
        <w:rPr>
          <w:rFonts w:ascii="Century Gothic" w:hAnsi="Century Gothic" w:cstheme="minorHAnsi"/>
          <w:sz w:val="20"/>
          <w:szCs w:val="21"/>
        </w:rPr>
        <w:t xml:space="preserve"> </w:t>
      </w:r>
      <w:r w:rsidRPr="00042C01">
        <w:rPr>
          <w:rFonts w:ascii="Century Gothic" w:hAnsi="Century Gothic" w:cstheme="minorHAnsi"/>
          <w:sz w:val="20"/>
          <w:szCs w:val="21"/>
        </w:rPr>
        <w:t>direct</w:t>
      </w:r>
      <w:r>
        <w:rPr>
          <w:rFonts w:ascii="Century Gothic" w:hAnsi="Century Gothic" w:cstheme="minorHAnsi"/>
          <w:sz w:val="20"/>
          <w:szCs w:val="21"/>
        </w:rPr>
        <w:t xml:space="preserve"> reduction of</w:t>
      </w:r>
      <w:r w:rsidRPr="00042C01">
        <w:rPr>
          <w:rFonts w:ascii="Century Gothic" w:hAnsi="Century Gothic" w:cstheme="minorHAnsi"/>
          <w:sz w:val="20"/>
          <w:szCs w:val="21"/>
        </w:rPr>
        <w:t xml:space="preserve"> iron </w:t>
      </w:r>
      <w:r>
        <w:rPr>
          <w:rFonts w:ascii="Century Gothic" w:hAnsi="Century Gothic" w:cstheme="minorHAnsi"/>
          <w:sz w:val="20"/>
          <w:szCs w:val="21"/>
        </w:rPr>
        <w:t>(DRI) using gas, combined with an electric arc furnace (EAF). It produces roughly 1 tonne of CO2 per tonne of steel.</w:t>
      </w:r>
    </w:p>
    <w:p w14:paraId="07B4BF8C" w14:textId="41ED9E39" w:rsidR="00E4107B" w:rsidRPr="00445C70" w:rsidRDefault="00492E07" w:rsidP="006B3044">
      <w:pPr>
        <w:pStyle w:val="ListParagraph"/>
        <w:numPr>
          <w:ilvl w:val="1"/>
          <w:numId w:val="1"/>
        </w:numPr>
        <w:spacing w:before="40" w:after="120"/>
        <w:ind w:left="426"/>
        <w:contextualSpacing w:val="0"/>
        <w:rPr>
          <w:rFonts w:ascii="Century Gothic" w:hAnsi="Century Gothic" w:cstheme="minorHAnsi"/>
          <w:sz w:val="20"/>
          <w:szCs w:val="21"/>
        </w:rPr>
      </w:pPr>
      <w:r w:rsidRPr="00445C70">
        <w:rPr>
          <w:rFonts w:ascii="Century Gothic" w:hAnsi="Century Gothic" w:cstheme="minorHAnsi"/>
          <w:sz w:val="20"/>
          <w:szCs w:val="21"/>
        </w:rPr>
        <w:t>EAF is also used to produce scrap-based steel.</w:t>
      </w:r>
      <w:r w:rsidR="00843085" w:rsidRPr="00445C70">
        <w:rPr>
          <w:rFonts w:ascii="Century Gothic" w:hAnsi="Century Gothic" w:cstheme="minorHAnsi"/>
          <w:sz w:val="20"/>
          <w:szCs w:val="21"/>
        </w:rPr>
        <w:t xml:space="preserve"> This process can in principle be zero-carbon if the electricity input is zero-carbon.</w:t>
      </w:r>
    </w:p>
    <w:p w14:paraId="79CC3871" w14:textId="2B5E750F" w:rsidR="00445C70" w:rsidRPr="00D837B0" w:rsidRDefault="00445C70" w:rsidP="00445C70">
      <w:pPr>
        <w:pStyle w:val="ListParagraph"/>
        <w:numPr>
          <w:ilvl w:val="1"/>
          <w:numId w:val="1"/>
        </w:numPr>
        <w:spacing w:before="40" w:after="120"/>
        <w:ind w:left="426"/>
        <w:contextualSpacing w:val="0"/>
        <w:rPr>
          <w:rFonts w:ascii="Century Gothic" w:hAnsi="Century Gothic" w:cstheme="minorHAnsi"/>
          <w:sz w:val="20"/>
          <w:szCs w:val="21"/>
        </w:rPr>
      </w:pPr>
      <w:r w:rsidRPr="00D837B0">
        <w:rPr>
          <w:rFonts w:ascii="Century Gothic" w:hAnsi="Century Gothic" w:cstheme="minorHAnsi"/>
          <w:sz w:val="20"/>
          <w:szCs w:val="21"/>
        </w:rPr>
        <w:t>Steel is an internationally traded commodity. In 2018, 26% of steel was exported from the country in which it was made, and two-thirds of that was exported beyond its region of origin</w:t>
      </w:r>
      <w:r>
        <w:rPr>
          <w:rStyle w:val="FootnoteReference"/>
          <w:rFonts w:ascii="Century Gothic" w:hAnsi="Century Gothic" w:cstheme="minorHAnsi"/>
          <w:sz w:val="20"/>
          <w:szCs w:val="21"/>
        </w:rPr>
        <w:footnoteReference w:id="7"/>
      </w:r>
      <w:r w:rsidRPr="00D837B0">
        <w:rPr>
          <w:rFonts w:ascii="Century Gothic" w:hAnsi="Century Gothic" w:cstheme="minorHAnsi"/>
          <w:sz w:val="20"/>
          <w:szCs w:val="21"/>
        </w:rPr>
        <w:t xml:space="preserve">. China represents 15% of </w:t>
      </w:r>
      <w:r w:rsidR="003E53AB">
        <w:rPr>
          <w:rFonts w:ascii="Century Gothic" w:hAnsi="Century Gothic" w:cstheme="minorHAnsi"/>
          <w:sz w:val="20"/>
          <w:szCs w:val="21"/>
        </w:rPr>
        <w:t>total exports.</w:t>
      </w:r>
    </w:p>
    <w:p w14:paraId="144062CE" w14:textId="12ECAE4B" w:rsidR="00C67DDB" w:rsidRPr="00042C01" w:rsidRDefault="00C67DDB" w:rsidP="006B3044">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lastRenderedPageBreak/>
        <w:t>Steel can be sold and bought in over 3,500 different grades, ranging from bulk steel – such as rebar and construction steel – to a host of high-quality speciality steels. Speciality steel has larger amounts of alloying elements in order to change the properties in a desired way (e.g. alloy steel, stainless steel and tool steel). The price difference between bulk steel and speciality steel is substantial, with bulk steel costing between USD 400-600 per tonne and speciality steel sometimes costing more than USD 2,000 per tonne</w:t>
      </w:r>
      <w:r w:rsidR="00264E77">
        <w:rPr>
          <w:rStyle w:val="FootnoteReference"/>
          <w:rFonts w:ascii="Century Gothic" w:hAnsi="Century Gothic" w:cstheme="minorHAnsi"/>
          <w:sz w:val="20"/>
          <w:szCs w:val="21"/>
        </w:rPr>
        <w:footnoteReference w:id="8"/>
      </w:r>
      <w:r w:rsidRPr="00042C01">
        <w:rPr>
          <w:rFonts w:ascii="Century Gothic" w:hAnsi="Century Gothic" w:cstheme="minorHAnsi"/>
          <w:sz w:val="20"/>
          <w:szCs w:val="21"/>
        </w:rPr>
        <w:t>.</w:t>
      </w:r>
    </w:p>
    <w:p w14:paraId="418D481D" w14:textId="77777777" w:rsidR="000E1599" w:rsidRPr="00042C01" w:rsidRDefault="000E1599" w:rsidP="006B3044">
      <w:pPr>
        <w:spacing w:before="40" w:after="120"/>
        <w:ind w:left="66"/>
        <w:rPr>
          <w:rFonts w:ascii="Century Gothic" w:hAnsi="Century Gothic" w:cstheme="minorHAnsi"/>
          <w:sz w:val="20"/>
          <w:szCs w:val="21"/>
        </w:rPr>
      </w:pPr>
    </w:p>
    <w:p w14:paraId="56B58D17" w14:textId="5954B147" w:rsidR="00413A2E" w:rsidRPr="00042C01" w:rsidRDefault="00D9508B"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PATHWAYS: </w:t>
      </w:r>
      <w:r w:rsidR="000E1599">
        <w:rPr>
          <w:rStyle w:val="normaltextrun"/>
          <w:rFonts w:ascii="Century Gothic" w:hAnsi="Century Gothic" w:cs="Arial"/>
          <w:b/>
          <w:bCs/>
          <w:color w:val="002060"/>
          <w:sz w:val="22"/>
          <w:szCs w:val="22"/>
        </w:rPr>
        <w:t>How can steel be decarbonised?</w:t>
      </w:r>
    </w:p>
    <w:p w14:paraId="47922E62" w14:textId="66638CC7" w:rsidR="00994970" w:rsidRPr="00042C01" w:rsidRDefault="00994970" w:rsidP="00994970">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sidRPr="00042C01">
        <w:rPr>
          <w:rStyle w:val="normaltextrun"/>
          <w:rFonts w:ascii="Century Gothic" w:hAnsi="Century Gothic" w:cs="Arial"/>
          <w:i/>
          <w:iCs/>
          <w:color w:val="002060"/>
          <w:sz w:val="22"/>
          <w:szCs w:val="22"/>
        </w:rPr>
        <w:t xml:space="preserve">Decarbonising steel is technically </w:t>
      </w:r>
      <w:r w:rsidRPr="0081112F">
        <w:rPr>
          <w:rStyle w:val="normaltextrun"/>
          <w:rFonts w:ascii="Century Gothic" w:hAnsi="Century Gothic" w:cs="Arial"/>
          <w:i/>
          <w:iCs/>
          <w:color w:val="002060"/>
          <w:sz w:val="22"/>
          <w:szCs w:val="22"/>
        </w:rPr>
        <w:t>feasible</w:t>
      </w:r>
      <w:r w:rsidR="000E1599" w:rsidRPr="0081112F">
        <w:rPr>
          <w:rStyle w:val="normaltextrun"/>
          <w:rFonts w:ascii="Century Gothic" w:hAnsi="Century Gothic" w:cs="Arial"/>
          <w:i/>
          <w:iCs/>
          <w:color w:val="002060"/>
          <w:sz w:val="22"/>
          <w:szCs w:val="22"/>
        </w:rPr>
        <w:t>. Growing the share of scrap-based production in total production can enable short-term emissions reduction</w:t>
      </w:r>
      <w:r w:rsidR="00BB5AC5" w:rsidRPr="0081112F">
        <w:rPr>
          <w:rStyle w:val="normaltextrun"/>
          <w:rFonts w:ascii="Century Gothic" w:hAnsi="Century Gothic" w:cs="Arial"/>
          <w:i/>
          <w:iCs/>
          <w:color w:val="002060"/>
          <w:sz w:val="22"/>
          <w:szCs w:val="22"/>
        </w:rPr>
        <w:t xml:space="preserve">. </w:t>
      </w:r>
      <w:r w:rsidR="003B0459" w:rsidRPr="0081112F">
        <w:rPr>
          <w:rStyle w:val="normaltextrun"/>
          <w:rFonts w:ascii="Century Gothic" w:hAnsi="Century Gothic" w:cs="Arial"/>
          <w:i/>
          <w:iCs/>
          <w:color w:val="002060"/>
          <w:sz w:val="22"/>
          <w:szCs w:val="22"/>
        </w:rPr>
        <w:t xml:space="preserve">Pilot </w:t>
      </w:r>
      <w:r w:rsidR="00650C0F" w:rsidRPr="0081112F">
        <w:rPr>
          <w:rStyle w:val="normaltextrun"/>
          <w:rFonts w:ascii="Century Gothic" w:hAnsi="Century Gothic" w:cs="Arial"/>
          <w:i/>
          <w:iCs/>
          <w:color w:val="002060"/>
          <w:sz w:val="22"/>
          <w:szCs w:val="22"/>
        </w:rPr>
        <w:t xml:space="preserve">plants for </w:t>
      </w:r>
      <w:r w:rsidR="00800162" w:rsidRPr="0081112F">
        <w:rPr>
          <w:rStyle w:val="normaltextrun"/>
          <w:rFonts w:ascii="Century Gothic" w:hAnsi="Century Gothic" w:cs="Arial"/>
          <w:i/>
          <w:iCs/>
          <w:color w:val="002060"/>
          <w:sz w:val="22"/>
          <w:szCs w:val="22"/>
        </w:rPr>
        <w:t>z</w:t>
      </w:r>
      <w:r w:rsidR="000E1599" w:rsidRPr="0081112F">
        <w:rPr>
          <w:rStyle w:val="normaltextrun"/>
          <w:rFonts w:ascii="Century Gothic" w:hAnsi="Century Gothic" w:cs="Arial"/>
          <w:i/>
          <w:iCs/>
          <w:color w:val="002060"/>
          <w:sz w:val="22"/>
          <w:szCs w:val="22"/>
        </w:rPr>
        <w:t xml:space="preserve">ero-carbon </w:t>
      </w:r>
      <w:r w:rsidR="00BB5AC5" w:rsidRPr="0081112F">
        <w:rPr>
          <w:rStyle w:val="normaltextrun"/>
          <w:rFonts w:ascii="Century Gothic" w:hAnsi="Century Gothic" w:cs="Arial"/>
          <w:i/>
          <w:iCs/>
          <w:color w:val="002060"/>
          <w:sz w:val="22"/>
          <w:szCs w:val="22"/>
        </w:rPr>
        <w:t>virgin production</w:t>
      </w:r>
      <w:r w:rsidR="00B70DEB" w:rsidRPr="0081112F">
        <w:rPr>
          <w:rStyle w:val="normaltextrun"/>
          <w:rFonts w:ascii="Century Gothic" w:hAnsi="Century Gothic" w:cs="Arial"/>
          <w:i/>
          <w:iCs/>
          <w:color w:val="002060"/>
          <w:sz w:val="22"/>
          <w:szCs w:val="22"/>
        </w:rPr>
        <w:t xml:space="preserve"> </w:t>
      </w:r>
      <w:r w:rsidR="0081112F" w:rsidRPr="0081112F">
        <w:rPr>
          <w:rStyle w:val="normaltextrun"/>
          <w:rFonts w:ascii="Century Gothic" w:hAnsi="Century Gothic" w:cs="Arial"/>
          <w:i/>
          <w:iCs/>
          <w:color w:val="002060"/>
          <w:sz w:val="22"/>
          <w:szCs w:val="22"/>
        </w:rPr>
        <w:t xml:space="preserve">are planned </w:t>
      </w:r>
      <w:r w:rsidR="00B70DEB" w:rsidRPr="0081112F">
        <w:rPr>
          <w:rStyle w:val="normaltextrun"/>
          <w:rFonts w:ascii="Century Gothic" w:hAnsi="Century Gothic" w:cs="Arial"/>
          <w:i/>
          <w:iCs/>
          <w:color w:val="002060"/>
          <w:sz w:val="22"/>
          <w:szCs w:val="22"/>
        </w:rPr>
        <w:t>for the mid-2020s</w:t>
      </w:r>
      <w:r w:rsidR="00647D9A" w:rsidRPr="0081112F">
        <w:rPr>
          <w:rStyle w:val="normaltextrun"/>
          <w:rFonts w:ascii="Century Gothic" w:hAnsi="Century Gothic" w:cs="Arial"/>
          <w:i/>
          <w:iCs/>
          <w:color w:val="002060"/>
          <w:sz w:val="22"/>
          <w:szCs w:val="22"/>
        </w:rPr>
        <w:t xml:space="preserve">, with </w:t>
      </w:r>
      <w:r w:rsidR="005F394C" w:rsidRPr="0081112F">
        <w:rPr>
          <w:rStyle w:val="normaltextrun"/>
          <w:rFonts w:ascii="Century Gothic" w:hAnsi="Century Gothic" w:cs="Arial"/>
          <w:i/>
          <w:iCs/>
          <w:color w:val="002060"/>
          <w:sz w:val="22"/>
          <w:szCs w:val="22"/>
        </w:rPr>
        <w:t>full</w:t>
      </w:r>
      <w:r w:rsidR="005F394C">
        <w:rPr>
          <w:rStyle w:val="normaltextrun"/>
          <w:rFonts w:ascii="Century Gothic" w:hAnsi="Century Gothic" w:cs="Arial"/>
          <w:i/>
          <w:iCs/>
          <w:color w:val="002060"/>
          <w:sz w:val="22"/>
          <w:szCs w:val="22"/>
        </w:rPr>
        <w:t xml:space="preserve"> commercial deployment set for the early 2030</w:t>
      </w:r>
      <w:r w:rsidR="0081112F">
        <w:rPr>
          <w:rStyle w:val="normaltextrun"/>
          <w:rFonts w:ascii="Century Gothic" w:hAnsi="Century Gothic" w:cs="Arial"/>
          <w:i/>
          <w:iCs/>
          <w:color w:val="002060"/>
          <w:sz w:val="22"/>
          <w:szCs w:val="22"/>
        </w:rPr>
        <w:t>s</w:t>
      </w:r>
      <w:r w:rsidR="00DD6FF3">
        <w:rPr>
          <w:rStyle w:val="normaltextrun"/>
          <w:rFonts w:ascii="Century Gothic" w:hAnsi="Century Gothic" w:cs="Arial"/>
          <w:i/>
          <w:iCs/>
          <w:color w:val="002060"/>
          <w:sz w:val="22"/>
          <w:szCs w:val="22"/>
        </w:rPr>
        <w:t>. These zero-carbon technologies will</w:t>
      </w:r>
      <w:r w:rsidR="000E1599">
        <w:rPr>
          <w:rStyle w:val="normaltextrun"/>
          <w:rFonts w:ascii="Century Gothic" w:hAnsi="Century Gothic" w:cs="Arial"/>
          <w:i/>
          <w:iCs/>
          <w:color w:val="002060"/>
          <w:sz w:val="22"/>
          <w:szCs w:val="22"/>
        </w:rPr>
        <w:t xml:space="preserve"> </w:t>
      </w:r>
      <w:r w:rsidRPr="00042C01">
        <w:rPr>
          <w:rStyle w:val="normaltextrun"/>
          <w:rFonts w:ascii="Century Gothic" w:hAnsi="Century Gothic" w:cs="Arial"/>
          <w:i/>
          <w:iCs/>
          <w:color w:val="002060"/>
          <w:sz w:val="22"/>
          <w:szCs w:val="22"/>
        </w:rPr>
        <w:t>remain costlier</w:t>
      </w:r>
      <w:r w:rsidR="00BB5AC5">
        <w:rPr>
          <w:rStyle w:val="normaltextrun"/>
          <w:rFonts w:ascii="Century Gothic" w:hAnsi="Century Gothic" w:cs="Arial"/>
          <w:i/>
          <w:iCs/>
          <w:color w:val="002060"/>
          <w:sz w:val="22"/>
          <w:szCs w:val="22"/>
        </w:rPr>
        <w:t xml:space="preserve"> than the high-carbon alternative</w:t>
      </w:r>
      <w:r w:rsidRPr="00042C01">
        <w:rPr>
          <w:rStyle w:val="normaltextrun"/>
          <w:rFonts w:ascii="Century Gothic" w:hAnsi="Century Gothic" w:cs="Arial"/>
          <w:i/>
          <w:iCs/>
          <w:color w:val="002060"/>
          <w:sz w:val="22"/>
          <w:szCs w:val="22"/>
        </w:rPr>
        <w:t xml:space="preserve"> </w:t>
      </w:r>
      <w:r w:rsidR="00407240">
        <w:rPr>
          <w:rStyle w:val="normaltextrun"/>
          <w:rFonts w:ascii="Century Gothic" w:hAnsi="Century Gothic" w:cs="Arial"/>
          <w:i/>
          <w:iCs/>
          <w:color w:val="002060"/>
          <w:sz w:val="22"/>
          <w:szCs w:val="22"/>
        </w:rPr>
        <w:t>for</w:t>
      </w:r>
      <w:r w:rsidRPr="00042C01">
        <w:rPr>
          <w:rStyle w:val="normaltextrun"/>
          <w:rFonts w:ascii="Century Gothic" w:hAnsi="Century Gothic" w:cs="Arial"/>
          <w:i/>
          <w:iCs/>
          <w:color w:val="002060"/>
          <w:sz w:val="22"/>
          <w:szCs w:val="22"/>
        </w:rPr>
        <w:t xml:space="preserve"> the foreseeable future</w:t>
      </w:r>
      <w:r w:rsidR="00BB5AC5">
        <w:rPr>
          <w:rStyle w:val="normaltextrun"/>
          <w:rFonts w:ascii="Century Gothic" w:hAnsi="Century Gothic" w:cs="Arial"/>
          <w:i/>
          <w:iCs/>
          <w:color w:val="002060"/>
          <w:sz w:val="22"/>
          <w:szCs w:val="22"/>
        </w:rPr>
        <w:t>.</w:t>
      </w:r>
    </w:p>
    <w:p w14:paraId="3C36CB74" w14:textId="74DAC59D" w:rsidR="0049525D" w:rsidRPr="00042C01" w:rsidRDefault="00BB5AC5" w:rsidP="006B3044">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St</w:t>
      </w:r>
      <w:r w:rsidR="00245C1E" w:rsidRPr="00042C01">
        <w:rPr>
          <w:rFonts w:ascii="Century Gothic" w:hAnsi="Century Gothic" w:cstheme="minorHAnsi"/>
          <w:sz w:val="20"/>
          <w:szCs w:val="21"/>
        </w:rPr>
        <w:t>eel</w:t>
      </w:r>
      <w:r w:rsidR="0049525D" w:rsidRPr="00042C01">
        <w:rPr>
          <w:rFonts w:ascii="Century Gothic" w:hAnsi="Century Gothic" w:cstheme="minorHAnsi"/>
          <w:sz w:val="20"/>
          <w:szCs w:val="21"/>
        </w:rPr>
        <w:t xml:space="preserve"> decarbonisation can be achieved </w:t>
      </w:r>
      <w:r w:rsidR="00306C2A">
        <w:rPr>
          <w:rFonts w:ascii="Century Gothic" w:hAnsi="Century Gothic" w:cstheme="minorHAnsi"/>
          <w:sz w:val="20"/>
          <w:szCs w:val="21"/>
        </w:rPr>
        <w:t xml:space="preserve">through </w:t>
      </w:r>
      <w:r w:rsidR="00257B12">
        <w:rPr>
          <w:rFonts w:ascii="Century Gothic" w:hAnsi="Century Gothic" w:cstheme="minorHAnsi"/>
          <w:sz w:val="20"/>
          <w:szCs w:val="21"/>
        </w:rPr>
        <w:t>a combination of:</w:t>
      </w:r>
    </w:p>
    <w:p w14:paraId="26B564CF" w14:textId="1BF3409A" w:rsidR="007E01B5" w:rsidRPr="00353FBA" w:rsidRDefault="007E01B5" w:rsidP="00353FBA">
      <w:pPr>
        <w:pStyle w:val="ListParagraph"/>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A</w:t>
      </w:r>
      <w:r w:rsidRPr="00042C01">
        <w:rPr>
          <w:rFonts w:ascii="Century Gothic" w:hAnsi="Century Gothic" w:cstheme="minorHAnsi"/>
          <w:sz w:val="20"/>
          <w:szCs w:val="21"/>
        </w:rPr>
        <w:t xml:space="preserve">. </w:t>
      </w:r>
      <w:r w:rsidRPr="007E01B5">
        <w:rPr>
          <w:rFonts w:ascii="Century Gothic" w:hAnsi="Century Gothic" w:cstheme="minorHAnsi"/>
          <w:sz w:val="20"/>
          <w:szCs w:val="21"/>
          <w:u w:val="single"/>
        </w:rPr>
        <w:t>Reducing total steel demand.</w:t>
      </w:r>
      <w:r w:rsidRPr="00042C01">
        <w:rPr>
          <w:rFonts w:ascii="Century Gothic" w:hAnsi="Century Gothic" w:cstheme="minorHAnsi"/>
          <w:sz w:val="20"/>
          <w:szCs w:val="21"/>
        </w:rPr>
        <w:t xml:space="preserve"> In principle, it is possible to reduce </w:t>
      </w:r>
      <w:r>
        <w:rPr>
          <w:rFonts w:ascii="Century Gothic" w:hAnsi="Century Gothic" w:cstheme="minorHAnsi"/>
          <w:sz w:val="20"/>
          <w:szCs w:val="21"/>
        </w:rPr>
        <w:t xml:space="preserve">annual steel demand per capita </w:t>
      </w:r>
      <w:r w:rsidRPr="00042C01">
        <w:rPr>
          <w:rFonts w:ascii="Century Gothic" w:hAnsi="Century Gothic" w:cstheme="minorHAnsi"/>
          <w:sz w:val="20"/>
          <w:szCs w:val="21"/>
        </w:rPr>
        <w:t>while continuing to deliver the same end services from which customers benefit</w:t>
      </w:r>
      <w:r>
        <w:rPr>
          <w:rFonts w:ascii="Century Gothic" w:hAnsi="Century Gothic" w:cstheme="minorHAnsi"/>
          <w:sz w:val="20"/>
          <w:szCs w:val="21"/>
        </w:rPr>
        <w:t xml:space="preserve"> by (</w:t>
      </w:r>
      <w:r w:rsidR="00353FBA">
        <w:rPr>
          <w:rFonts w:ascii="Century Gothic" w:hAnsi="Century Gothic" w:cstheme="minorHAnsi"/>
          <w:sz w:val="20"/>
          <w:szCs w:val="21"/>
        </w:rPr>
        <w:t>1</w:t>
      </w:r>
      <w:r>
        <w:rPr>
          <w:rFonts w:ascii="Century Gothic" w:hAnsi="Century Gothic" w:cstheme="minorHAnsi"/>
          <w:sz w:val="20"/>
          <w:szCs w:val="21"/>
        </w:rPr>
        <w:t>) r</w:t>
      </w:r>
      <w:r w:rsidRPr="007E01B5">
        <w:rPr>
          <w:rFonts w:ascii="Century Gothic" w:hAnsi="Century Gothic" w:cstheme="minorHAnsi"/>
          <w:sz w:val="20"/>
          <w:szCs w:val="21"/>
        </w:rPr>
        <w:t>educing the necessary stock of steel per capita through greater materials efficiency</w:t>
      </w:r>
      <w:r>
        <w:rPr>
          <w:rFonts w:ascii="Century Gothic" w:hAnsi="Century Gothic" w:cstheme="minorHAnsi"/>
          <w:sz w:val="20"/>
          <w:szCs w:val="21"/>
        </w:rPr>
        <w:t xml:space="preserve"> (e.g. light-weighting of cars, limiting over-specification in construction) and by (</w:t>
      </w:r>
      <w:r w:rsidR="00353FBA">
        <w:rPr>
          <w:rFonts w:ascii="Century Gothic" w:hAnsi="Century Gothic" w:cstheme="minorHAnsi"/>
          <w:sz w:val="20"/>
          <w:szCs w:val="21"/>
        </w:rPr>
        <w:t>2</w:t>
      </w:r>
      <w:r>
        <w:rPr>
          <w:rFonts w:ascii="Century Gothic" w:hAnsi="Century Gothic" w:cstheme="minorHAnsi"/>
          <w:sz w:val="20"/>
          <w:szCs w:val="21"/>
        </w:rPr>
        <w:t xml:space="preserve">) extending the lifetime of steel products (e.g. </w:t>
      </w:r>
      <w:r w:rsidR="00353FBA">
        <w:rPr>
          <w:rFonts w:ascii="Century Gothic" w:hAnsi="Century Gothic" w:cstheme="minorHAnsi"/>
          <w:sz w:val="20"/>
          <w:szCs w:val="21"/>
        </w:rPr>
        <w:t>reuse of building structures instead of deconstruction</w:t>
      </w:r>
      <w:r>
        <w:rPr>
          <w:rFonts w:ascii="Century Gothic" w:hAnsi="Century Gothic" w:cstheme="minorHAnsi"/>
          <w:sz w:val="20"/>
          <w:szCs w:val="21"/>
        </w:rPr>
        <w:t>)</w:t>
      </w:r>
      <w:r w:rsidR="00353FBA">
        <w:rPr>
          <w:rFonts w:ascii="Century Gothic" w:hAnsi="Century Gothic" w:cstheme="minorHAnsi"/>
          <w:sz w:val="20"/>
          <w:szCs w:val="21"/>
        </w:rPr>
        <w:t>. S</w:t>
      </w:r>
      <w:r w:rsidRPr="00353FBA">
        <w:rPr>
          <w:rFonts w:ascii="Century Gothic" w:hAnsi="Century Gothic" w:cstheme="minorHAnsi"/>
          <w:sz w:val="20"/>
          <w:szCs w:val="21"/>
        </w:rPr>
        <w:t>uch opportunities could exist in all steel-using sectors, but the greatest opportunities lie in the automotive and construction sectors</w:t>
      </w:r>
      <w:r w:rsidR="00353FBA">
        <w:rPr>
          <w:rFonts w:ascii="Century Gothic" w:hAnsi="Century Gothic" w:cstheme="minorHAnsi"/>
          <w:sz w:val="20"/>
          <w:szCs w:val="21"/>
        </w:rPr>
        <w:t>.</w:t>
      </w:r>
    </w:p>
    <w:p w14:paraId="0F3C69A8" w14:textId="0185B654" w:rsidR="00353FBA" w:rsidRPr="00042C01" w:rsidRDefault="00353FBA" w:rsidP="00353FBA">
      <w:pPr>
        <w:pStyle w:val="ListParagraph"/>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B</w:t>
      </w:r>
      <w:r w:rsidRPr="00042C01">
        <w:rPr>
          <w:rFonts w:ascii="Century Gothic" w:hAnsi="Century Gothic" w:cstheme="minorHAnsi"/>
          <w:sz w:val="20"/>
          <w:szCs w:val="21"/>
        </w:rPr>
        <w:t xml:space="preserve">. </w:t>
      </w:r>
      <w:r w:rsidRPr="00042C01">
        <w:rPr>
          <w:rFonts w:ascii="Century Gothic" w:hAnsi="Century Gothic" w:cstheme="minorHAnsi"/>
          <w:sz w:val="20"/>
          <w:szCs w:val="21"/>
          <w:u w:val="single"/>
        </w:rPr>
        <w:t>Improving energy efficiency</w:t>
      </w:r>
      <w:r w:rsidRPr="00042C01">
        <w:rPr>
          <w:rFonts w:ascii="Century Gothic" w:hAnsi="Century Gothic" w:cstheme="minorHAnsi"/>
          <w:sz w:val="20"/>
          <w:szCs w:val="21"/>
        </w:rPr>
        <w:t>. There is considerable potential to improve energy efficiency of steel production even without fundamental changes in process. Analysis by the OECD suggests that many steel companies currently are underexploiting positive-return opportunities to reduce energy input per tonne. There is a limit to the scale of achievable energy efficiency improvement with current technologies, which McKinsey estimates at around 15-20% of present energy consumption on average globally.</w:t>
      </w:r>
    </w:p>
    <w:p w14:paraId="433A344B" w14:textId="528334E7" w:rsidR="00512CFA" w:rsidRPr="00042C01" w:rsidRDefault="00353FBA" w:rsidP="006B3044">
      <w:pPr>
        <w:pStyle w:val="ListParagraph"/>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C</w:t>
      </w:r>
      <w:r w:rsidR="00512CFA" w:rsidRPr="00042C01">
        <w:rPr>
          <w:rFonts w:ascii="Century Gothic" w:hAnsi="Century Gothic" w:cstheme="minorHAnsi"/>
          <w:sz w:val="20"/>
          <w:szCs w:val="21"/>
        </w:rPr>
        <w:t xml:space="preserve">. </w:t>
      </w:r>
      <w:r>
        <w:rPr>
          <w:rFonts w:ascii="Century Gothic" w:hAnsi="Century Gothic" w:cstheme="minorHAnsi"/>
          <w:sz w:val="20"/>
          <w:szCs w:val="21"/>
          <w:u w:val="single"/>
        </w:rPr>
        <w:t>Increasing the share of scrap-based production in total production and decarbonising scrap-based production</w:t>
      </w:r>
      <w:r w:rsidR="00512CFA" w:rsidRPr="00042C01">
        <w:rPr>
          <w:rFonts w:ascii="Century Gothic" w:hAnsi="Century Gothic" w:cstheme="minorHAnsi"/>
          <w:sz w:val="20"/>
          <w:szCs w:val="21"/>
        </w:rPr>
        <w:t>.</w:t>
      </w:r>
      <w:r>
        <w:rPr>
          <w:rFonts w:ascii="Century Gothic" w:hAnsi="Century Gothic" w:cstheme="minorHAnsi"/>
          <w:sz w:val="20"/>
          <w:szCs w:val="21"/>
        </w:rPr>
        <w:t xml:space="preserve"> It is technically possible to produce zero-carbon scrap-based steel today if the electricity input to the EAF is zero-carbon. </w:t>
      </w:r>
      <w:r w:rsidR="00E4107B" w:rsidRPr="00042C01">
        <w:rPr>
          <w:rFonts w:ascii="Century Gothic" w:hAnsi="Century Gothic" w:cstheme="minorHAnsi"/>
          <w:sz w:val="20"/>
          <w:szCs w:val="21"/>
        </w:rPr>
        <w:t>T</w:t>
      </w:r>
      <w:r w:rsidR="00512CFA" w:rsidRPr="00042C01">
        <w:rPr>
          <w:rFonts w:ascii="Century Gothic" w:hAnsi="Century Gothic" w:cstheme="minorHAnsi"/>
          <w:sz w:val="20"/>
          <w:szCs w:val="21"/>
        </w:rPr>
        <w:t>o achieve increased</w:t>
      </w:r>
      <w:r>
        <w:rPr>
          <w:rFonts w:ascii="Century Gothic" w:hAnsi="Century Gothic" w:cstheme="minorHAnsi"/>
          <w:sz w:val="20"/>
          <w:szCs w:val="21"/>
        </w:rPr>
        <w:t xml:space="preserve"> steel</w:t>
      </w:r>
      <w:r w:rsidR="00512CFA" w:rsidRPr="00042C01">
        <w:rPr>
          <w:rFonts w:ascii="Century Gothic" w:hAnsi="Century Gothic" w:cstheme="minorHAnsi"/>
          <w:sz w:val="20"/>
          <w:szCs w:val="21"/>
        </w:rPr>
        <w:t xml:space="preserve"> recycling</w:t>
      </w:r>
      <w:r>
        <w:rPr>
          <w:rFonts w:ascii="Century Gothic" w:hAnsi="Century Gothic" w:cstheme="minorHAnsi"/>
          <w:sz w:val="20"/>
          <w:szCs w:val="21"/>
        </w:rPr>
        <w:t>, however</w:t>
      </w:r>
      <w:r w:rsidR="00512CFA" w:rsidRPr="00042C01">
        <w:rPr>
          <w:rFonts w:ascii="Century Gothic" w:hAnsi="Century Gothic" w:cstheme="minorHAnsi"/>
          <w:sz w:val="20"/>
          <w:szCs w:val="21"/>
        </w:rPr>
        <w:t xml:space="preserve">, </w:t>
      </w:r>
      <w:r>
        <w:rPr>
          <w:rFonts w:ascii="Century Gothic" w:hAnsi="Century Gothic" w:cstheme="minorHAnsi"/>
          <w:sz w:val="20"/>
          <w:szCs w:val="21"/>
        </w:rPr>
        <w:t>two major</w:t>
      </w:r>
      <w:r w:rsidR="00512CFA" w:rsidRPr="00042C01">
        <w:rPr>
          <w:rFonts w:ascii="Century Gothic" w:hAnsi="Century Gothic" w:cstheme="minorHAnsi"/>
          <w:sz w:val="20"/>
          <w:szCs w:val="21"/>
        </w:rPr>
        <w:t xml:space="preserve"> problems must be overcome: (1) </w:t>
      </w:r>
      <w:r>
        <w:rPr>
          <w:rFonts w:ascii="Century Gothic" w:hAnsi="Century Gothic" w:cstheme="minorHAnsi"/>
          <w:sz w:val="20"/>
          <w:szCs w:val="21"/>
        </w:rPr>
        <w:t>better collection of scrap steel (85% currently, but varying from 50% for structural reinforcement steel to 97% for industrial equipment)</w:t>
      </w:r>
      <w:r w:rsidR="00512CFA" w:rsidRPr="00042C01">
        <w:rPr>
          <w:rFonts w:ascii="Century Gothic" w:hAnsi="Century Gothic" w:cstheme="minorHAnsi"/>
          <w:sz w:val="20"/>
          <w:szCs w:val="21"/>
        </w:rPr>
        <w:t xml:space="preserve">, (2) </w:t>
      </w:r>
      <w:r>
        <w:rPr>
          <w:rFonts w:ascii="Century Gothic" w:hAnsi="Century Gothic" w:cstheme="minorHAnsi"/>
          <w:sz w:val="20"/>
          <w:szCs w:val="21"/>
        </w:rPr>
        <w:t>limiting the contamination of steel by other materials (in particular copper) during demolition to avoid t</w:t>
      </w:r>
      <w:r w:rsidR="00512CFA" w:rsidRPr="00042C01">
        <w:rPr>
          <w:rFonts w:ascii="Century Gothic" w:hAnsi="Century Gothic" w:cstheme="minorHAnsi"/>
          <w:sz w:val="20"/>
          <w:szCs w:val="21"/>
        </w:rPr>
        <w:t>he “downcycling” problem</w:t>
      </w:r>
      <w:r>
        <w:rPr>
          <w:rFonts w:ascii="Century Gothic" w:hAnsi="Century Gothic" w:cstheme="minorHAnsi"/>
          <w:sz w:val="20"/>
          <w:szCs w:val="21"/>
        </w:rPr>
        <w:t xml:space="preserve"> (i.e. </w:t>
      </w:r>
      <w:r w:rsidR="00512CFA" w:rsidRPr="00042C01">
        <w:rPr>
          <w:rFonts w:ascii="Century Gothic" w:hAnsi="Century Gothic" w:cstheme="minorHAnsi"/>
          <w:sz w:val="20"/>
          <w:szCs w:val="21"/>
        </w:rPr>
        <w:t>recycled steel is typically lower-quality and lower-value than the steel from which it originally came</w:t>
      </w:r>
      <w:r>
        <w:rPr>
          <w:rFonts w:ascii="Century Gothic" w:hAnsi="Century Gothic" w:cstheme="minorHAnsi"/>
          <w:sz w:val="20"/>
          <w:szCs w:val="21"/>
        </w:rPr>
        <w:t>, which limits the ability to use it for different alloy categories)</w:t>
      </w:r>
      <w:r w:rsidR="00512CFA" w:rsidRPr="00042C01">
        <w:rPr>
          <w:rFonts w:ascii="Century Gothic" w:hAnsi="Century Gothic" w:cstheme="minorHAnsi"/>
          <w:sz w:val="20"/>
          <w:szCs w:val="21"/>
        </w:rPr>
        <w:t xml:space="preserve">. If these problems could be overcome, </w:t>
      </w:r>
      <w:r w:rsidR="00E200D0">
        <w:rPr>
          <w:rFonts w:ascii="Century Gothic" w:hAnsi="Century Gothic" w:cstheme="minorHAnsi"/>
          <w:sz w:val="20"/>
          <w:szCs w:val="21"/>
        </w:rPr>
        <w:t>scrap-based production could reach 48% of total production by 2050, bringing down virgin production – and potentially carbon emissions – by about 20</w:t>
      </w:r>
      <w:r w:rsidR="00512CFA" w:rsidRPr="00042C01">
        <w:rPr>
          <w:rFonts w:ascii="Century Gothic" w:hAnsi="Century Gothic" w:cstheme="minorHAnsi"/>
          <w:sz w:val="20"/>
          <w:szCs w:val="21"/>
        </w:rPr>
        <w:t>% compared with baseline level</w:t>
      </w:r>
      <w:r w:rsidR="00E200D0">
        <w:rPr>
          <w:rFonts w:ascii="Century Gothic" w:hAnsi="Century Gothic" w:cstheme="minorHAnsi"/>
          <w:sz w:val="20"/>
          <w:szCs w:val="21"/>
        </w:rPr>
        <w:t>s</w:t>
      </w:r>
      <w:r w:rsidR="00512CFA" w:rsidRPr="00042C01">
        <w:rPr>
          <w:rFonts w:ascii="Century Gothic" w:hAnsi="Century Gothic" w:cstheme="minorHAnsi"/>
          <w:sz w:val="20"/>
          <w:szCs w:val="21"/>
        </w:rPr>
        <w:t xml:space="preserve">. </w:t>
      </w:r>
    </w:p>
    <w:p w14:paraId="72232E2A" w14:textId="708D8C6B" w:rsidR="00D9508B" w:rsidRPr="00042C01" w:rsidRDefault="00D9508B" w:rsidP="006B3044">
      <w:pPr>
        <w:pStyle w:val="ListParagraph"/>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 xml:space="preserve">E. </w:t>
      </w:r>
      <w:r w:rsidRPr="00042C01">
        <w:rPr>
          <w:rFonts w:ascii="Century Gothic" w:hAnsi="Century Gothic" w:cstheme="minorHAnsi"/>
          <w:sz w:val="20"/>
          <w:szCs w:val="21"/>
          <w:u w:val="single"/>
        </w:rPr>
        <w:t>Decarboni</w:t>
      </w:r>
      <w:r w:rsidR="00245C1E" w:rsidRPr="00042C01">
        <w:rPr>
          <w:rFonts w:ascii="Century Gothic" w:hAnsi="Century Gothic" w:cstheme="minorHAnsi"/>
          <w:sz w:val="20"/>
          <w:szCs w:val="21"/>
          <w:u w:val="single"/>
        </w:rPr>
        <w:t>s</w:t>
      </w:r>
      <w:r w:rsidRPr="00042C01">
        <w:rPr>
          <w:rFonts w:ascii="Century Gothic" w:hAnsi="Century Gothic" w:cstheme="minorHAnsi"/>
          <w:sz w:val="20"/>
          <w:szCs w:val="21"/>
          <w:u w:val="single"/>
        </w:rPr>
        <w:t>ing ore-based steel production</w:t>
      </w:r>
      <w:r w:rsidRPr="00042C01">
        <w:rPr>
          <w:rFonts w:ascii="Century Gothic" w:hAnsi="Century Gothic" w:cstheme="minorHAnsi"/>
          <w:sz w:val="20"/>
          <w:szCs w:val="21"/>
        </w:rPr>
        <w:t>. Ore-based steel production could be fully decarboni</w:t>
      </w:r>
      <w:r w:rsidR="00245C1E" w:rsidRPr="00042C01">
        <w:rPr>
          <w:rFonts w:ascii="Century Gothic" w:hAnsi="Century Gothic" w:cstheme="minorHAnsi"/>
          <w:sz w:val="20"/>
          <w:szCs w:val="21"/>
        </w:rPr>
        <w:t>s</w:t>
      </w:r>
      <w:r w:rsidRPr="00042C01">
        <w:rPr>
          <w:rFonts w:ascii="Century Gothic" w:hAnsi="Century Gothic" w:cstheme="minorHAnsi"/>
          <w:sz w:val="20"/>
          <w:szCs w:val="21"/>
        </w:rPr>
        <w:t>ed in 4 ways, which are at different stages of development</w:t>
      </w:r>
      <w:r w:rsidR="00DC30FC">
        <w:rPr>
          <w:rFonts w:ascii="Century Gothic" w:hAnsi="Century Gothic" w:cstheme="minorHAnsi"/>
          <w:sz w:val="20"/>
          <w:szCs w:val="21"/>
        </w:rPr>
        <w:t xml:space="preserve"> (see Exhibit 1)</w:t>
      </w:r>
      <w:r w:rsidRPr="00042C01">
        <w:rPr>
          <w:rFonts w:ascii="Century Gothic" w:hAnsi="Century Gothic" w:cstheme="minorHAnsi"/>
          <w:sz w:val="20"/>
          <w:szCs w:val="21"/>
        </w:rPr>
        <w:t>:</w:t>
      </w:r>
    </w:p>
    <w:p w14:paraId="48DBD0E5" w14:textId="64E4C075" w:rsidR="008951F2" w:rsidRPr="00E200D0" w:rsidRDefault="008951F2" w:rsidP="008951F2">
      <w:pPr>
        <w:pStyle w:val="ListParagraph"/>
        <w:numPr>
          <w:ilvl w:val="0"/>
          <w:numId w:val="25"/>
        </w:numPr>
        <w:spacing w:before="40" w:after="120"/>
        <w:contextualSpacing w:val="0"/>
        <w:rPr>
          <w:rFonts w:ascii="Century Gothic" w:hAnsi="Century Gothic" w:cstheme="minorHAnsi"/>
          <w:sz w:val="20"/>
          <w:szCs w:val="21"/>
        </w:rPr>
      </w:pPr>
      <w:r>
        <w:rPr>
          <w:rFonts w:ascii="Century Gothic" w:hAnsi="Century Gothic" w:cstheme="minorHAnsi"/>
          <w:sz w:val="20"/>
          <w:szCs w:val="21"/>
        </w:rPr>
        <w:t>Reducing i</w:t>
      </w:r>
      <w:r w:rsidRPr="00042C01">
        <w:rPr>
          <w:rFonts w:ascii="Century Gothic" w:hAnsi="Century Gothic" w:cstheme="minorHAnsi"/>
          <w:sz w:val="20"/>
          <w:szCs w:val="21"/>
        </w:rPr>
        <w:t xml:space="preserve">ron ore </w:t>
      </w:r>
      <w:r>
        <w:rPr>
          <w:rFonts w:ascii="Century Gothic" w:hAnsi="Century Gothic" w:cstheme="minorHAnsi"/>
          <w:sz w:val="20"/>
          <w:szCs w:val="21"/>
        </w:rPr>
        <w:t>directly</w:t>
      </w:r>
      <w:r w:rsidRPr="00042C01">
        <w:rPr>
          <w:rFonts w:ascii="Century Gothic" w:hAnsi="Century Gothic" w:cstheme="minorHAnsi"/>
          <w:sz w:val="20"/>
          <w:szCs w:val="21"/>
        </w:rPr>
        <w:t xml:space="preserve"> by electrolysis</w:t>
      </w:r>
      <w:r w:rsidR="00C02D48">
        <w:rPr>
          <w:rFonts w:ascii="Century Gothic" w:hAnsi="Century Gothic" w:cstheme="minorHAnsi"/>
          <w:sz w:val="20"/>
          <w:szCs w:val="21"/>
        </w:rPr>
        <w:t>;</w:t>
      </w:r>
    </w:p>
    <w:p w14:paraId="7B97D477" w14:textId="6E013EDB" w:rsidR="00D9508B" w:rsidRPr="00042C01" w:rsidRDefault="00D9508B" w:rsidP="006B3044">
      <w:pPr>
        <w:pStyle w:val="ListParagraph"/>
        <w:numPr>
          <w:ilvl w:val="0"/>
          <w:numId w:val="25"/>
        </w:numPr>
        <w:spacing w:before="40" w:after="120"/>
        <w:contextualSpacing w:val="0"/>
        <w:rPr>
          <w:rFonts w:ascii="Century Gothic" w:hAnsi="Century Gothic" w:cstheme="minorHAnsi"/>
          <w:sz w:val="20"/>
          <w:szCs w:val="21"/>
        </w:rPr>
      </w:pPr>
      <w:r w:rsidRPr="00042C01">
        <w:rPr>
          <w:rFonts w:ascii="Century Gothic" w:hAnsi="Century Gothic" w:cstheme="minorHAnsi"/>
          <w:sz w:val="20"/>
          <w:szCs w:val="21"/>
        </w:rPr>
        <w:t>Using hydrogen as the reduction agent</w:t>
      </w:r>
      <w:r w:rsidR="00DC30FC">
        <w:rPr>
          <w:rFonts w:ascii="Century Gothic" w:hAnsi="Century Gothic" w:cstheme="minorHAnsi"/>
          <w:sz w:val="20"/>
          <w:szCs w:val="21"/>
        </w:rPr>
        <w:t xml:space="preserve"> in a DRI-EAF (instead of natural gas);</w:t>
      </w:r>
    </w:p>
    <w:p w14:paraId="3944B0AC" w14:textId="287AC965" w:rsidR="00D9508B" w:rsidRPr="00042C01" w:rsidRDefault="00DC30FC" w:rsidP="006B3044">
      <w:pPr>
        <w:pStyle w:val="ListParagraph"/>
        <w:numPr>
          <w:ilvl w:val="0"/>
          <w:numId w:val="25"/>
        </w:numPr>
        <w:spacing w:before="40" w:after="120"/>
        <w:contextualSpacing w:val="0"/>
        <w:rPr>
          <w:rFonts w:ascii="Century Gothic" w:hAnsi="Century Gothic" w:cstheme="minorHAnsi"/>
          <w:sz w:val="20"/>
          <w:szCs w:val="21"/>
        </w:rPr>
      </w:pPr>
      <w:r>
        <w:rPr>
          <w:rFonts w:ascii="Century Gothic" w:hAnsi="Century Gothic" w:cstheme="minorHAnsi"/>
          <w:sz w:val="20"/>
          <w:szCs w:val="21"/>
        </w:rPr>
        <w:t>Using d</w:t>
      </w:r>
      <w:r w:rsidR="00E200D0">
        <w:rPr>
          <w:rFonts w:ascii="Century Gothic" w:hAnsi="Century Gothic" w:cstheme="minorHAnsi"/>
          <w:sz w:val="20"/>
          <w:szCs w:val="21"/>
        </w:rPr>
        <w:t>ifferent forms of c</w:t>
      </w:r>
      <w:r w:rsidR="00D9508B" w:rsidRPr="00042C01">
        <w:rPr>
          <w:rFonts w:ascii="Century Gothic" w:hAnsi="Century Gothic" w:cstheme="minorHAnsi"/>
          <w:sz w:val="20"/>
          <w:szCs w:val="21"/>
        </w:rPr>
        <w:t>arbon capture and storage/use</w:t>
      </w:r>
      <w:r>
        <w:rPr>
          <w:rFonts w:ascii="Century Gothic" w:hAnsi="Century Gothic" w:cstheme="minorHAnsi"/>
          <w:sz w:val="20"/>
          <w:szCs w:val="21"/>
        </w:rPr>
        <w:t xml:space="preserve"> in BF-BOF;</w:t>
      </w:r>
    </w:p>
    <w:p w14:paraId="4A62DD27" w14:textId="533242CF" w:rsidR="00D9508B" w:rsidRPr="00042C01" w:rsidRDefault="00DC30FC" w:rsidP="006B3044">
      <w:pPr>
        <w:pStyle w:val="ListParagraph"/>
        <w:numPr>
          <w:ilvl w:val="0"/>
          <w:numId w:val="25"/>
        </w:numPr>
        <w:spacing w:before="40" w:after="120"/>
        <w:contextualSpacing w:val="0"/>
        <w:rPr>
          <w:rFonts w:ascii="Century Gothic" w:hAnsi="Century Gothic" w:cstheme="minorHAnsi"/>
          <w:sz w:val="20"/>
          <w:szCs w:val="21"/>
        </w:rPr>
      </w:pPr>
      <w:r>
        <w:rPr>
          <w:rFonts w:ascii="Century Gothic" w:hAnsi="Century Gothic" w:cstheme="minorHAnsi"/>
          <w:sz w:val="20"/>
          <w:szCs w:val="21"/>
        </w:rPr>
        <w:t xml:space="preserve">Using biomass in BF-BOF – however, this solution is unlikely to be scalable, </w:t>
      </w:r>
      <w:r w:rsidRPr="00042C01">
        <w:rPr>
          <w:rFonts w:ascii="Century Gothic" w:hAnsi="Century Gothic" w:cstheme="minorHAnsi"/>
          <w:sz w:val="20"/>
          <w:szCs w:val="21"/>
        </w:rPr>
        <w:t>except in specific locations with large sustainable biomass resources,</w:t>
      </w:r>
      <w:r>
        <w:rPr>
          <w:rFonts w:ascii="Century Gothic" w:hAnsi="Century Gothic" w:cstheme="minorHAnsi"/>
          <w:sz w:val="20"/>
          <w:szCs w:val="21"/>
        </w:rPr>
        <w:t xml:space="preserve"> due to scarce sustainable biomass resources</w:t>
      </w:r>
      <w:r w:rsidR="00C02D48">
        <w:rPr>
          <w:rFonts w:ascii="Century Gothic" w:hAnsi="Century Gothic" w:cstheme="minorHAnsi"/>
          <w:sz w:val="20"/>
          <w:szCs w:val="21"/>
        </w:rPr>
        <w:t>.</w:t>
      </w:r>
    </w:p>
    <w:p w14:paraId="011BD711" w14:textId="4A39E6F9" w:rsidR="00DC30FC" w:rsidRDefault="00DC30FC" w:rsidP="00DC30FC">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 xml:space="preserve">The </w:t>
      </w:r>
      <w:r>
        <w:rPr>
          <w:rFonts w:ascii="Century Gothic" w:hAnsi="Century Gothic" w:cstheme="minorHAnsi"/>
          <w:sz w:val="20"/>
          <w:szCs w:val="21"/>
        </w:rPr>
        <w:t>most cost-competitive option</w:t>
      </w:r>
      <w:r w:rsidRPr="00042C01">
        <w:rPr>
          <w:rFonts w:ascii="Century Gothic" w:hAnsi="Century Gothic" w:cstheme="minorHAnsi"/>
          <w:sz w:val="20"/>
          <w:szCs w:val="21"/>
        </w:rPr>
        <w:t xml:space="preserve"> will most likely vary by location, in line with (significant) differences in the </w:t>
      </w:r>
      <w:r>
        <w:rPr>
          <w:rFonts w:ascii="Century Gothic" w:hAnsi="Century Gothic" w:cstheme="minorHAnsi"/>
          <w:sz w:val="20"/>
          <w:szCs w:val="21"/>
        </w:rPr>
        <w:t xml:space="preserve">local </w:t>
      </w:r>
      <w:r w:rsidRPr="00042C01">
        <w:rPr>
          <w:rFonts w:ascii="Century Gothic" w:hAnsi="Century Gothic" w:cstheme="minorHAnsi"/>
          <w:sz w:val="20"/>
          <w:szCs w:val="21"/>
        </w:rPr>
        <w:t>price</w:t>
      </w:r>
      <w:r>
        <w:rPr>
          <w:rFonts w:ascii="Century Gothic" w:hAnsi="Century Gothic" w:cstheme="minorHAnsi"/>
          <w:sz w:val="20"/>
          <w:szCs w:val="21"/>
        </w:rPr>
        <w:t>s</w:t>
      </w:r>
      <w:r w:rsidRPr="00042C01">
        <w:rPr>
          <w:rFonts w:ascii="Century Gothic" w:hAnsi="Century Gothic" w:cstheme="minorHAnsi"/>
          <w:sz w:val="20"/>
          <w:szCs w:val="21"/>
        </w:rPr>
        <w:t xml:space="preserve"> of renewable electricity, and both the technical feasibility and political acceptability of CCS.</w:t>
      </w:r>
      <w:r>
        <w:rPr>
          <w:rFonts w:ascii="Century Gothic" w:hAnsi="Century Gothic" w:cstheme="minorHAnsi"/>
          <w:sz w:val="20"/>
          <w:szCs w:val="21"/>
        </w:rPr>
        <w:t xml:space="preserve"> Exhibit 2 shows that availability of cheap renewable electricity (below USD 40 per MWh) will make the hydrogen option more cost-competitive than the CCS option</w:t>
      </w:r>
      <w:r w:rsidR="00C02D48">
        <w:rPr>
          <w:rStyle w:val="FootnoteReference"/>
          <w:rFonts w:ascii="Century Gothic" w:hAnsi="Century Gothic" w:cstheme="minorHAnsi"/>
          <w:sz w:val="20"/>
          <w:szCs w:val="21"/>
        </w:rPr>
        <w:footnoteReference w:id="9"/>
      </w:r>
      <w:r>
        <w:rPr>
          <w:rFonts w:ascii="Century Gothic" w:hAnsi="Century Gothic" w:cstheme="minorHAnsi"/>
          <w:sz w:val="20"/>
          <w:szCs w:val="21"/>
        </w:rPr>
        <w:t>.</w:t>
      </w:r>
    </w:p>
    <w:p w14:paraId="535C417B" w14:textId="6958E3F1" w:rsidR="00DC30FC" w:rsidRDefault="00DC30FC" w:rsidP="00DC30FC">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Exhibit 2 also shows that, in the foreseeable future, zero-carbon virgin steel production will remain more expensive than the high-carbon alternative</w:t>
      </w:r>
      <w:r w:rsidR="00B7322B">
        <w:rPr>
          <w:rFonts w:ascii="Century Gothic" w:hAnsi="Century Gothic" w:cstheme="minorHAnsi"/>
          <w:sz w:val="20"/>
          <w:szCs w:val="21"/>
        </w:rPr>
        <w:t xml:space="preserve"> (see point 3.1)</w:t>
      </w:r>
      <w:r>
        <w:rPr>
          <w:rFonts w:ascii="Century Gothic" w:hAnsi="Century Gothic" w:cstheme="minorHAnsi"/>
          <w:sz w:val="20"/>
          <w:szCs w:val="21"/>
        </w:rPr>
        <w:t>.</w:t>
      </w:r>
    </w:p>
    <w:p w14:paraId="122D8D1D" w14:textId="77777777" w:rsidR="00C02D48" w:rsidRPr="00C02D48" w:rsidRDefault="00C02D48" w:rsidP="00C02D48">
      <w:pPr>
        <w:spacing w:before="40" w:after="120"/>
        <w:ind w:left="66"/>
        <w:rPr>
          <w:rFonts w:ascii="Century Gothic" w:hAnsi="Century Gothic" w:cstheme="minorHAnsi"/>
          <w:sz w:val="20"/>
          <w:szCs w:val="21"/>
        </w:rPr>
      </w:pPr>
    </w:p>
    <w:p w14:paraId="2AB7EB4E" w14:textId="77777777" w:rsidR="00E200D0" w:rsidRDefault="00E200D0" w:rsidP="00E200D0">
      <w:r w:rsidRPr="00593F3E">
        <w:rPr>
          <w:noProof/>
        </w:rPr>
        <w:drawing>
          <wp:inline distT="0" distB="0" distL="0" distR="0" wp14:anchorId="3F74541D" wp14:editId="6CCBBF83">
            <wp:extent cx="5731510" cy="3216275"/>
            <wp:effectExtent l="19050" t="19050" r="2159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16275"/>
                    </a:xfrm>
                    <a:prstGeom prst="rect">
                      <a:avLst/>
                    </a:prstGeom>
                    <a:noFill/>
                    <a:ln>
                      <a:solidFill>
                        <a:schemeClr val="accent1"/>
                      </a:solidFill>
                    </a:ln>
                  </pic:spPr>
                </pic:pic>
              </a:graphicData>
            </a:graphic>
          </wp:inline>
        </w:drawing>
      </w:r>
    </w:p>
    <w:p w14:paraId="6CCAE9B2" w14:textId="269A14E9" w:rsidR="00E200D0" w:rsidRPr="00E200D0" w:rsidRDefault="00E200D0" w:rsidP="00E200D0">
      <w:pPr>
        <w:pStyle w:val="Caption"/>
        <w:rPr>
          <w:b/>
          <w:bCs/>
          <w:color w:val="002060"/>
          <w:sz w:val="20"/>
          <w:szCs w:val="20"/>
        </w:rPr>
      </w:pPr>
      <w:r>
        <w:rPr>
          <w:b/>
          <w:bCs/>
          <w:i w:val="0"/>
          <w:iCs w:val="0"/>
          <w:color w:val="002060"/>
          <w:sz w:val="20"/>
          <w:szCs w:val="20"/>
        </w:rPr>
        <w:t>Exhibit 1</w:t>
      </w:r>
    </w:p>
    <w:p w14:paraId="56639DBD" w14:textId="77777777" w:rsidR="009532D2" w:rsidRPr="00042C01" w:rsidRDefault="000D5C97" w:rsidP="009532D2">
      <w:pPr>
        <w:keepNext/>
      </w:pPr>
      <w:r w:rsidRPr="00042C01">
        <w:rPr>
          <w:rFonts w:ascii="Arial" w:hAnsi="Arial" w:cs="Arial"/>
          <w:noProof/>
        </w:rPr>
        <w:drawing>
          <wp:inline distT="0" distB="0" distL="0" distR="0" wp14:anchorId="0ED88C78" wp14:editId="5DE7C75A">
            <wp:extent cx="5731510" cy="3225870"/>
            <wp:effectExtent l="19050" t="19050" r="2159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25870"/>
                    </a:xfrm>
                    <a:prstGeom prst="rect">
                      <a:avLst/>
                    </a:prstGeom>
                    <a:noFill/>
                    <a:ln>
                      <a:solidFill>
                        <a:schemeClr val="accent1"/>
                      </a:solidFill>
                    </a:ln>
                  </pic:spPr>
                </pic:pic>
              </a:graphicData>
            </a:graphic>
          </wp:inline>
        </w:drawing>
      </w:r>
    </w:p>
    <w:p w14:paraId="23D48DE9" w14:textId="47EEA959" w:rsidR="009F5DC9" w:rsidRDefault="009532D2" w:rsidP="009532D2">
      <w:pPr>
        <w:pStyle w:val="Caption"/>
        <w:rPr>
          <w:b/>
          <w:bCs/>
          <w:i w:val="0"/>
          <w:iCs w:val="0"/>
          <w:color w:val="002060"/>
          <w:sz w:val="20"/>
          <w:szCs w:val="20"/>
        </w:rPr>
      </w:pPr>
      <w:r w:rsidRPr="00042C01">
        <w:rPr>
          <w:b/>
          <w:bCs/>
          <w:i w:val="0"/>
          <w:iCs w:val="0"/>
          <w:color w:val="002060"/>
          <w:sz w:val="20"/>
          <w:szCs w:val="20"/>
        </w:rPr>
        <w:t xml:space="preserve">Exhibit </w:t>
      </w:r>
      <w:r w:rsidR="00DC30FC">
        <w:rPr>
          <w:b/>
          <w:bCs/>
          <w:i w:val="0"/>
          <w:iCs w:val="0"/>
          <w:color w:val="002060"/>
          <w:sz w:val="20"/>
          <w:szCs w:val="20"/>
        </w:rPr>
        <w:t>2</w:t>
      </w:r>
    </w:p>
    <w:p w14:paraId="29E39FD0" w14:textId="77777777" w:rsidR="005F659F" w:rsidRPr="005F659F" w:rsidRDefault="005F659F" w:rsidP="005F659F"/>
    <w:p w14:paraId="7206D7E7" w14:textId="2CAD3DC2" w:rsidR="00314B9C" w:rsidRPr="00042C01" w:rsidRDefault="002028F6"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STATUS: </w:t>
      </w:r>
      <w:r w:rsidR="000403E4" w:rsidRPr="00042C01">
        <w:rPr>
          <w:rStyle w:val="normaltextrun"/>
          <w:rFonts w:ascii="Century Gothic" w:hAnsi="Century Gothic" w:cs="Arial"/>
          <w:b/>
          <w:bCs/>
          <w:color w:val="002060"/>
          <w:sz w:val="22"/>
          <w:szCs w:val="22"/>
        </w:rPr>
        <w:t>What is preventing the</w:t>
      </w:r>
      <w:r w:rsidR="00314B9C" w:rsidRPr="00042C01">
        <w:rPr>
          <w:rStyle w:val="normaltextrun"/>
          <w:rFonts w:ascii="Century Gothic" w:hAnsi="Century Gothic" w:cs="Arial"/>
          <w:b/>
          <w:bCs/>
          <w:color w:val="002060"/>
          <w:sz w:val="22"/>
          <w:szCs w:val="22"/>
        </w:rPr>
        <w:t xml:space="preserve"> decarbonis</w:t>
      </w:r>
      <w:r w:rsidR="000403E4" w:rsidRPr="00042C01">
        <w:rPr>
          <w:rStyle w:val="normaltextrun"/>
          <w:rFonts w:ascii="Century Gothic" w:hAnsi="Century Gothic" w:cs="Arial"/>
          <w:b/>
          <w:bCs/>
          <w:color w:val="002060"/>
          <w:sz w:val="22"/>
          <w:szCs w:val="22"/>
        </w:rPr>
        <w:t xml:space="preserve">ation of </w:t>
      </w:r>
      <w:r w:rsidR="00314B9C" w:rsidRPr="00042C01">
        <w:rPr>
          <w:rStyle w:val="normaltextrun"/>
          <w:rFonts w:ascii="Century Gothic" w:hAnsi="Century Gothic" w:cs="Arial"/>
          <w:b/>
          <w:bCs/>
          <w:color w:val="002060"/>
          <w:sz w:val="22"/>
          <w:szCs w:val="22"/>
        </w:rPr>
        <w:t>steel?</w:t>
      </w:r>
    </w:p>
    <w:p w14:paraId="1F63A727" w14:textId="3BEF88E9" w:rsidR="00711BD5" w:rsidRPr="00042C01" w:rsidRDefault="00B7322B" w:rsidP="00711BD5">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Given the internationally-traded nature of steel and</w:t>
      </w:r>
      <w:r w:rsidR="00711BD5" w:rsidRPr="00042C01">
        <w:rPr>
          <w:rStyle w:val="normaltextrun"/>
          <w:rFonts w:ascii="Century Gothic" w:hAnsi="Century Gothic" w:cs="Arial"/>
          <w:i/>
          <w:iCs/>
          <w:color w:val="002060"/>
          <w:sz w:val="22"/>
          <w:szCs w:val="22"/>
        </w:rPr>
        <w:t xml:space="preserve"> the cost differential</w:t>
      </w:r>
      <w:r>
        <w:rPr>
          <w:rStyle w:val="normaltextrun"/>
          <w:rFonts w:ascii="Century Gothic" w:hAnsi="Century Gothic" w:cs="Arial"/>
          <w:i/>
          <w:iCs/>
          <w:color w:val="002060"/>
          <w:sz w:val="22"/>
          <w:szCs w:val="22"/>
        </w:rPr>
        <w:t xml:space="preserve"> between zero-carbon and high-carbon virgin production processes, it is</w:t>
      </w:r>
      <w:r w:rsidR="00711BD5" w:rsidRPr="00042C01">
        <w:rPr>
          <w:rStyle w:val="normaltextrun"/>
          <w:rFonts w:ascii="Century Gothic" w:hAnsi="Century Gothic" w:cs="Arial"/>
          <w:i/>
          <w:iCs/>
          <w:color w:val="002060"/>
          <w:sz w:val="22"/>
          <w:szCs w:val="22"/>
        </w:rPr>
        <w:t xml:space="preserve"> impossible for any given player </w:t>
      </w:r>
      <w:r w:rsidR="00064C9E" w:rsidRPr="00042C01">
        <w:rPr>
          <w:rStyle w:val="normaltextrun"/>
          <w:rFonts w:ascii="Century Gothic" w:hAnsi="Century Gothic" w:cs="Arial"/>
          <w:i/>
          <w:iCs/>
          <w:color w:val="002060"/>
          <w:sz w:val="22"/>
          <w:szCs w:val="22"/>
        </w:rPr>
        <w:t xml:space="preserve">to </w:t>
      </w:r>
      <w:r>
        <w:rPr>
          <w:rStyle w:val="normaltextrun"/>
          <w:rFonts w:ascii="Century Gothic" w:hAnsi="Century Gothic" w:cs="Arial"/>
          <w:i/>
          <w:iCs/>
          <w:color w:val="002060"/>
          <w:sz w:val="22"/>
          <w:szCs w:val="22"/>
        </w:rPr>
        <w:t xml:space="preserve">engage in the decarbonisation of virgin production without losing to competitors, unless policy measures create a level playing field </w:t>
      </w:r>
      <w:r w:rsidR="0041447B" w:rsidRPr="00042C01">
        <w:rPr>
          <w:rStyle w:val="normaltextrun"/>
          <w:rFonts w:ascii="Century Gothic" w:hAnsi="Century Gothic" w:cs="Arial"/>
          <w:i/>
          <w:iCs/>
          <w:color w:val="002060"/>
          <w:sz w:val="22"/>
          <w:szCs w:val="22"/>
        </w:rPr>
        <w:t xml:space="preserve">and/or </w:t>
      </w:r>
      <w:r w:rsidR="00711BD5" w:rsidRPr="00042C01">
        <w:rPr>
          <w:rStyle w:val="normaltextrun"/>
          <w:rFonts w:ascii="Century Gothic" w:hAnsi="Century Gothic" w:cs="Arial"/>
          <w:i/>
          <w:iCs/>
          <w:color w:val="002060"/>
          <w:sz w:val="22"/>
          <w:szCs w:val="22"/>
        </w:rPr>
        <w:t>a differentiated market</w:t>
      </w:r>
      <w:r>
        <w:rPr>
          <w:rStyle w:val="normaltextrun"/>
          <w:rFonts w:ascii="Century Gothic" w:hAnsi="Century Gothic" w:cs="Arial"/>
          <w:i/>
          <w:iCs/>
          <w:color w:val="002060"/>
          <w:sz w:val="22"/>
          <w:szCs w:val="22"/>
        </w:rPr>
        <w:t xml:space="preserve"> for zero-carbon steel is created.</w:t>
      </w:r>
    </w:p>
    <w:p w14:paraId="14324EF8" w14:textId="419BF4C7" w:rsidR="00E016D3" w:rsidRDefault="0041447B" w:rsidP="00E016D3">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Zero-</w:t>
      </w:r>
      <w:r w:rsidR="00E861F6" w:rsidRPr="00042C01">
        <w:rPr>
          <w:rFonts w:ascii="Century Gothic" w:hAnsi="Century Gothic" w:cstheme="minorHAnsi"/>
          <w:sz w:val="20"/>
          <w:szCs w:val="21"/>
        </w:rPr>
        <w:t>emissions</w:t>
      </w:r>
      <w:r w:rsidR="00413EAB" w:rsidRPr="00042C01">
        <w:rPr>
          <w:rFonts w:ascii="Century Gothic" w:hAnsi="Century Gothic" w:cstheme="minorHAnsi"/>
          <w:sz w:val="20"/>
          <w:szCs w:val="21"/>
        </w:rPr>
        <w:t xml:space="preserve"> </w:t>
      </w:r>
      <w:r w:rsidR="006C4C79">
        <w:rPr>
          <w:rFonts w:ascii="Century Gothic" w:hAnsi="Century Gothic" w:cstheme="minorHAnsi"/>
          <w:sz w:val="20"/>
          <w:szCs w:val="21"/>
        </w:rPr>
        <w:t>virgin</w:t>
      </w:r>
      <w:r w:rsidR="00413EAB" w:rsidRPr="00042C01">
        <w:rPr>
          <w:rFonts w:ascii="Century Gothic" w:hAnsi="Century Gothic" w:cstheme="minorHAnsi"/>
          <w:sz w:val="20"/>
          <w:szCs w:val="21"/>
        </w:rPr>
        <w:t xml:space="preserve"> steel </w:t>
      </w:r>
      <w:r w:rsidR="00E016D3">
        <w:rPr>
          <w:rFonts w:ascii="Century Gothic" w:hAnsi="Century Gothic" w:cstheme="minorHAnsi"/>
          <w:sz w:val="20"/>
          <w:szCs w:val="21"/>
        </w:rPr>
        <w:t>will be</w:t>
      </w:r>
      <w:r w:rsidR="00AD648B" w:rsidRPr="00042C01">
        <w:rPr>
          <w:rFonts w:ascii="Century Gothic" w:hAnsi="Century Gothic" w:cstheme="minorHAnsi"/>
          <w:sz w:val="20"/>
          <w:szCs w:val="21"/>
        </w:rPr>
        <w:t xml:space="preserve"> technically </w:t>
      </w:r>
      <w:r w:rsidR="00E861F6" w:rsidRPr="00042C01">
        <w:rPr>
          <w:rFonts w:ascii="Century Gothic" w:hAnsi="Century Gothic" w:cstheme="minorHAnsi"/>
          <w:sz w:val="20"/>
          <w:szCs w:val="21"/>
        </w:rPr>
        <w:t>feasible</w:t>
      </w:r>
      <w:r w:rsidR="00E016D3">
        <w:rPr>
          <w:rFonts w:ascii="Century Gothic" w:hAnsi="Century Gothic" w:cstheme="minorHAnsi"/>
          <w:sz w:val="20"/>
          <w:szCs w:val="21"/>
        </w:rPr>
        <w:t xml:space="preserve"> by the </w:t>
      </w:r>
      <w:proofErr w:type="gramStart"/>
      <w:r w:rsidR="00E016D3">
        <w:rPr>
          <w:rFonts w:ascii="Century Gothic" w:hAnsi="Century Gothic" w:cstheme="minorHAnsi"/>
          <w:sz w:val="20"/>
          <w:szCs w:val="21"/>
        </w:rPr>
        <w:t>2030s</w:t>
      </w:r>
      <w:r w:rsidR="00B7322B">
        <w:rPr>
          <w:rFonts w:ascii="Century Gothic" w:hAnsi="Century Gothic" w:cstheme="minorHAnsi"/>
          <w:sz w:val="20"/>
          <w:szCs w:val="21"/>
        </w:rPr>
        <w:t>,</w:t>
      </w:r>
      <w:r w:rsidR="00AD648B" w:rsidRPr="00042C01">
        <w:rPr>
          <w:rFonts w:ascii="Century Gothic" w:hAnsi="Century Gothic" w:cstheme="minorHAnsi"/>
          <w:sz w:val="20"/>
          <w:szCs w:val="21"/>
        </w:rPr>
        <w:t xml:space="preserve"> </w:t>
      </w:r>
      <w:r w:rsidR="00CD38FC" w:rsidRPr="00042C01">
        <w:rPr>
          <w:rFonts w:ascii="Century Gothic" w:hAnsi="Century Gothic" w:cstheme="minorHAnsi"/>
          <w:sz w:val="20"/>
          <w:szCs w:val="21"/>
        </w:rPr>
        <w:t>but</w:t>
      </w:r>
      <w:proofErr w:type="gramEnd"/>
      <w:r w:rsidR="00CD38FC" w:rsidRPr="00042C01">
        <w:rPr>
          <w:rFonts w:ascii="Century Gothic" w:hAnsi="Century Gothic" w:cstheme="minorHAnsi"/>
          <w:sz w:val="20"/>
          <w:szCs w:val="21"/>
        </w:rPr>
        <w:t xml:space="preserve"> </w:t>
      </w:r>
      <w:r w:rsidR="00E016D3">
        <w:rPr>
          <w:rFonts w:ascii="Century Gothic" w:hAnsi="Century Gothic" w:cstheme="minorHAnsi"/>
          <w:sz w:val="20"/>
          <w:szCs w:val="21"/>
        </w:rPr>
        <w:t>will not be</w:t>
      </w:r>
      <w:r w:rsidR="00CD38FC" w:rsidRPr="00042C01">
        <w:rPr>
          <w:rFonts w:ascii="Century Gothic" w:hAnsi="Century Gothic" w:cstheme="minorHAnsi"/>
          <w:sz w:val="20"/>
          <w:szCs w:val="21"/>
        </w:rPr>
        <w:t xml:space="preserve"> cost</w:t>
      </w:r>
      <w:r w:rsidR="00B7322B">
        <w:rPr>
          <w:rFonts w:ascii="Century Gothic" w:hAnsi="Century Gothic" w:cstheme="minorHAnsi"/>
          <w:sz w:val="20"/>
          <w:szCs w:val="21"/>
        </w:rPr>
        <w:t>-</w:t>
      </w:r>
      <w:r w:rsidR="00CD38FC" w:rsidRPr="00042C01">
        <w:rPr>
          <w:rFonts w:ascii="Century Gothic" w:hAnsi="Century Gothic" w:cstheme="minorHAnsi"/>
          <w:sz w:val="20"/>
          <w:szCs w:val="21"/>
        </w:rPr>
        <w:t xml:space="preserve">competitive relative to </w:t>
      </w:r>
      <w:r w:rsidR="00AD648B" w:rsidRPr="00042C01">
        <w:rPr>
          <w:rFonts w:ascii="Century Gothic" w:hAnsi="Century Gothic" w:cstheme="minorHAnsi"/>
          <w:sz w:val="20"/>
          <w:szCs w:val="21"/>
        </w:rPr>
        <w:t>conventional production</w:t>
      </w:r>
      <w:r w:rsidR="003B0CD4" w:rsidRPr="00042C01">
        <w:rPr>
          <w:rFonts w:ascii="Century Gothic" w:hAnsi="Century Gothic" w:cstheme="minorHAnsi"/>
          <w:sz w:val="20"/>
          <w:szCs w:val="21"/>
        </w:rPr>
        <w:t xml:space="preserve"> </w:t>
      </w:r>
      <w:r w:rsidR="003B0CD4" w:rsidRPr="00042C01">
        <w:rPr>
          <w:rFonts w:ascii="Century Gothic" w:hAnsi="Century Gothic" w:cstheme="minorHAnsi"/>
          <w:sz w:val="20"/>
          <w:szCs w:val="21"/>
        </w:rPr>
        <w:t>techniques</w:t>
      </w:r>
      <w:r w:rsidR="005C6585" w:rsidRPr="00042C01">
        <w:rPr>
          <w:rFonts w:ascii="Century Gothic" w:hAnsi="Century Gothic" w:cstheme="minorHAnsi"/>
          <w:sz w:val="20"/>
          <w:szCs w:val="21"/>
        </w:rPr>
        <w:t xml:space="preserve">. </w:t>
      </w:r>
      <w:r w:rsidR="006C4C79">
        <w:rPr>
          <w:rFonts w:ascii="Century Gothic" w:hAnsi="Century Gothic" w:cstheme="minorHAnsi"/>
          <w:sz w:val="20"/>
          <w:szCs w:val="21"/>
        </w:rPr>
        <w:t>A</w:t>
      </w:r>
      <w:r w:rsidR="006C4C79" w:rsidRPr="00042C01">
        <w:rPr>
          <w:rFonts w:ascii="Century Gothic" w:hAnsi="Century Gothic" w:cstheme="minorHAnsi"/>
          <w:sz w:val="20"/>
          <w:szCs w:val="21"/>
        </w:rPr>
        <w:t xml:space="preserve">t the intermediate product level, </w:t>
      </w:r>
      <w:r w:rsidR="006C4C79">
        <w:rPr>
          <w:rFonts w:ascii="Century Gothic" w:hAnsi="Century Gothic" w:cstheme="minorHAnsi"/>
          <w:sz w:val="20"/>
          <w:szCs w:val="21"/>
        </w:rPr>
        <w:t xml:space="preserve">decarbonisation </w:t>
      </w:r>
      <w:r w:rsidR="006C4C79" w:rsidRPr="00042C01">
        <w:rPr>
          <w:rFonts w:ascii="Century Gothic" w:hAnsi="Century Gothic" w:cstheme="minorHAnsi"/>
          <w:sz w:val="20"/>
          <w:szCs w:val="21"/>
        </w:rPr>
        <w:t xml:space="preserve">could </w:t>
      </w:r>
      <w:r w:rsidR="006C4C79">
        <w:rPr>
          <w:rFonts w:ascii="Century Gothic" w:hAnsi="Century Gothic" w:cstheme="minorHAnsi"/>
          <w:sz w:val="20"/>
          <w:szCs w:val="21"/>
        </w:rPr>
        <w:t>add</w:t>
      </w:r>
      <w:r w:rsidR="006C4C79" w:rsidRPr="00042C01">
        <w:rPr>
          <w:rFonts w:ascii="Century Gothic" w:hAnsi="Century Gothic" w:cstheme="minorHAnsi"/>
          <w:sz w:val="20"/>
          <w:szCs w:val="21"/>
        </w:rPr>
        <w:t xml:space="preserve"> </w:t>
      </w:r>
      <w:r w:rsidR="006C4C79">
        <w:rPr>
          <w:rFonts w:ascii="Century Gothic" w:hAnsi="Century Gothic" w:cstheme="minorHAnsi"/>
          <w:sz w:val="20"/>
          <w:szCs w:val="21"/>
        </w:rPr>
        <w:t>between 20-50%</w:t>
      </w:r>
      <w:r w:rsidR="005405C6">
        <w:rPr>
          <w:rFonts w:ascii="Century Gothic" w:hAnsi="Century Gothic" w:cstheme="minorHAnsi"/>
          <w:sz w:val="20"/>
          <w:szCs w:val="21"/>
        </w:rPr>
        <w:t xml:space="preserve"> </w:t>
      </w:r>
      <w:r w:rsidR="00AD63DE">
        <w:rPr>
          <w:rFonts w:ascii="Century Gothic" w:hAnsi="Century Gothic" w:cstheme="minorHAnsi"/>
          <w:sz w:val="20"/>
          <w:szCs w:val="21"/>
        </w:rPr>
        <w:t>(with the range reflecting</w:t>
      </w:r>
      <w:r w:rsidR="005555C2">
        <w:rPr>
          <w:rFonts w:ascii="Century Gothic" w:hAnsi="Century Gothic" w:cstheme="minorHAnsi"/>
          <w:sz w:val="20"/>
          <w:szCs w:val="21"/>
        </w:rPr>
        <w:t xml:space="preserve"> different production routes and </w:t>
      </w:r>
      <w:r w:rsidR="00786228">
        <w:rPr>
          <w:rFonts w:ascii="Century Gothic" w:hAnsi="Century Gothic" w:cstheme="minorHAnsi"/>
          <w:sz w:val="20"/>
          <w:szCs w:val="21"/>
        </w:rPr>
        <w:t>the</w:t>
      </w:r>
      <w:r w:rsidR="00315BE6">
        <w:rPr>
          <w:rFonts w:ascii="Century Gothic" w:hAnsi="Century Gothic" w:cstheme="minorHAnsi"/>
          <w:sz w:val="20"/>
          <w:szCs w:val="21"/>
        </w:rPr>
        <w:t xml:space="preserve"> fact that </w:t>
      </w:r>
      <w:r w:rsidR="007259D3">
        <w:rPr>
          <w:rFonts w:ascii="Century Gothic" w:hAnsi="Century Gothic" w:cstheme="minorHAnsi"/>
          <w:sz w:val="20"/>
          <w:szCs w:val="21"/>
        </w:rPr>
        <w:t>cost</w:t>
      </w:r>
      <w:r w:rsidR="00315BE6">
        <w:rPr>
          <w:rFonts w:ascii="Century Gothic" w:hAnsi="Century Gothic" w:cstheme="minorHAnsi"/>
          <w:sz w:val="20"/>
          <w:szCs w:val="21"/>
        </w:rPr>
        <w:t xml:space="preserve"> will vary from location to location depending on </w:t>
      </w:r>
      <w:r w:rsidR="005555C2">
        <w:rPr>
          <w:rFonts w:ascii="Century Gothic" w:hAnsi="Century Gothic" w:cstheme="minorHAnsi"/>
          <w:sz w:val="20"/>
          <w:szCs w:val="21"/>
        </w:rPr>
        <w:t>local resource prices</w:t>
      </w:r>
      <w:r w:rsidR="00315BE6">
        <w:rPr>
          <w:rFonts w:ascii="Century Gothic" w:hAnsi="Century Gothic" w:cstheme="minorHAnsi"/>
          <w:sz w:val="20"/>
          <w:szCs w:val="21"/>
        </w:rPr>
        <w:t xml:space="preserve">) </w:t>
      </w:r>
      <w:r w:rsidR="006C4C79" w:rsidRPr="005756B4">
        <w:rPr>
          <w:rFonts w:ascii="Century Gothic" w:hAnsi="Century Gothic" w:cstheme="minorHAnsi"/>
          <w:sz w:val="20"/>
          <w:szCs w:val="21"/>
        </w:rPr>
        <w:t>on the price of a tonne of bulk steel (USD 100-200 on a tonne of steel currently sold at USD 400-600).</w:t>
      </w:r>
      <w:r w:rsidR="00E016D3" w:rsidRPr="005756B4">
        <w:rPr>
          <w:rFonts w:ascii="Century Gothic" w:hAnsi="Century Gothic" w:cstheme="minorHAnsi"/>
          <w:sz w:val="20"/>
          <w:szCs w:val="21"/>
        </w:rPr>
        <w:t xml:space="preserve"> However, t</w:t>
      </w:r>
      <w:r w:rsidR="006C4C79" w:rsidRPr="005756B4">
        <w:rPr>
          <w:rFonts w:ascii="Century Gothic" w:hAnsi="Century Gothic" w:cstheme="minorHAnsi"/>
          <w:sz w:val="20"/>
          <w:szCs w:val="21"/>
        </w:rPr>
        <w:t>his impact</w:t>
      </w:r>
      <w:r w:rsidR="00E016D3" w:rsidRPr="005756B4">
        <w:rPr>
          <w:rFonts w:ascii="Century Gothic" w:hAnsi="Century Gothic" w:cstheme="minorHAnsi"/>
          <w:sz w:val="20"/>
          <w:szCs w:val="21"/>
        </w:rPr>
        <w:t xml:space="preserve"> </w:t>
      </w:r>
      <w:r w:rsidR="006C4C79" w:rsidRPr="005756B4">
        <w:rPr>
          <w:rFonts w:ascii="Century Gothic" w:hAnsi="Century Gothic" w:cstheme="minorHAnsi"/>
          <w:sz w:val="20"/>
          <w:szCs w:val="21"/>
        </w:rPr>
        <w:t>could be proportionally much lower for speciality steel (an additional USD 200 on a tonne of specialty steel currently sold at USD 2000</w:t>
      </w:r>
      <w:r w:rsidR="00E016D3" w:rsidRPr="005756B4">
        <w:rPr>
          <w:rFonts w:ascii="Century Gothic" w:hAnsi="Century Gothic" w:cstheme="minorHAnsi"/>
          <w:sz w:val="20"/>
          <w:szCs w:val="21"/>
        </w:rPr>
        <w:t xml:space="preserve"> would represent a 10% increase only). And the </w:t>
      </w:r>
      <w:r w:rsidR="006C4C79" w:rsidRPr="005756B4">
        <w:rPr>
          <w:rFonts w:ascii="Century Gothic" w:hAnsi="Century Gothic" w:cstheme="minorHAnsi"/>
          <w:sz w:val="20"/>
          <w:szCs w:val="21"/>
        </w:rPr>
        <w:t>impact on end consumer products made of steel</w:t>
      </w:r>
      <w:r w:rsidR="00CD38FC" w:rsidRPr="005756B4">
        <w:rPr>
          <w:rFonts w:ascii="Century Gothic" w:hAnsi="Century Gothic" w:cstheme="minorHAnsi"/>
          <w:sz w:val="20"/>
          <w:szCs w:val="21"/>
        </w:rPr>
        <w:t xml:space="preserve"> are likely to be relatively modest (e.g. </w:t>
      </w:r>
      <w:r w:rsidR="00CB1FC3" w:rsidRPr="005756B4">
        <w:rPr>
          <w:rFonts w:ascii="Century Gothic" w:hAnsi="Century Gothic" w:cstheme="minorHAnsi"/>
          <w:sz w:val="20"/>
          <w:szCs w:val="21"/>
        </w:rPr>
        <w:t xml:space="preserve">approx. </w:t>
      </w:r>
      <w:r w:rsidR="00CD38FC" w:rsidRPr="005756B4">
        <w:rPr>
          <w:rFonts w:ascii="Century Gothic" w:hAnsi="Century Gothic" w:cstheme="minorHAnsi"/>
          <w:sz w:val="20"/>
          <w:szCs w:val="21"/>
        </w:rPr>
        <w:t>+1% o</w:t>
      </w:r>
      <w:r w:rsidR="006C4C79" w:rsidRPr="005756B4">
        <w:rPr>
          <w:rFonts w:ascii="Century Gothic" w:hAnsi="Century Gothic" w:cstheme="minorHAnsi"/>
          <w:sz w:val="20"/>
          <w:szCs w:val="21"/>
        </w:rPr>
        <w:t>n</w:t>
      </w:r>
      <w:r w:rsidR="00CD38FC" w:rsidRPr="005756B4">
        <w:rPr>
          <w:rFonts w:ascii="Century Gothic" w:hAnsi="Century Gothic" w:cstheme="minorHAnsi"/>
          <w:sz w:val="20"/>
          <w:szCs w:val="21"/>
        </w:rPr>
        <w:t xml:space="preserve"> retail price of </w:t>
      </w:r>
      <w:r w:rsidR="00E016D3" w:rsidRPr="005756B4">
        <w:rPr>
          <w:rFonts w:ascii="Century Gothic" w:hAnsi="Century Gothic" w:cstheme="minorHAnsi"/>
          <w:sz w:val="20"/>
          <w:szCs w:val="21"/>
        </w:rPr>
        <w:t xml:space="preserve">a </w:t>
      </w:r>
      <w:r w:rsidR="00CD38FC" w:rsidRPr="005756B4">
        <w:rPr>
          <w:rFonts w:ascii="Century Gothic" w:hAnsi="Century Gothic" w:cstheme="minorHAnsi"/>
          <w:sz w:val="20"/>
          <w:szCs w:val="21"/>
        </w:rPr>
        <w:t xml:space="preserve">new </w:t>
      </w:r>
      <w:r w:rsidR="006C4C79" w:rsidRPr="005756B4">
        <w:rPr>
          <w:rFonts w:ascii="Century Gothic" w:hAnsi="Century Gothic" w:cstheme="minorHAnsi"/>
          <w:sz w:val="20"/>
          <w:szCs w:val="21"/>
        </w:rPr>
        <w:t>car</w:t>
      </w:r>
      <w:r w:rsidR="007B30CA" w:rsidRPr="005756B4">
        <w:rPr>
          <w:rFonts w:ascii="Century Gothic" w:hAnsi="Century Gothic" w:cstheme="minorHAnsi"/>
          <w:sz w:val="20"/>
          <w:szCs w:val="21"/>
        </w:rPr>
        <w:t xml:space="preserve"> based on ETC estimates</w:t>
      </w:r>
      <w:r w:rsidR="00CD38FC" w:rsidRPr="005756B4">
        <w:rPr>
          <w:rFonts w:ascii="Century Gothic" w:hAnsi="Century Gothic" w:cstheme="minorHAnsi"/>
          <w:sz w:val="20"/>
          <w:szCs w:val="21"/>
        </w:rPr>
        <w:t>)</w:t>
      </w:r>
      <w:r w:rsidR="007A4056" w:rsidRPr="005756B4">
        <w:rPr>
          <w:rFonts w:ascii="Century Gothic" w:hAnsi="Century Gothic" w:cstheme="minorHAnsi"/>
          <w:sz w:val="20"/>
          <w:szCs w:val="21"/>
        </w:rPr>
        <w:t>.</w:t>
      </w:r>
    </w:p>
    <w:p w14:paraId="38EFE8A7" w14:textId="0153317A" w:rsidR="007A4056" w:rsidRDefault="00E016D3" w:rsidP="00E016D3">
      <w:pPr>
        <w:pStyle w:val="ListParagraph"/>
        <w:numPr>
          <w:ilvl w:val="1"/>
          <w:numId w:val="1"/>
        </w:numPr>
        <w:spacing w:before="40" w:after="120"/>
        <w:ind w:left="426"/>
        <w:contextualSpacing w:val="0"/>
        <w:rPr>
          <w:rFonts w:ascii="Century Gothic" w:hAnsi="Century Gothic" w:cstheme="minorHAnsi"/>
          <w:sz w:val="20"/>
          <w:szCs w:val="21"/>
        </w:rPr>
      </w:pPr>
      <w:r w:rsidRPr="008548BC">
        <w:rPr>
          <w:rFonts w:ascii="Century Gothic" w:hAnsi="Century Gothic" w:cstheme="minorHAnsi"/>
          <w:sz w:val="20"/>
          <w:szCs w:val="21"/>
        </w:rPr>
        <w:t>By contrast, zero-carbon scrap-based steel is technically feasible today and increasingly so at no extra cost, as renewable power is increasingly cost-competitive with fossil fuel-based generation.</w:t>
      </w:r>
      <w:r w:rsidR="00C50BB7" w:rsidRPr="008548BC">
        <w:rPr>
          <w:rFonts w:ascii="Century Gothic" w:hAnsi="Century Gothic" w:cstheme="minorHAnsi"/>
          <w:sz w:val="20"/>
          <w:szCs w:val="21"/>
        </w:rPr>
        <w:t xml:space="preserve"> </w:t>
      </w:r>
      <w:r w:rsidRPr="008548BC">
        <w:rPr>
          <w:rFonts w:ascii="Century Gothic" w:hAnsi="Century Gothic" w:cstheme="minorHAnsi"/>
          <w:sz w:val="20"/>
          <w:szCs w:val="21"/>
        </w:rPr>
        <w:t>However, its growth is limited by scrap availability and quality.</w:t>
      </w:r>
      <w:r w:rsidR="00C50BB7" w:rsidRPr="008548BC">
        <w:rPr>
          <w:rFonts w:ascii="Century Gothic" w:hAnsi="Century Gothic" w:cstheme="minorHAnsi"/>
          <w:sz w:val="20"/>
          <w:szCs w:val="21"/>
        </w:rPr>
        <w:t xml:space="preserve"> If applied today, measures encouraging a shift to zero-carbon steel will first benefit low-carbon scrap-based production</w:t>
      </w:r>
      <w:r w:rsidR="003A1E2A" w:rsidRPr="008548BC">
        <w:rPr>
          <w:rFonts w:ascii="Century Gothic" w:hAnsi="Century Gothic" w:cstheme="minorHAnsi"/>
          <w:sz w:val="20"/>
          <w:szCs w:val="21"/>
        </w:rPr>
        <w:t>.</w:t>
      </w:r>
    </w:p>
    <w:p w14:paraId="6F9DB5D6" w14:textId="073DE34A" w:rsidR="00065EC2" w:rsidRDefault="00065EC2" w:rsidP="00065EC2">
      <w:pPr>
        <w:spacing w:before="40" w:after="120"/>
        <w:rPr>
          <w:rFonts w:ascii="Century Gothic" w:hAnsi="Century Gothic" w:cstheme="minorHAnsi"/>
          <w:sz w:val="20"/>
          <w:szCs w:val="21"/>
        </w:rPr>
      </w:pPr>
    </w:p>
    <w:p w14:paraId="6C453717" w14:textId="365F69D0" w:rsidR="00065EC2" w:rsidRDefault="00065EC2" w:rsidP="00065EC2">
      <w:pPr>
        <w:spacing w:before="40" w:after="120"/>
        <w:rPr>
          <w:rFonts w:ascii="Century Gothic" w:hAnsi="Century Gothic" w:cstheme="minorHAnsi"/>
          <w:sz w:val="20"/>
          <w:szCs w:val="21"/>
        </w:rPr>
      </w:pPr>
    </w:p>
    <w:p w14:paraId="056B1F2B" w14:textId="7997567C" w:rsidR="00065EC2" w:rsidRDefault="00065EC2" w:rsidP="00065EC2">
      <w:pPr>
        <w:spacing w:before="40" w:after="120"/>
        <w:rPr>
          <w:rFonts w:ascii="Century Gothic" w:hAnsi="Century Gothic" w:cstheme="minorHAnsi"/>
          <w:sz w:val="20"/>
          <w:szCs w:val="21"/>
        </w:rPr>
      </w:pPr>
    </w:p>
    <w:p w14:paraId="3DDDD725" w14:textId="77777777" w:rsidR="00065EC2" w:rsidRPr="00065EC2" w:rsidRDefault="00065EC2" w:rsidP="00065EC2">
      <w:pPr>
        <w:spacing w:before="40" w:after="120"/>
        <w:rPr>
          <w:rFonts w:ascii="Century Gothic" w:hAnsi="Century Gothic" w:cstheme="minorHAnsi"/>
          <w:sz w:val="20"/>
          <w:szCs w:val="21"/>
        </w:rPr>
      </w:pPr>
    </w:p>
    <w:p w14:paraId="289ADE02" w14:textId="20F400DF" w:rsidR="0041447B" w:rsidRPr="00042C01" w:rsidRDefault="00E016D3" w:rsidP="006B3044">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Given the international nature of the steel market</w:t>
      </w:r>
      <w:r w:rsidR="002453D1" w:rsidRPr="00042C01">
        <w:rPr>
          <w:rFonts w:ascii="Century Gothic" w:hAnsi="Century Gothic" w:cstheme="minorHAnsi"/>
          <w:sz w:val="20"/>
          <w:szCs w:val="21"/>
        </w:rPr>
        <w:t>, s</w:t>
      </w:r>
      <w:r w:rsidR="0041447B" w:rsidRPr="00042C01">
        <w:rPr>
          <w:rFonts w:ascii="Century Gothic" w:hAnsi="Century Gothic" w:cstheme="minorHAnsi"/>
          <w:sz w:val="20"/>
          <w:szCs w:val="21"/>
        </w:rPr>
        <w:t xml:space="preserve">teel </w:t>
      </w:r>
      <w:r w:rsidR="002453D1" w:rsidRPr="00042C01">
        <w:rPr>
          <w:rFonts w:ascii="Century Gothic" w:hAnsi="Century Gothic" w:cstheme="minorHAnsi"/>
          <w:sz w:val="20"/>
          <w:szCs w:val="21"/>
        </w:rPr>
        <w:t>producers</w:t>
      </w:r>
      <w:r w:rsidR="0041447B" w:rsidRPr="00042C01">
        <w:rPr>
          <w:rFonts w:ascii="Century Gothic" w:hAnsi="Century Gothic" w:cstheme="minorHAnsi"/>
          <w:sz w:val="20"/>
          <w:szCs w:val="21"/>
        </w:rPr>
        <w:t xml:space="preserve"> </w:t>
      </w:r>
      <w:r w:rsidR="007B30CA" w:rsidRPr="00042C01">
        <w:rPr>
          <w:rFonts w:ascii="Century Gothic" w:hAnsi="Century Gothic" w:cstheme="minorHAnsi"/>
          <w:sz w:val="20"/>
          <w:szCs w:val="21"/>
        </w:rPr>
        <w:t>c</w:t>
      </w:r>
      <w:r w:rsidR="0041447B" w:rsidRPr="00042C01">
        <w:rPr>
          <w:rFonts w:ascii="Century Gothic" w:hAnsi="Century Gothic" w:cstheme="minorHAnsi"/>
          <w:sz w:val="20"/>
          <w:szCs w:val="21"/>
        </w:rPr>
        <w:t>ould be severely disadvantaged if</w:t>
      </w:r>
      <w:r>
        <w:rPr>
          <w:rFonts w:ascii="Century Gothic" w:hAnsi="Century Gothic" w:cstheme="minorHAnsi"/>
          <w:sz w:val="20"/>
          <w:szCs w:val="21"/>
        </w:rPr>
        <w:t xml:space="preserve"> new </w:t>
      </w:r>
      <w:r w:rsidR="0041447B" w:rsidRPr="00042C01">
        <w:rPr>
          <w:rFonts w:ascii="Century Gothic" w:hAnsi="Century Gothic" w:cstheme="minorHAnsi"/>
          <w:sz w:val="20"/>
          <w:szCs w:val="21"/>
        </w:rPr>
        <w:t xml:space="preserve">policy requirements </w:t>
      </w:r>
      <w:r>
        <w:rPr>
          <w:rFonts w:ascii="Century Gothic" w:hAnsi="Century Gothic" w:cstheme="minorHAnsi"/>
          <w:sz w:val="20"/>
          <w:szCs w:val="21"/>
        </w:rPr>
        <w:t xml:space="preserve">related to decarbonisation of virgin production </w:t>
      </w:r>
      <w:r w:rsidR="0041447B" w:rsidRPr="00042C01">
        <w:rPr>
          <w:rFonts w:ascii="Century Gothic" w:hAnsi="Century Gothic" w:cstheme="minorHAnsi"/>
          <w:sz w:val="20"/>
          <w:szCs w:val="21"/>
        </w:rPr>
        <w:t>did not apply equally to</w:t>
      </w:r>
      <w:r>
        <w:rPr>
          <w:rFonts w:ascii="Century Gothic" w:hAnsi="Century Gothic" w:cstheme="minorHAnsi"/>
          <w:sz w:val="20"/>
          <w:szCs w:val="21"/>
        </w:rPr>
        <w:t xml:space="preserve"> both</w:t>
      </w:r>
      <w:r w:rsidR="0041447B" w:rsidRPr="00042C01">
        <w:rPr>
          <w:rFonts w:ascii="Century Gothic" w:hAnsi="Century Gothic" w:cstheme="minorHAnsi"/>
          <w:sz w:val="20"/>
          <w:szCs w:val="21"/>
        </w:rPr>
        <w:t xml:space="preserve"> domestic and international competitors.</w:t>
      </w:r>
      <w:r w:rsidR="008A11D3" w:rsidRPr="00042C01">
        <w:rPr>
          <w:rFonts w:ascii="Century Gothic" w:hAnsi="Century Gothic" w:cstheme="minorHAnsi"/>
          <w:sz w:val="20"/>
          <w:szCs w:val="21"/>
        </w:rPr>
        <w:t xml:space="preserve"> </w:t>
      </w:r>
      <w:r w:rsidR="0041447B" w:rsidRPr="00042C01">
        <w:rPr>
          <w:rFonts w:ascii="Century Gothic" w:hAnsi="Century Gothic" w:cstheme="minorHAnsi"/>
          <w:sz w:val="20"/>
          <w:szCs w:val="21"/>
        </w:rPr>
        <w:t>The key challenge in steel decarboni</w:t>
      </w:r>
      <w:r w:rsidR="00245C1E" w:rsidRPr="00042C01">
        <w:rPr>
          <w:rFonts w:ascii="Century Gothic" w:hAnsi="Century Gothic" w:cstheme="minorHAnsi"/>
          <w:sz w:val="20"/>
          <w:szCs w:val="21"/>
        </w:rPr>
        <w:t>s</w:t>
      </w:r>
      <w:r w:rsidR="0041447B" w:rsidRPr="00042C01">
        <w:rPr>
          <w:rFonts w:ascii="Century Gothic" w:hAnsi="Century Gothic" w:cstheme="minorHAnsi"/>
          <w:sz w:val="20"/>
          <w:szCs w:val="21"/>
        </w:rPr>
        <w:t>ation is</w:t>
      </w:r>
      <w:r w:rsidR="002453D1" w:rsidRPr="00042C01">
        <w:rPr>
          <w:rFonts w:ascii="Century Gothic" w:hAnsi="Century Gothic" w:cstheme="minorHAnsi"/>
          <w:sz w:val="20"/>
          <w:szCs w:val="21"/>
        </w:rPr>
        <w:t xml:space="preserve"> </w:t>
      </w:r>
      <w:r w:rsidR="002453D1" w:rsidRPr="009842BB">
        <w:rPr>
          <w:rFonts w:ascii="Century Gothic" w:hAnsi="Century Gothic" w:cstheme="minorHAnsi"/>
          <w:sz w:val="20"/>
          <w:szCs w:val="21"/>
        </w:rPr>
        <w:t>therefore</w:t>
      </w:r>
      <w:r w:rsidR="0041447B" w:rsidRPr="009842BB">
        <w:rPr>
          <w:rFonts w:ascii="Century Gothic" w:hAnsi="Century Gothic" w:cstheme="minorHAnsi"/>
          <w:sz w:val="20"/>
          <w:szCs w:val="21"/>
        </w:rPr>
        <w:t xml:space="preserve"> how to deal with the industrial competitiveness problem at the commodity price level</w:t>
      </w:r>
      <w:r w:rsidRPr="009842BB">
        <w:rPr>
          <w:rFonts w:ascii="Century Gothic" w:hAnsi="Century Gothic" w:cstheme="minorHAnsi"/>
          <w:sz w:val="20"/>
          <w:szCs w:val="21"/>
        </w:rPr>
        <w:t>. International policy coordination would be ideal (possibly in the form of a</w:t>
      </w:r>
      <w:r w:rsidR="009842BB" w:rsidRPr="009842BB">
        <w:rPr>
          <w:rFonts w:ascii="Century Gothic" w:hAnsi="Century Gothic" w:cstheme="minorHAnsi"/>
          <w:sz w:val="20"/>
          <w:szCs w:val="21"/>
        </w:rPr>
        <w:t xml:space="preserve">n internationally agreed </w:t>
      </w:r>
      <w:r w:rsidRPr="009842BB">
        <w:rPr>
          <w:rFonts w:ascii="Century Gothic" w:hAnsi="Century Gothic" w:cstheme="minorHAnsi"/>
          <w:sz w:val="20"/>
          <w:szCs w:val="21"/>
        </w:rPr>
        <w:t>carbon price).</w:t>
      </w:r>
      <w:r>
        <w:rPr>
          <w:rFonts w:ascii="Century Gothic" w:hAnsi="Century Gothic" w:cstheme="minorHAnsi"/>
          <w:sz w:val="20"/>
          <w:szCs w:val="21"/>
        </w:rPr>
        <w:t xml:space="preserve"> However, in the absence of </w:t>
      </w:r>
      <w:r w:rsidR="009842BB">
        <w:rPr>
          <w:rFonts w:ascii="Century Gothic" w:hAnsi="Century Gothic" w:cstheme="minorHAnsi"/>
          <w:sz w:val="20"/>
          <w:szCs w:val="21"/>
        </w:rPr>
        <w:t xml:space="preserve">an </w:t>
      </w:r>
      <w:r>
        <w:rPr>
          <w:rFonts w:ascii="Century Gothic" w:hAnsi="Century Gothic" w:cstheme="minorHAnsi"/>
          <w:sz w:val="20"/>
          <w:szCs w:val="21"/>
        </w:rPr>
        <w:t>international agreement,</w:t>
      </w:r>
      <w:r w:rsidR="0086101D" w:rsidRPr="00042C01">
        <w:rPr>
          <w:rFonts w:ascii="Century Gothic" w:hAnsi="Century Gothic" w:cstheme="minorHAnsi"/>
          <w:sz w:val="20"/>
          <w:szCs w:val="21"/>
        </w:rPr>
        <w:t xml:space="preserve"> </w:t>
      </w:r>
      <w:r>
        <w:rPr>
          <w:rFonts w:ascii="Century Gothic" w:hAnsi="Century Gothic" w:cstheme="minorHAnsi"/>
          <w:sz w:val="20"/>
          <w:szCs w:val="21"/>
        </w:rPr>
        <w:t xml:space="preserve">protective/supportive regional </w:t>
      </w:r>
      <w:r w:rsidR="0086101D" w:rsidRPr="00042C01">
        <w:rPr>
          <w:rFonts w:ascii="Century Gothic" w:hAnsi="Century Gothic" w:cstheme="minorHAnsi"/>
          <w:sz w:val="20"/>
          <w:szCs w:val="21"/>
        </w:rPr>
        <w:t>policy intervention</w:t>
      </w:r>
      <w:r>
        <w:rPr>
          <w:rFonts w:ascii="Century Gothic" w:hAnsi="Century Gothic" w:cstheme="minorHAnsi"/>
          <w:sz w:val="20"/>
          <w:szCs w:val="21"/>
        </w:rPr>
        <w:t>s</w:t>
      </w:r>
      <w:r w:rsidR="0086101D" w:rsidRPr="00042C01">
        <w:rPr>
          <w:rFonts w:ascii="Century Gothic" w:hAnsi="Century Gothic" w:cstheme="minorHAnsi"/>
          <w:sz w:val="20"/>
          <w:szCs w:val="21"/>
        </w:rPr>
        <w:t xml:space="preserve"> and/or</w:t>
      </w:r>
      <w:r>
        <w:rPr>
          <w:rFonts w:ascii="Century Gothic" w:hAnsi="Century Gothic" w:cstheme="minorHAnsi"/>
          <w:sz w:val="20"/>
          <w:szCs w:val="21"/>
        </w:rPr>
        <w:t xml:space="preserve"> the creation of</w:t>
      </w:r>
      <w:r w:rsidR="0086101D" w:rsidRPr="00042C01">
        <w:rPr>
          <w:rFonts w:ascii="Century Gothic" w:hAnsi="Century Gothic" w:cstheme="minorHAnsi"/>
          <w:sz w:val="20"/>
          <w:szCs w:val="21"/>
        </w:rPr>
        <w:t xml:space="preserve"> a differentiated market</w:t>
      </w:r>
      <w:r>
        <w:rPr>
          <w:rFonts w:ascii="Century Gothic" w:hAnsi="Century Gothic" w:cstheme="minorHAnsi"/>
          <w:sz w:val="20"/>
          <w:szCs w:val="21"/>
        </w:rPr>
        <w:t xml:space="preserve"> will be essential to drive progress.</w:t>
      </w:r>
    </w:p>
    <w:p w14:paraId="41DD3D97" w14:textId="21CDD0FE" w:rsidR="009E0A4D" w:rsidRDefault="00E861F6" w:rsidP="009E0A4D">
      <w:pPr>
        <w:pStyle w:val="ListParagraph"/>
        <w:numPr>
          <w:ilvl w:val="1"/>
          <w:numId w:val="1"/>
        </w:numPr>
        <w:spacing w:before="40" w:after="120"/>
        <w:ind w:left="426"/>
        <w:contextualSpacing w:val="0"/>
        <w:rPr>
          <w:rFonts w:ascii="Century Gothic" w:hAnsi="Century Gothic" w:cstheme="minorHAnsi"/>
          <w:sz w:val="20"/>
          <w:szCs w:val="21"/>
        </w:rPr>
      </w:pPr>
      <w:r w:rsidRPr="002301B6">
        <w:rPr>
          <w:rFonts w:ascii="Century Gothic" w:hAnsi="Century Gothic" w:cstheme="minorHAnsi"/>
          <w:sz w:val="20"/>
          <w:szCs w:val="21"/>
        </w:rPr>
        <w:t xml:space="preserve">The </w:t>
      </w:r>
      <w:r w:rsidR="00DE4A20" w:rsidRPr="002301B6">
        <w:rPr>
          <w:rFonts w:ascii="Century Gothic" w:hAnsi="Century Gothic" w:cstheme="minorHAnsi"/>
          <w:sz w:val="20"/>
          <w:szCs w:val="21"/>
        </w:rPr>
        <w:t xml:space="preserve">global </w:t>
      </w:r>
      <w:r w:rsidRPr="002301B6">
        <w:rPr>
          <w:rFonts w:ascii="Century Gothic" w:hAnsi="Century Gothic" w:cstheme="minorHAnsi"/>
          <w:sz w:val="20"/>
          <w:szCs w:val="21"/>
        </w:rPr>
        <w:t>stock of</w:t>
      </w:r>
      <w:r w:rsidR="0049525D" w:rsidRPr="002301B6">
        <w:rPr>
          <w:rFonts w:ascii="Century Gothic" w:hAnsi="Century Gothic" w:cstheme="minorHAnsi"/>
          <w:sz w:val="20"/>
          <w:szCs w:val="21"/>
        </w:rPr>
        <w:t xml:space="preserve"> </w:t>
      </w:r>
      <w:r w:rsidRPr="002301B6">
        <w:rPr>
          <w:rFonts w:ascii="Century Gothic" w:hAnsi="Century Gothic" w:cstheme="minorHAnsi"/>
          <w:sz w:val="20"/>
          <w:szCs w:val="21"/>
        </w:rPr>
        <w:t>existing capacity presents a</w:t>
      </w:r>
      <w:r w:rsidR="007B30CA" w:rsidRPr="002301B6">
        <w:rPr>
          <w:rFonts w:ascii="Century Gothic" w:hAnsi="Century Gothic" w:cstheme="minorHAnsi"/>
          <w:sz w:val="20"/>
          <w:szCs w:val="21"/>
        </w:rPr>
        <w:t>n</w:t>
      </w:r>
      <w:r w:rsidR="0041447B" w:rsidRPr="002301B6">
        <w:rPr>
          <w:rFonts w:ascii="Century Gothic" w:hAnsi="Century Gothic" w:cstheme="minorHAnsi"/>
          <w:sz w:val="20"/>
          <w:szCs w:val="21"/>
        </w:rPr>
        <w:t xml:space="preserve"> additional</w:t>
      </w:r>
      <w:r w:rsidRPr="002301B6">
        <w:rPr>
          <w:rFonts w:ascii="Century Gothic" w:hAnsi="Century Gothic" w:cstheme="minorHAnsi"/>
          <w:sz w:val="20"/>
          <w:szCs w:val="21"/>
        </w:rPr>
        <w:t xml:space="preserve"> challenge. Despite recent efforts to decommission underutilised assets, the steel industry still suffers from overcapacity, </w:t>
      </w:r>
      <w:r w:rsidR="009842BB" w:rsidRPr="002301B6">
        <w:rPr>
          <w:rFonts w:ascii="Century Gothic" w:hAnsi="Century Gothic" w:cstheme="minorHAnsi"/>
          <w:sz w:val="20"/>
          <w:szCs w:val="21"/>
        </w:rPr>
        <w:t>and this situation is not likely to improve in the next decades as steel demand within China decreases</w:t>
      </w:r>
      <w:r w:rsidRPr="002301B6">
        <w:rPr>
          <w:rFonts w:ascii="Century Gothic" w:hAnsi="Century Gothic" w:cstheme="minorHAnsi"/>
          <w:sz w:val="20"/>
          <w:szCs w:val="21"/>
        </w:rPr>
        <w:t xml:space="preserve">. </w:t>
      </w:r>
      <w:proofErr w:type="gramStart"/>
      <w:r w:rsidR="006C7FD8" w:rsidRPr="002301B6">
        <w:rPr>
          <w:rFonts w:ascii="Century Gothic" w:hAnsi="Century Gothic" w:cstheme="minorHAnsi"/>
          <w:sz w:val="20"/>
          <w:szCs w:val="21"/>
        </w:rPr>
        <w:t>With the exception of</w:t>
      </w:r>
      <w:proofErr w:type="gramEnd"/>
      <w:r w:rsidR="006C7FD8" w:rsidRPr="002301B6">
        <w:rPr>
          <w:rFonts w:ascii="Century Gothic" w:hAnsi="Century Gothic" w:cstheme="minorHAnsi"/>
          <w:sz w:val="20"/>
          <w:szCs w:val="21"/>
        </w:rPr>
        <w:t xml:space="preserve"> Europe (see point 5.2), many BF-BOF facilities have</w:t>
      </w:r>
      <w:r w:rsidR="006C7FD8">
        <w:rPr>
          <w:rFonts w:ascii="Century Gothic" w:hAnsi="Century Gothic" w:cstheme="minorHAnsi"/>
          <w:sz w:val="20"/>
          <w:szCs w:val="21"/>
        </w:rPr>
        <w:t xml:space="preserve"> also</w:t>
      </w:r>
      <w:r w:rsidR="006C7FD8" w:rsidRPr="002301B6">
        <w:rPr>
          <w:rFonts w:ascii="Century Gothic" w:hAnsi="Century Gothic" w:cstheme="minorHAnsi"/>
          <w:sz w:val="20"/>
          <w:szCs w:val="21"/>
        </w:rPr>
        <w:t xml:space="preserve"> been constructed in the past 10–20 years</w:t>
      </w:r>
      <w:r w:rsidR="006C7FD8">
        <w:rPr>
          <w:rFonts w:ascii="Century Gothic" w:hAnsi="Century Gothic" w:cstheme="minorHAnsi"/>
          <w:sz w:val="20"/>
          <w:szCs w:val="21"/>
        </w:rPr>
        <w:t>.</w:t>
      </w:r>
      <w:r w:rsidR="006C7FD8">
        <w:rPr>
          <w:rFonts w:ascii="Century Gothic" w:hAnsi="Century Gothic" w:cstheme="minorHAnsi"/>
          <w:sz w:val="20"/>
          <w:szCs w:val="21"/>
        </w:rPr>
        <w:t xml:space="preserve"> </w:t>
      </w:r>
      <w:r w:rsidR="009842BB" w:rsidRPr="002301B6">
        <w:rPr>
          <w:rFonts w:ascii="Century Gothic" w:hAnsi="Century Gothic" w:cstheme="minorHAnsi"/>
          <w:sz w:val="20"/>
          <w:szCs w:val="21"/>
        </w:rPr>
        <w:t>Producers are</w:t>
      </w:r>
      <w:r w:rsidR="006C7FD8">
        <w:rPr>
          <w:rFonts w:ascii="Century Gothic" w:hAnsi="Century Gothic" w:cstheme="minorHAnsi"/>
          <w:sz w:val="20"/>
          <w:szCs w:val="21"/>
        </w:rPr>
        <w:t xml:space="preserve"> therefore</w:t>
      </w:r>
      <w:r w:rsidR="009842BB" w:rsidRPr="002301B6">
        <w:rPr>
          <w:rFonts w:ascii="Century Gothic" w:hAnsi="Century Gothic" w:cstheme="minorHAnsi"/>
          <w:sz w:val="20"/>
          <w:szCs w:val="21"/>
        </w:rPr>
        <w:t xml:space="preserve"> generally not anticipating substantial greenfield investments in coming years. </w:t>
      </w:r>
    </w:p>
    <w:p w14:paraId="0F4A5DED" w14:textId="54113C5E" w:rsidR="009E0A4D" w:rsidRPr="009E0A4D" w:rsidRDefault="009E0A4D" w:rsidP="009E0A4D">
      <w:pPr>
        <w:pStyle w:val="ListParagraph"/>
        <w:numPr>
          <w:ilvl w:val="4"/>
          <w:numId w:val="27"/>
        </w:numPr>
        <w:spacing w:before="40" w:after="120"/>
        <w:ind w:left="709" w:hanging="283"/>
        <w:contextualSpacing w:val="0"/>
        <w:rPr>
          <w:rFonts w:ascii="Century Gothic" w:hAnsi="Century Gothic" w:cstheme="minorHAnsi"/>
          <w:sz w:val="20"/>
          <w:szCs w:val="21"/>
        </w:rPr>
      </w:pPr>
      <w:r w:rsidRPr="009E0A4D">
        <w:rPr>
          <w:rFonts w:ascii="Century Gothic" w:hAnsi="Century Gothic" w:cstheme="minorHAnsi"/>
          <w:sz w:val="20"/>
          <w:szCs w:val="21"/>
        </w:rPr>
        <w:t xml:space="preserve">There </w:t>
      </w:r>
      <w:r>
        <w:rPr>
          <w:rFonts w:ascii="Century Gothic" w:hAnsi="Century Gothic" w:cstheme="minorHAnsi"/>
          <w:sz w:val="20"/>
          <w:szCs w:val="21"/>
        </w:rPr>
        <w:t>will therefore be</w:t>
      </w:r>
      <w:r w:rsidRPr="009E0A4D">
        <w:rPr>
          <w:rFonts w:ascii="Century Gothic" w:hAnsi="Century Gothic" w:cstheme="minorHAnsi"/>
          <w:sz w:val="20"/>
          <w:szCs w:val="21"/>
        </w:rPr>
        <w:t xml:space="preserve"> a clear need to develop CCS retrofitting of brownfield assets. </w:t>
      </w:r>
      <w:r w:rsidR="006C7FD8">
        <w:rPr>
          <w:rFonts w:ascii="Century Gothic" w:hAnsi="Century Gothic" w:cstheme="minorHAnsi"/>
          <w:sz w:val="20"/>
          <w:szCs w:val="21"/>
        </w:rPr>
        <w:t>H</w:t>
      </w:r>
      <w:r w:rsidRPr="009E0A4D">
        <w:rPr>
          <w:rFonts w:ascii="Century Gothic" w:hAnsi="Century Gothic" w:cstheme="minorHAnsi"/>
          <w:sz w:val="20"/>
          <w:szCs w:val="21"/>
        </w:rPr>
        <w:t>owever, the most effective capture technologies (e.g. top gas recycling) require deep process re-design that limit their application to brownfield sites.</w:t>
      </w:r>
    </w:p>
    <w:p w14:paraId="291BCF89" w14:textId="5DE20F06" w:rsidR="00C50BB7" w:rsidRPr="009E0A4D" w:rsidRDefault="006C7FD8" w:rsidP="009E0A4D">
      <w:pPr>
        <w:pStyle w:val="ListParagraph"/>
        <w:numPr>
          <w:ilvl w:val="4"/>
          <w:numId w:val="27"/>
        </w:numPr>
        <w:spacing w:before="40" w:after="120"/>
        <w:ind w:left="709" w:hanging="283"/>
        <w:contextualSpacing w:val="0"/>
        <w:rPr>
          <w:rFonts w:ascii="Century Gothic" w:hAnsi="Century Gothic" w:cstheme="minorHAnsi"/>
          <w:sz w:val="20"/>
          <w:szCs w:val="21"/>
        </w:rPr>
      </w:pPr>
      <w:r>
        <w:rPr>
          <w:rFonts w:ascii="Century Gothic" w:hAnsi="Century Gothic" w:cstheme="minorHAnsi"/>
          <w:sz w:val="20"/>
          <w:szCs w:val="21"/>
        </w:rPr>
        <w:t>In this context, t</w:t>
      </w:r>
      <w:r w:rsidR="009E0A4D" w:rsidRPr="009E0A4D">
        <w:rPr>
          <w:rFonts w:ascii="Century Gothic" w:hAnsi="Century Gothic" w:cstheme="minorHAnsi"/>
          <w:sz w:val="20"/>
          <w:szCs w:val="21"/>
        </w:rPr>
        <w:t xml:space="preserve">here will </w:t>
      </w:r>
      <w:r>
        <w:rPr>
          <w:rFonts w:ascii="Century Gothic" w:hAnsi="Century Gothic" w:cstheme="minorHAnsi"/>
          <w:sz w:val="20"/>
          <w:szCs w:val="21"/>
        </w:rPr>
        <w:t xml:space="preserve">likely </w:t>
      </w:r>
      <w:r w:rsidR="009E0A4D" w:rsidRPr="009E0A4D">
        <w:rPr>
          <w:rFonts w:ascii="Century Gothic" w:hAnsi="Century Gothic" w:cstheme="minorHAnsi"/>
          <w:sz w:val="20"/>
          <w:szCs w:val="21"/>
        </w:rPr>
        <w:t xml:space="preserve">be stranded assets in the steel sector. The crucial question </w:t>
      </w:r>
      <w:r>
        <w:rPr>
          <w:rFonts w:ascii="Century Gothic" w:hAnsi="Century Gothic" w:cstheme="minorHAnsi"/>
          <w:sz w:val="20"/>
          <w:szCs w:val="21"/>
        </w:rPr>
        <w:t xml:space="preserve">for </w:t>
      </w:r>
      <w:r w:rsidR="009E0A4D" w:rsidRPr="009E0A4D">
        <w:rPr>
          <w:rFonts w:ascii="Century Gothic" w:hAnsi="Century Gothic" w:cstheme="minorHAnsi"/>
          <w:sz w:val="20"/>
          <w:szCs w:val="21"/>
        </w:rPr>
        <w:t xml:space="preserve">policymakers </w:t>
      </w:r>
      <w:r w:rsidR="0080658F">
        <w:rPr>
          <w:rFonts w:ascii="Century Gothic" w:hAnsi="Century Gothic" w:cstheme="minorHAnsi"/>
          <w:sz w:val="20"/>
          <w:szCs w:val="21"/>
        </w:rPr>
        <w:t>is therefore who will bear the cost of the early closure of those assets – and the necessary just transition for workers and communities.</w:t>
      </w:r>
    </w:p>
    <w:p w14:paraId="4799DA25" w14:textId="77777777" w:rsidR="00E7037C" w:rsidRPr="00042C01" w:rsidRDefault="00E7037C" w:rsidP="00E7037C"/>
    <w:p w14:paraId="2AF57896" w14:textId="0BED4FD6" w:rsidR="00885E46" w:rsidRPr="00042C01" w:rsidRDefault="002028F6"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EMERGENCE: </w:t>
      </w:r>
      <w:r w:rsidR="00165BB6"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 xml:space="preserve">hat is the critical minimum scale </w:t>
      </w:r>
      <w:r w:rsidR="000403E4" w:rsidRPr="00042C01">
        <w:rPr>
          <w:rStyle w:val="normaltextrun"/>
          <w:rFonts w:ascii="Century Gothic" w:hAnsi="Century Gothic" w:cs="Arial"/>
          <w:b/>
          <w:bCs/>
          <w:color w:val="002060"/>
          <w:sz w:val="22"/>
          <w:szCs w:val="22"/>
        </w:rPr>
        <w:t>needed to shift the market?</w:t>
      </w:r>
      <w:r w:rsidR="002162F1" w:rsidRPr="00042C01">
        <w:rPr>
          <w:rStyle w:val="normaltextrun"/>
          <w:rFonts w:ascii="Century Gothic" w:hAnsi="Century Gothic" w:cs="Arial"/>
          <w:b/>
          <w:bCs/>
          <w:color w:val="002060"/>
          <w:sz w:val="22"/>
          <w:szCs w:val="22"/>
        </w:rPr>
        <w:t xml:space="preserve"> </w:t>
      </w:r>
    </w:p>
    <w:p w14:paraId="24052708" w14:textId="4467459A" w:rsidR="00617517" w:rsidRPr="00042C01" w:rsidRDefault="006940A4" w:rsidP="0049525D">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T</w:t>
      </w:r>
      <w:r w:rsidR="00C50BB7">
        <w:rPr>
          <w:rStyle w:val="normaltextrun"/>
          <w:rFonts w:ascii="Century Gothic" w:hAnsi="Century Gothic" w:cs="Arial"/>
          <w:i/>
          <w:iCs/>
          <w:color w:val="002060"/>
          <w:sz w:val="22"/>
          <w:szCs w:val="22"/>
        </w:rPr>
        <w:t>he minimum size of a new greenfield integrated virgin steel production facility is typically</w:t>
      </w:r>
      <w:r w:rsidR="00FF3D58">
        <w:rPr>
          <w:rStyle w:val="normaltextrun"/>
          <w:rFonts w:ascii="Century Gothic" w:hAnsi="Century Gothic" w:cs="Arial"/>
          <w:i/>
          <w:iCs/>
          <w:color w:val="002060"/>
          <w:sz w:val="22"/>
          <w:szCs w:val="22"/>
        </w:rPr>
        <w:t xml:space="preserve"> &gt;2</w:t>
      </w:r>
      <w:r w:rsidR="00C50BB7">
        <w:rPr>
          <w:rStyle w:val="normaltextrun"/>
          <w:rFonts w:ascii="Century Gothic" w:hAnsi="Century Gothic" w:cs="Arial"/>
          <w:i/>
          <w:iCs/>
          <w:color w:val="002060"/>
          <w:sz w:val="22"/>
          <w:szCs w:val="22"/>
        </w:rPr>
        <w:t xml:space="preserve"> M</w:t>
      </w:r>
      <w:r w:rsidR="003A1E2A">
        <w:rPr>
          <w:rStyle w:val="normaltextrun"/>
          <w:rFonts w:ascii="Century Gothic" w:hAnsi="Century Gothic" w:cs="Arial"/>
          <w:i/>
          <w:iCs/>
          <w:color w:val="002060"/>
          <w:sz w:val="22"/>
          <w:szCs w:val="22"/>
        </w:rPr>
        <w:t>t</w:t>
      </w:r>
      <w:r w:rsidR="00C50BB7">
        <w:rPr>
          <w:rStyle w:val="normaltextrun"/>
          <w:rFonts w:ascii="Century Gothic" w:hAnsi="Century Gothic" w:cs="Arial"/>
          <w:i/>
          <w:iCs/>
          <w:color w:val="002060"/>
          <w:sz w:val="22"/>
          <w:szCs w:val="22"/>
        </w:rPr>
        <w:t xml:space="preserve"> per annum.</w:t>
      </w:r>
      <w:r w:rsidR="00D1710D">
        <w:rPr>
          <w:rStyle w:val="normaltextrun"/>
          <w:rFonts w:ascii="Century Gothic" w:hAnsi="Century Gothic" w:cs="Arial"/>
          <w:i/>
          <w:iCs/>
          <w:color w:val="002060"/>
          <w:sz w:val="22"/>
          <w:szCs w:val="22"/>
        </w:rPr>
        <w:t xml:space="preserve"> </w:t>
      </w:r>
      <w:r w:rsidR="00FF3D58">
        <w:rPr>
          <w:rStyle w:val="normaltextrun"/>
          <w:rFonts w:ascii="Century Gothic" w:hAnsi="Century Gothic" w:cs="Arial"/>
          <w:i/>
          <w:iCs/>
          <w:color w:val="002060"/>
          <w:sz w:val="22"/>
          <w:szCs w:val="22"/>
        </w:rPr>
        <w:t>About 500</w:t>
      </w:r>
      <w:r w:rsidR="003A1E2A">
        <w:rPr>
          <w:rStyle w:val="normaltextrun"/>
          <w:rFonts w:ascii="Century Gothic" w:hAnsi="Century Gothic" w:cs="Arial"/>
          <w:i/>
          <w:iCs/>
          <w:color w:val="002060"/>
          <w:sz w:val="22"/>
          <w:szCs w:val="22"/>
        </w:rPr>
        <w:t xml:space="preserve"> zero-carbon </w:t>
      </w:r>
      <w:r w:rsidR="00D1710D">
        <w:rPr>
          <w:rStyle w:val="normaltextrun"/>
          <w:rFonts w:ascii="Century Gothic" w:hAnsi="Century Gothic" w:cs="Arial"/>
          <w:i/>
          <w:iCs/>
          <w:color w:val="002060"/>
          <w:sz w:val="22"/>
          <w:szCs w:val="22"/>
        </w:rPr>
        <w:t xml:space="preserve">integrated </w:t>
      </w:r>
      <w:r w:rsidR="00FF3D58">
        <w:rPr>
          <w:rStyle w:val="normaltextrun"/>
          <w:rFonts w:ascii="Century Gothic" w:hAnsi="Century Gothic" w:cs="Arial"/>
          <w:i/>
          <w:iCs/>
          <w:color w:val="002060"/>
          <w:sz w:val="22"/>
          <w:szCs w:val="22"/>
        </w:rPr>
        <w:t>virgin steel production facilities of 2-4 Mt per annum</w:t>
      </w:r>
      <w:r w:rsidR="003A1E2A">
        <w:rPr>
          <w:rStyle w:val="normaltextrun"/>
          <w:rFonts w:ascii="Century Gothic" w:hAnsi="Century Gothic" w:cs="Arial"/>
          <w:i/>
          <w:iCs/>
          <w:color w:val="002060"/>
          <w:sz w:val="22"/>
          <w:szCs w:val="22"/>
        </w:rPr>
        <w:t xml:space="preserve"> would be required to meet a total global virgin steel demand of 1000-1500 Mt </w:t>
      </w:r>
      <w:r w:rsidR="00FF3D58">
        <w:rPr>
          <w:rStyle w:val="normaltextrun"/>
          <w:rFonts w:ascii="Century Gothic" w:hAnsi="Century Gothic" w:cs="Arial"/>
          <w:i/>
          <w:iCs/>
          <w:color w:val="002060"/>
          <w:sz w:val="22"/>
          <w:szCs w:val="22"/>
        </w:rPr>
        <w:t>by mid-century</w:t>
      </w:r>
      <w:r w:rsidR="00D1257C">
        <w:rPr>
          <w:rStyle w:val="normaltextrun"/>
          <w:rFonts w:ascii="Century Gothic" w:hAnsi="Century Gothic" w:cs="Arial"/>
          <w:i/>
          <w:iCs/>
          <w:color w:val="002060"/>
          <w:sz w:val="22"/>
          <w:szCs w:val="22"/>
        </w:rPr>
        <w:t>.</w:t>
      </w:r>
    </w:p>
    <w:p w14:paraId="7A6BAF9F" w14:textId="60867F2F" w:rsidR="00D837CD" w:rsidRPr="00D600FF" w:rsidRDefault="00D837CD" w:rsidP="00D837CD">
      <w:pPr>
        <w:pStyle w:val="ListParagraph"/>
        <w:numPr>
          <w:ilvl w:val="1"/>
          <w:numId w:val="1"/>
        </w:numPr>
        <w:spacing w:before="40" w:after="120"/>
        <w:ind w:left="426"/>
        <w:contextualSpacing w:val="0"/>
        <w:rPr>
          <w:rFonts w:ascii="Century Gothic" w:hAnsi="Century Gothic" w:cstheme="minorHAnsi"/>
          <w:sz w:val="20"/>
          <w:szCs w:val="21"/>
        </w:rPr>
      </w:pPr>
      <w:r w:rsidRPr="00D600FF">
        <w:rPr>
          <w:rFonts w:ascii="Century Gothic" w:hAnsi="Century Gothic" w:cstheme="minorHAnsi"/>
          <w:sz w:val="20"/>
          <w:szCs w:val="21"/>
        </w:rPr>
        <w:t>340Mt p</w:t>
      </w:r>
      <w:r w:rsidR="00D600FF">
        <w:rPr>
          <w:rFonts w:ascii="Century Gothic" w:hAnsi="Century Gothic" w:cstheme="minorHAnsi"/>
          <w:sz w:val="20"/>
          <w:szCs w:val="21"/>
        </w:rPr>
        <w:t>er annum</w:t>
      </w:r>
      <w:r w:rsidRPr="00D600FF">
        <w:rPr>
          <w:rFonts w:ascii="Century Gothic" w:hAnsi="Century Gothic" w:cstheme="minorHAnsi"/>
          <w:sz w:val="20"/>
          <w:szCs w:val="21"/>
        </w:rPr>
        <w:t xml:space="preserve"> are already produced via a scrap-based route and could in principle be decarbonised as soon as the early 2020s. These volumes, however, are currently lower-quality than virgin steel and channelled primarily to the construction market.</w:t>
      </w:r>
    </w:p>
    <w:p w14:paraId="42953648" w14:textId="31C5CA17" w:rsidR="009343F6" w:rsidRPr="00045C20" w:rsidRDefault="009343F6" w:rsidP="009343F6">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Various projects are underway around the world to develop low-</w:t>
      </w:r>
      <w:r>
        <w:rPr>
          <w:rFonts w:ascii="Century Gothic" w:hAnsi="Century Gothic" w:cstheme="minorHAnsi"/>
          <w:sz w:val="20"/>
          <w:szCs w:val="21"/>
        </w:rPr>
        <w:t>CO2</w:t>
      </w:r>
      <w:r w:rsidR="00D837CD">
        <w:rPr>
          <w:rFonts w:ascii="Century Gothic" w:hAnsi="Century Gothic" w:cstheme="minorHAnsi"/>
          <w:sz w:val="20"/>
          <w:szCs w:val="21"/>
        </w:rPr>
        <w:t xml:space="preserve"> virgin</w:t>
      </w:r>
      <w:r w:rsidRPr="00042C01">
        <w:rPr>
          <w:rFonts w:ascii="Century Gothic" w:hAnsi="Century Gothic" w:cstheme="minorHAnsi"/>
          <w:sz w:val="20"/>
          <w:szCs w:val="21"/>
        </w:rPr>
        <w:t xml:space="preserve"> steel </w:t>
      </w:r>
      <w:r w:rsidRPr="00045C20">
        <w:rPr>
          <w:rFonts w:ascii="Century Gothic" w:hAnsi="Century Gothic" w:cstheme="minorHAnsi"/>
          <w:sz w:val="20"/>
          <w:szCs w:val="21"/>
        </w:rPr>
        <w:t>production processes, with initial pilot plants planned for the early-to-mid 2020s and industrial-scale pilot plants in the late 2020s/early 2030s. To date, projects are concentrated in the EU and Japan (HYBRIT, SALCOS, GrinHy, H2Future, VERBUND, Σiderwin, Boston Metal, HIsarna, DRI w. CCUS, Chemicals from WAG, COURSE50). They benefit from public innovation support.</w:t>
      </w:r>
    </w:p>
    <w:p w14:paraId="3388D7E0" w14:textId="669AE62D" w:rsidR="007354D9" w:rsidRDefault="00D1710D" w:rsidP="00D1257C">
      <w:pPr>
        <w:pStyle w:val="ListParagraph"/>
        <w:numPr>
          <w:ilvl w:val="1"/>
          <w:numId w:val="1"/>
        </w:numPr>
        <w:spacing w:before="40" w:after="120"/>
        <w:ind w:left="426"/>
        <w:contextualSpacing w:val="0"/>
        <w:rPr>
          <w:rFonts w:ascii="Century Gothic" w:hAnsi="Century Gothic" w:cstheme="minorHAnsi"/>
          <w:sz w:val="20"/>
          <w:szCs w:val="21"/>
        </w:rPr>
      </w:pPr>
      <w:r w:rsidRPr="00045C20">
        <w:rPr>
          <w:rFonts w:ascii="Century Gothic" w:hAnsi="Century Gothic" w:cstheme="minorHAnsi"/>
          <w:sz w:val="20"/>
          <w:szCs w:val="21"/>
        </w:rPr>
        <w:t xml:space="preserve">The minimum size of a new greenfield integrated steel production facility is typically &gt;2 Mt per annum. </w:t>
      </w:r>
      <w:r w:rsidR="007354D9" w:rsidRPr="00045C20">
        <w:rPr>
          <w:rFonts w:ascii="Century Gothic" w:hAnsi="Century Gothic" w:cstheme="minorHAnsi"/>
          <w:sz w:val="20"/>
          <w:szCs w:val="21"/>
        </w:rPr>
        <w:t xml:space="preserve">A market of ~20Mt per annum would be required in the early 2030s to sell the output of the first 10 industrial-scale pilot plants using different zero-carbon </w:t>
      </w:r>
      <w:r w:rsidR="00E2210C" w:rsidRPr="00045C20">
        <w:rPr>
          <w:rFonts w:ascii="Century Gothic" w:hAnsi="Century Gothic" w:cstheme="minorHAnsi"/>
          <w:sz w:val="20"/>
          <w:szCs w:val="21"/>
        </w:rPr>
        <w:t>technologies.</w:t>
      </w:r>
    </w:p>
    <w:p w14:paraId="7BC564C4" w14:textId="1BB012EB" w:rsidR="00D1710D" w:rsidRPr="00045C20" w:rsidRDefault="007354D9" w:rsidP="00D1257C">
      <w:pPr>
        <w:pStyle w:val="ListParagraph"/>
        <w:numPr>
          <w:ilvl w:val="1"/>
          <w:numId w:val="1"/>
        </w:numPr>
        <w:spacing w:before="40" w:after="120"/>
        <w:ind w:left="426"/>
        <w:contextualSpacing w:val="0"/>
        <w:rPr>
          <w:rFonts w:ascii="Century Gothic" w:hAnsi="Century Gothic" w:cstheme="minorHAnsi"/>
          <w:sz w:val="20"/>
          <w:szCs w:val="21"/>
        </w:rPr>
      </w:pPr>
      <w:r w:rsidRPr="00045C20">
        <w:rPr>
          <w:rFonts w:ascii="Century Gothic" w:hAnsi="Century Gothic" w:cstheme="minorHAnsi"/>
          <w:sz w:val="20"/>
          <w:szCs w:val="21"/>
        </w:rPr>
        <w:t>I</w:t>
      </w:r>
      <w:r w:rsidR="00D1710D" w:rsidRPr="00045C20">
        <w:rPr>
          <w:rFonts w:ascii="Century Gothic" w:hAnsi="Century Gothic" w:cstheme="minorHAnsi"/>
          <w:sz w:val="20"/>
          <w:szCs w:val="21"/>
        </w:rPr>
        <w:t xml:space="preserve">f the world is to build 500 zero-carbon integrated virgin steel production facilities of </w:t>
      </w:r>
      <w:r w:rsidR="009343F6" w:rsidRPr="00045C20">
        <w:rPr>
          <w:rFonts w:ascii="Century Gothic" w:hAnsi="Century Gothic" w:cstheme="minorHAnsi"/>
          <w:sz w:val="20"/>
          <w:szCs w:val="21"/>
        </w:rPr>
        <w:t xml:space="preserve">2-4 Mt </w:t>
      </w:r>
      <w:r w:rsidR="00D1257C" w:rsidRPr="00045C20">
        <w:rPr>
          <w:rFonts w:ascii="Century Gothic" w:hAnsi="Century Gothic" w:cstheme="minorHAnsi"/>
          <w:sz w:val="20"/>
          <w:szCs w:val="21"/>
        </w:rPr>
        <w:t>pa</w:t>
      </w:r>
      <w:r w:rsidR="009343F6" w:rsidRPr="00045C20">
        <w:rPr>
          <w:rFonts w:ascii="Century Gothic" w:hAnsi="Century Gothic" w:cstheme="minorHAnsi"/>
          <w:sz w:val="20"/>
          <w:szCs w:val="21"/>
        </w:rPr>
        <w:t xml:space="preserve"> </w:t>
      </w:r>
      <w:r w:rsidR="00763228" w:rsidRPr="00045C20">
        <w:rPr>
          <w:rFonts w:ascii="Century Gothic" w:hAnsi="Century Gothic" w:cstheme="minorHAnsi"/>
          <w:sz w:val="20"/>
          <w:szCs w:val="21"/>
        </w:rPr>
        <w:t xml:space="preserve">between 2030 and </w:t>
      </w:r>
      <w:r w:rsidR="00D1257C" w:rsidRPr="00045C20">
        <w:rPr>
          <w:rFonts w:ascii="Century Gothic" w:hAnsi="Century Gothic" w:cstheme="minorHAnsi"/>
          <w:sz w:val="20"/>
          <w:szCs w:val="21"/>
        </w:rPr>
        <w:t>2050</w:t>
      </w:r>
      <w:r w:rsidR="00D837CD" w:rsidRPr="00045C20">
        <w:rPr>
          <w:rFonts w:ascii="Century Gothic" w:hAnsi="Century Gothic" w:cstheme="minorHAnsi"/>
          <w:sz w:val="20"/>
          <w:szCs w:val="21"/>
        </w:rPr>
        <w:t xml:space="preserve"> to achieve a fully decarbonised steel sector</w:t>
      </w:r>
      <w:r w:rsidR="00763228" w:rsidRPr="00045C20">
        <w:rPr>
          <w:rFonts w:ascii="Century Gothic" w:hAnsi="Century Gothic" w:cstheme="minorHAnsi"/>
          <w:sz w:val="20"/>
          <w:szCs w:val="21"/>
        </w:rPr>
        <w:t xml:space="preserve">, </w:t>
      </w:r>
      <w:r w:rsidR="00D837CD" w:rsidRPr="00045C20">
        <w:rPr>
          <w:rFonts w:ascii="Century Gothic" w:hAnsi="Century Gothic" w:cstheme="minorHAnsi"/>
          <w:sz w:val="20"/>
          <w:szCs w:val="21"/>
        </w:rPr>
        <w:t>an intermediary target of</w:t>
      </w:r>
      <w:r w:rsidR="00763228" w:rsidRPr="00045C20">
        <w:rPr>
          <w:rFonts w:ascii="Century Gothic" w:hAnsi="Century Gothic" w:cstheme="minorHAnsi"/>
          <w:sz w:val="20"/>
          <w:szCs w:val="21"/>
        </w:rPr>
        <w:t xml:space="preserve"> 200 facilities</w:t>
      </w:r>
      <w:r w:rsidR="00D837CD" w:rsidRPr="00045C20">
        <w:rPr>
          <w:rFonts w:ascii="Century Gothic" w:hAnsi="Century Gothic" w:cstheme="minorHAnsi"/>
          <w:sz w:val="20"/>
          <w:szCs w:val="21"/>
        </w:rPr>
        <w:t xml:space="preserve"> by 2040</w:t>
      </w:r>
      <w:r w:rsidR="00763228" w:rsidRPr="00045C20">
        <w:rPr>
          <w:rFonts w:ascii="Century Gothic" w:hAnsi="Century Gothic" w:cstheme="minorHAnsi"/>
          <w:sz w:val="20"/>
          <w:szCs w:val="21"/>
        </w:rPr>
        <w:t>, representing roughly 600Mt</w:t>
      </w:r>
      <w:r w:rsidR="00D1257C" w:rsidRPr="00045C20">
        <w:rPr>
          <w:rFonts w:ascii="Century Gothic" w:hAnsi="Century Gothic" w:cstheme="minorHAnsi"/>
          <w:sz w:val="20"/>
          <w:szCs w:val="21"/>
        </w:rPr>
        <w:t xml:space="preserve"> pa</w:t>
      </w:r>
      <w:r w:rsidR="00D837CD" w:rsidRPr="00045C20">
        <w:rPr>
          <w:rFonts w:ascii="Century Gothic" w:hAnsi="Century Gothic" w:cstheme="minorHAnsi"/>
          <w:sz w:val="20"/>
          <w:szCs w:val="21"/>
        </w:rPr>
        <w:t>, could theoretically make sense.</w:t>
      </w:r>
    </w:p>
    <w:p w14:paraId="5C0E3012" w14:textId="4CD28375" w:rsidR="002453D1" w:rsidRDefault="002453D1" w:rsidP="00064C9E"/>
    <w:p w14:paraId="430A0149" w14:textId="77777777" w:rsidR="00045C20" w:rsidRPr="00042C01" w:rsidRDefault="00045C20" w:rsidP="00064C9E"/>
    <w:p w14:paraId="1E652226" w14:textId="06EDB2B4" w:rsidR="00885E46" w:rsidRPr="00042C01" w:rsidRDefault="00C50BB7"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Pr>
          <w:rStyle w:val="normaltextrun"/>
          <w:rFonts w:ascii="Century Gothic" w:hAnsi="Century Gothic" w:cs="Arial"/>
          <w:b/>
          <w:bCs/>
          <w:color w:val="002060"/>
          <w:sz w:val="22"/>
          <w:szCs w:val="22"/>
        </w:rPr>
        <w:t>DIFFUSION</w:t>
      </w:r>
      <w:r w:rsidR="002028F6" w:rsidRPr="00042C01">
        <w:rPr>
          <w:rStyle w:val="normaltextrun"/>
          <w:rFonts w:ascii="Century Gothic" w:hAnsi="Century Gothic" w:cs="Arial"/>
          <w:b/>
          <w:bCs/>
          <w:color w:val="002060"/>
          <w:sz w:val="22"/>
          <w:szCs w:val="22"/>
        </w:rPr>
        <w:t xml:space="preserve">: </w:t>
      </w:r>
      <w:r w:rsidR="00D837CD">
        <w:rPr>
          <w:rStyle w:val="normaltextrun"/>
          <w:rFonts w:ascii="Century Gothic" w:hAnsi="Century Gothic" w:cs="Arial"/>
          <w:b/>
          <w:bCs/>
          <w:color w:val="002060"/>
          <w:sz w:val="22"/>
          <w:szCs w:val="22"/>
        </w:rPr>
        <w:t>Where can</w:t>
      </w:r>
      <w:r w:rsidR="00885E46" w:rsidRPr="00042C01">
        <w:rPr>
          <w:rStyle w:val="normaltextrun"/>
          <w:rFonts w:ascii="Century Gothic" w:hAnsi="Century Gothic" w:cs="Arial"/>
          <w:b/>
          <w:bCs/>
          <w:color w:val="002060"/>
          <w:sz w:val="22"/>
          <w:szCs w:val="22"/>
        </w:rPr>
        <w:t xml:space="preserve"> th</w:t>
      </w:r>
      <w:r w:rsidR="00D837CD">
        <w:rPr>
          <w:rStyle w:val="normaltextrun"/>
          <w:rFonts w:ascii="Century Gothic" w:hAnsi="Century Gothic" w:cs="Arial"/>
          <w:b/>
          <w:bCs/>
          <w:color w:val="002060"/>
          <w:sz w:val="22"/>
          <w:szCs w:val="22"/>
        </w:rPr>
        <w:t>is</w:t>
      </w:r>
      <w:r w:rsidR="00885E46" w:rsidRPr="00042C01">
        <w:rPr>
          <w:rStyle w:val="normaltextrun"/>
          <w:rFonts w:ascii="Century Gothic" w:hAnsi="Century Gothic" w:cs="Arial"/>
          <w:b/>
          <w:bCs/>
          <w:color w:val="002060"/>
          <w:sz w:val="22"/>
          <w:szCs w:val="22"/>
        </w:rPr>
        <w:t xml:space="preserve"> initial scale-up</w:t>
      </w:r>
      <w:r w:rsidR="007F6C50" w:rsidRPr="00042C01">
        <w:rPr>
          <w:rStyle w:val="normaltextrun"/>
          <w:rFonts w:ascii="Century Gothic" w:hAnsi="Century Gothic" w:cs="Arial"/>
          <w:b/>
          <w:bCs/>
          <w:color w:val="002060"/>
          <w:sz w:val="22"/>
          <w:szCs w:val="22"/>
        </w:rPr>
        <w:t xml:space="preserve"> </w:t>
      </w:r>
      <w:r w:rsidR="00D837CD">
        <w:rPr>
          <w:rStyle w:val="normaltextrun"/>
          <w:rFonts w:ascii="Century Gothic" w:hAnsi="Century Gothic" w:cs="Arial"/>
          <w:b/>
          <w:bCs/>
          <w:color w:val="002060"/>
          <w:sz w:val="22"/>
          <w:szCs w:val="22"/>
        </w:rPr>
        <w:t>happen?</w:t>
      </w:r>
    </w:p>
    <w:p w14:paraId="4C52E140" w14:textId="6820B2E0" w:rsidR="007A4056" w:rsidRPr="00042C01" w:rsidRDefault="00D837CD" w:rsidP="00711BD5">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 xml:space="preserve">Initial markets can potentially be found (i) in the public infrastructure sector for zero-carbon scrap-based steel and (ii) in the automotive and industrial equipment sectors for zero-carbon virgin steel. </w:t>
      </w:r>
      <w:r w:rsidR="007A4056" w:rsidRPr="00042C01">
        <w:rPr>
          <w:rStyle w:val="normaltextrun"/>
          <w:rFonts w:ascii="Century Gothic" w:hAnsi="Century Gothic" w:cs="Arial"/>
          <w:i/>
          <w:iCs/>
          <w:color w:val="002060"/>
          <w:sz w:val="22"/>
          <w:szCs w:val="22"/>
        </w:rPr>
        <w:t>The situation of overcapacity globally is unfavourable to new investment, but the lifecycle of existing European assets could represent an opportunity</w:t>
      </w:r>
      <w:r>
        <w:rPr>
          <w:rStyle w:val="normaltextrun"/>
          <w:rFonts w:ascii="Century Gothic" w:hAnsi="Century Gothic" w:cs="Arial"/>
          <w:i/>
          <w:iCs/>
          <w:color w:val="002060"/>
          <w:sz w:val="22"/>
          <w:szCs w:val="22"/>
        </w:rPr>
        <w:t>.</w:t>
      </w:r>
    </w:p>
    <w:p w14:paraId="29AB38B0" w14:textId="7D954C72" w:rsidR="00EF1F50" w:rsidRPr="00D213F7" w:rsidRDefault="00064077" w:rsidP="00064077">
      <w:pPr>
        <w:pStyle w:val="ListParagraph"/>
        <w:numPr>
          <w:ilvl w:val="1"/>
          <w:numId w:val="1"/>
        </w:numPr>
        <w:spacing w:before="40" w:after="120"/>
        <w:ind w:left="426"/>
        <w:contextualSpacing w:val="0"/>
        <w:rPr>
          <w:rFonts w:ascii="Century Gothic" w:hAnsi="Century Gothic" w:cstheme="minorHAnsi"/>
          <w:sz w:val="20"/>
          <w:szCs w:val="21"/>
        </w:rPr>
      </w:pPr>
      <w:r w:rsidRPr="00D213F7">
        <w:rPr>
          <w:rFonts w:ascii="Century Gothic" w:hAnsi="Century Gothic" w:cstheme="minorHAnsi"/>
          <w:sz w:val="20"/>
          <w:szCs w:val="21"/>
        </w:rPr>
        <w:t xml:space="preserve">The building and infrastructure sectors </w:t>
      </w:r>
      <w:r w:rsidR="00D837CD" w:rsidRPr="00D213F7">
        <w:rPr>
          <w:rFonts w:ascii="Century Gothic" w:hAnsi="Century Gothic" w:cstheme="minorHAnsi"/>
          <w:sz w:val="20"/>
          <w:szCs w:val="21"/>
        </w:rPr>
        <w:t>currently represent more than 50% of global demand</w:t>
      </w:r>
      <w:r w:rsidR="00EF1F50" w:rsidRPr="00D213F7">
        <w:rPr>
          <w:rFonts w:ascii="Century Gothic" w:hAnsi="Century Gothic" w:cstheme="minorHAnsi"/>
          <w:sz w:val="20"/>
          <w:szCs w:val="21"/>
        </w:rPr>
        <w:t xml:space="preserve"> (~870 Mt)</w:t>
      </w:r>
      <w:r w:rsidR="00D837CD" w:rsidRPr="00D213F7">
        <w:rPr>
          <w:rFonts w:ascii="Century Gothic" w:hAnsi="Century Gothic" w:cstheme="minorHAnsi"/>
          <w:sz w:val="20"/>
          <w:szCs w:val="21"/>
        </w:rPr>
        <w:t xml:space="preserve">. </w:t>
      </w:r>
      <w:r w:rsidR="00EF1F50" w:rsidRPr="00D213F7">
        <w:rPr>
          <w:rFonts w:ascii="Century Gothic" w:hAnsi="Century Gothic" w:cstheme="minorHAnsi"/>
          <w:sz w:val="20"/>
          <w:szCs w:val="21"/>
        </w:rPr>
        <w:t xml:space="preserve">There are highly fragmented and primarily use lower quality ‘long steel’ (such as beams and rods), sold on local markets, which can come from a scrap-based route. </w:t>
      </w:r>
      <w:r w:rsidR="001B6A06" w:rsidRPr="00D213F7">
        <w:rPr>
          <w:rFonts w:ascii="Century Gothic" w:hAnsi="Century Gothic" w:cstheme="minorHAnsi"/>
          <w:sz w:val="20"/>
          <w:szCs w:val="21"/>
        </w:rPr>
        <w:t>Public procurement of infrastructure and buildings accounts for a large share of the construction sector (e.g. 40% in the UK). A shift in public procurement practices to encourage the use of zero-carbon steel in construction could therefore be a powerful tool to accelerate the full decarbonisation of the scrap-based route</w:t>
      </w:r>
      <w:r w:rsidRPr="00D213F7">
        <w:rPr>
          <w:rFonts w:ascii="Century Gothic" w:hAnsi="Century Gothic" w:cstheme="minorHAnsi"/>
          <w:sz w:val="20"/>
          <w:szCs w:val="21"/>
        </w:rPr>
        <w:t>, although it might be more difficult to put in place in fast-urbanising countries with lower capacity to absorb cost premia</w:t>
      </w:r>
      <w:r w:rsidR="001B6A06" w:rsidRPr="00D213F7">
        <w:rPr>
          <w:rFonts w:ascii="Century Gothic" w:hAnsi="Century Gothic" w:cstheme="minorHAnsi"/>
          <w:sz w:val="20"/>
          <w:szCs w:val="21"/>
        </w:rPr>
        <w:t>.</w:t>
      </w:r>
    </w:p>
    <w:p w14:paraId="3F01E657" w14:textId="5FC94FD0" w:rsidR="00D837CD" w:rsidRDefault="00EF1F50" w:rsidP="001B6A06">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Other significant</w:t>
      </w:r>
      <w:r>
        <w:rPr>
          <w:rFonts w:ascii="Century Gothic" w:hAnsi="Century Gothic" w:cstheme="minorHAnsi"/>
          <w:sz w:val="20"/>
          <w:szCs w:val="21"/>
        </w:rPr>
        <w:t xml:space="preserve"> demand</w:t>
      </w:r>
      <w:r w:rsidRPr="00042C01">
        <w:rPr>
          <w:rFonts w:ascii="Century Gothic" w:hAnsi="Century Gothic" w:cstheme="minorHAnsi"/>
          <w:sz w:val="20"/>
          <w:szCs w:val="21"/>
        </w:rPr>
        <w:t xml:space="preserve"> sectors include automotive 12%; metal products 11%; mechanical equipment 15%; other transport 5%; domestic appliances 3%; electrical equipment 3%</w:t>
      </w:r>
      <w:r w:rsidR="008B4919">
        <w:rPr>
          <w:rStyle w:val="FootnoteReference"/>
          <w:rFonts w:ascii="Century Gothic" w:hAnsi="Century Gothic" w:cstheme="minorHAnsi"/>
          <w:sz w:val="20"/>
          <w:szCs w:val="21"/>
        </w:rPr>
        <w:footnoteReference w:id="10"/>
      </w:r>
      <w:r w:rsidRPr="00042C01">
        <w:rPr>
          <w:rFonts w:ascii="Century Gothic" w:hAnsi="Century Gothic" w:cstheme="minorHAnsi"/>
          <w:sz w:val="20"/>
          <w:szCs w:val="21"/>
        </w:rPr>
        <w:t xml:space="preserve">. </w:t>
      </w:r>
      <w:r>
        <w:rPr>
          <w:rFonts w:ascii="Century Gothic" w:hAnsi="Century Gothic" w:cstheme="minorHAnsi"/>
          <w:sz w:val="20"/>
          <w:szCs w:val="21"/>
        </w:rPr>
        <w:t>These markets usually require ‘f</w:t>
      </w:r>
      <w:r w:rsidRPr="00EF1F50">
        <w:rPr>
          <w:rFonts w:ascii="Century Gothic" w:hAnsi="Century Gothic" w:cstheme="minorHAnsi"/>
          <w:sz w:val="20"/>
          <w:szCs w:val="21"/>
        </w:rPr>
        <w:t>lat steel’, which is of higher quality,</w:t>
      </w:r>
      <w:r>
        <w:rPr>
          <w:rFonts w:ascii="Century Gothic" w:hAnsi="Century Gothic" w:cstheme="minorHAnsi"/>
          <w:sz w:val="20"/>
          <w:szCs w:val="21"/>
        </w:rPr>
        <w:t xml:space="preserve"> generally produced through an iron-based route, and</w:t>
      </w:r>
      <w:r w:rsidRPr="00EF1F50">
        <w:rPr>
          <w:rFonts w:ascii="Century Gothic" w:hAnsi="Century Gothic" w:cstheme="minorHAnsi"/>
          <w:sz w:val="20"/>
          <w:szCs w:val="21"/>
        </w:rPr>
        <w:t xml:space="preserve"> tends to be traded globally</w:t>
      </w:r>
      <w:r>
        <w:rPr>
          <w:rFonts w:ascii="Century Gothic" w:hAnsi="Century Gothic" w:cstheme="minorHAnsi"/>
          <w:sz w:val="20"/>
          <w:szCs w:val="21"/>
        </w:rPr>
        <w:t>.</w:t>
      </w:r>
    </w:p>
    <w:p w14:paraId="7BFEF8F4" w14:textId="13ADD184" w:rsidR="001B6A06" w:rsidRPr="001B6A06" w:rsidRDefault="00D125EA" w:rsidP="001B6A06">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Two</w:t>
      </w:r>
      <w:r w:rsidR="001B6A06">
        <w:rPr>
          <w:rFonts w:ascii="Century Gothic" w:hAnsi="Century Gothic" w:cstheme="minorHAnsi"/>
          <w:sz w:val="20"/>
          <w:szCs w:val="21"/>
        </w:rPr>
        <w:t xml:space="preserve"> market</w:t>
      </w:r>
      <w:r>
        <w:rPr>
          <w:rFonts w:ascii="Century Gothic" w:hAnsi="Century Gothic" w:cstheme="minorHAnsi"/>
          <w:sz w:val="20"/>
          <w:szCs w:val="21"/>
        </w:rPr>
        <w:t xml:space="preserve"> segment</w:t>
      </w:r>
      <w:r w:rsidR="001B6A06">
        <w:rPr>
          <w:rFonts w:ascii="Century Gothic" w:hAnsi="Century Gothic" w:cstheme="minorHAnsi"/>
          <w:sz w:val="20"/>
          <w:szCs w:val="21"/>
        </w:rPr>
        <w:t xml:space="preserve">s </w:t>
      </w:r>
      <w:r>
        <w:rPr>
          <w:rFonts w:ascii="Century Gothic" w:hAnsi="Century Gothic" w:cstheme="minorHAnsi"/>
          <w:sz w:val="20"/>
          <w:szCs w:val="21"/>
        </w:rPr>
        <w:t xml:space="preserve">potentially present a more </w:t>
      </w:r>
      <w:r w:rsidR="001B6A06">
        <w:rPr>
          <w:rFonts w:ascii="Century Gothic" w:hAnsi="Century Gothic" w:cstheme="minorHAnsi"/>
          <w:sz w:val="20"/>
          <w:szCs w:val="21"/>
        </w:rPr>
        <w:t xml:space="preserve">favourable environment to create </w:t>
      </w:r>
      <w:r>
        <w:rPr>
          <w:rFonts w:ascii="Century Gothic" w:hAnsi="Century Gothic" w:cstheme="minorHAnsi"/>
          <w:sz w:val="20"/>
          <w:szCs w:val="21"/>
        </w:rPr>
        <w:t xml:space="preserve">an initial </w:t>
      </w:r>
      <w:r w:rsidR="001B6A06">
        <w:rPr>
          <w:rFonts w:ascii="Century Gothic" w:hAnsi="Century Gothic" w:cstheme="minorHAnsi"/>
          <w:sz w:val="20"/>
          <w:szCs w:val="21"/>
        </w:rPr>
        <w:t>demand for low-carbon steel (either through voluntary commitments or through regulations): (i) the automotive sector, because this sector is relatively concentrated and the share of steel in the end consumer price of the product is very limited</w:t>
      </w:r>
      <w:r>
        <w:rPr>
          <w:rFonts w:ascii="Century Gothic" w:hAnsi="Century Gothic" w:cstheme="minorHAnsi"/>
          <w:sz w:val="20"/>
          <w:szCs w:val="21"/>
        </w:rPr>
        <w:t xml:space="preserve"> (~1%)</w:t>
      </w:r>
      <w:r w:rsidR="001B6A06">
        <w:rPr>
          <w:rFonts w:ascii="Century Gothic" w:hAnsi="Century Gothic" w:cstheme="minorHAnsi"/>
          <w:sz w:val="20"/>
          <w:szCs w:val="21"/>
        </w:rPr>
        <w:t xml:space="preserve">, (ii) the </w:t>
      </w:r>
      <w:r>
        <w:rPr>
          <w:rFonts w:ascii="Century Gothic" w:hAnsi="Century Gothic" w:cstheme="minorHAnsi"/>
          <w:sz w:val="20"/>
          <w:szCs w:val="21"/>
        </w:rPr>
        <w:t>energy</w:t>
      </w:r>
      <w:r w:rsidR="001B6A06">
        <w:rPr>
          <w:rFonts w:ascii="Century Gothic" w:hAnsi="Century Gothic" w:cstheme="minorHAnsi"/>
          <w:sz w:val="20"/>
          <w:szCs w:val="21"/>
        </w:rPr>
        <w:t xml:space="preserve"> sector, </w:t>
      </w:r>
      <w:r>
        <w:rPr>
          <w:rFonts w:ascii="Century Gothic" w:hAnsi="Century Gothic" w:cstheme="minorHAnsi"/>
          <w:sz w:val="20"/>
          <w:szCs w:val="21"/>
        </w:rPr>
        <w:t xml:space="preserve">in particular the renewable energy manufacturing sector, </w:t>
      </w:r>
      <w:r w:rsidR="001B6A06">
        <w:rPr>
          <w:rFonts w:ascii="Century Gothic" w:hAnsi="Century Gothic" w:cstheme="minorHAnsi"/>
          <w:sz w:val="20"/>
          <w:szCs w:val="21"/>
        </w:rPr>
        <w:t xml:space="preserve">because </w:t>
      </w:r>
      <w:r>
        <w:rPr>
          <w:rFonts w:ascii="Century Gothic" w:hAnsi="Century Gothic" w:cstheme="minorHAnsi"/>
          <w:sz w:val="20"/>
          <w:szCs w:val="21"/>
        </w:rPr>
        <w:t>energy companies are particularly scrutinised by investors and customers with regards to their lifecycle emissions.</w:t>
      </w:r>
    </w:p>
    <w:p w14:paraId="4189365C" w14:textId="4886F49B" w:rsidR="00D837CD" w:rsidRPr="00042C01" w:rsidRDefault="001B6A06" w:rsidP="00D837CD">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Reaching a</w:t>
      </w:r>
      <w:r w:rsidR="00D837CD">
        <w:rPr>
          <w:rFonts w:ascii="Century Gothic" w:hAnsi="Century Gothic" w:cstheme="minorHAnsi"/>
          <w:sz w:val="20"/>
          <w:szCs w:val="21"/>
        </w:rPr>
        <w:t xml:space="preserve"> production volume of 2 Mt pa</w:t>
      </w:r>
      <w:r w:rsidR="00D837CD" w:rsidRPr="00042C01">
        <w:rPr>
          <w:rFonts w:ascii="Century Gothic" w:hAnsi="Century Gothic" w:cstheme="minorHAnsi"/>
          <w:sz w:val="20"/>
          <w:szCs w:val="21"/>
        </w:rPr>
        <w:t xml:space="preserve"> </w:t>
      </w:r>
      <w:r>
        <w:rPr>
          <w:rFonts w:ascii="Century Gothic" w:hAnsi="Century Gothic" w:cstheme="minorHAnsi"/>
          <w:sz w:val="20"/>
          <w:szCs w:val="21"/>
        </w:rPr>
        <w:t xml:space="preserve">(equivalent to the output of one integrated steel production facility) </w:t>
      </w:r>
      <w:r w:rsidR="00D837CD" w:rsidRPr="00042C01">
        <w:rPr>
          <w:rFonts w:ascii="Century Gothic" w:hAnsi="Century Gothic" w:cstheme="minorHAnsi"/>
          <w:sz w:val="20"/>
          <w:szCs w:val="21"/>
        </w:rPr>
        <w:t>would equate to:</w:t>
      </w:r>
    </w:p>
    <w:p w14:paraId="706D7D17" w14:textId="5AF9F7B5" w:rsidR="00D837CD" w:rsidRPr="00D125EA" w:rsidRDefault="00D837CD" w:rsidP="00D125EA">
      <w:pPr>
        <w:pStyle w:val="ListParagraph"/>
        <w:numPr>
          <w:ilvl w:val="4"/>
          <w:numId w:val="27"/>
        </w:numPr>
        <w:spacing w:before="40" w:after="120"/>
        <w:ind w:left="709" w:hanging="283"/>
        <w:contextualSpacing w:val="0"/>
        <w:rPr>
          <w:rFonts w:ascii="Century Gothic" w:hAnsi="Century Gothic" w:cstheme="minorHAnsi"/>
          <w:sz w:val="20"/>
          <w:szCs w:val="21"/>
        </w:rPr>
      </w:pPr>
      <w:r w:rsidRPr="00042C01">
        <w:rPr>
          <w:rFonts w:ascii="Century Gothic" w:hAnsi="Century Gothic" w:cstheme="minorHAnsi"/>
          <w:sz w:val="20"/>
          <w:szCs w:val="21"/>
        </w:rPr>
        <w:t>Automotive: the steel content of 16% of European LDV sales, or</w:t>
      </w:r>
      <w:r w:rsidR="00D125EA">
        <w:rPr>
          <w:rFonts w:ascii="Century Gothic" w:hAnsi="Century Gothic" w:cstheme="minorHAnsi"/>
          <w:sz w:val="20"/>
          <w:szCs w:val="21"/>
        </w:rPr>
        <w:t xml:space="preserve"> the </w:t>
      </w:r>
      <w:r w:rsidRPr="00D125EA">
        <w:rPr>
          <w:rFonts w:ascii="Century Gothic" w:hAnsi="Century Gothic" w:cstheme="minorHAnsi"/>
          <w:sz w:val="20"/>
          <w:szCs w:val="21"/>
        </w:rPr>
        <w:t>advanced high-strength steels content of 45% of European LDV sales</w:t>
      </w:r>
      <w:r w:rsidR="00D125EA">
        <w:rPr>
          <w:rFonts w:ascii="Century Gothic" w:hAnsi="Century Gothic" w:cstheme="minorHAnsi"/>
          <w:sz w:val="20"/>
          <w:szCs w:val="21"/>
        </w:rPr>
        <w:t>;</w:t>
      </w:r>
    </w:p>
    <w:p w14:paraId="3364D9FC" w14:textId="42A0CE5E" w:rsidR="00D837CD" w:rsidRPr="00042C01" w:rsidRDefault="00D125EA" w:rsidP="00D837CD">
      <w:pPr>
        <w:pStyle w:val="ListParagraph"/>
        <w:numPr>
          <w:ilvl w:val="4"/>
          <w:numId w:val="27"/>
        </w:numPr>
        <w:spacing w:before="40" w:after="120"/>
        <w:ind w:left="709" w:hanging="283"/>
        <w:contextualSpacing w:val="0"/>
        <w:rPr>
          <w:rFonts w:ascii="Century Gothic" w:hAnsi="Century Gothic" w:cstheme="minorHAnsi"/>
          <w:sz w:val="20"/>
          <w:szCs w:val="21"/>
        </w:rPr>
      </w:pPr>
      <w:r>
        <w:rPr>
          <w:rFonts w:ascii="Century Gothic" w:hAnsi="Century Gothic" w:cstheme="minorHAnsi"/>
          <w:sz w:val="20"/>
          <w:szCs w:val="21"/>
        </w:rPr>
        <w:t>Renewable energy manufacturing</w:t>
      </w:r>
      <w:r w:rsidR="00D837CD" w:rsidRPr="00042C01">
        <w:rPr>
          <w:rFonts w:ascii="Century Gothic" w:hAnsi="Century Gothic" w:cstheme="minorHAnsi"/>
          <w:sz w:val="20"/>
          <w:szCs w:val="21"/>
        </w:rPr>
        <w:t>: 14,000 wind turbines (8</w:t>
      </w:r>
      <w:r>
        <w:rPr>
          <w:rFonts w:ascii="Century Gothic" w:hAnsi="Century Gothic" w:cstheme="minorHAnsi"/>
          <w:sz w:val="20"/>
          <w:szCs w:val="21"/>
        </w:rPr>
        <w:t xml:space="preserve"> </w:t>
      </w:r>
      <w:r w:rsidR="00D837CD" w:rsidRPr="00042C01">
        <w:rPr>
          <w:rFonts w:ascii="Century Gothic" w:hAnsi="Century Gothic" w:cstheme="minorHAnsi"/>
          <w:sz w:val="20"/>
          <w:szCs w:val="21"/>
        </w:rPr>
        <w:t>MW nameplate capacity)</w:t>
      </w:r>
      <w:r>
        <w:rPr>
          <w:rFonts w:ascii="Century Gothic" w:hAnsi="Century Gothic" w:cstheme="minorHAnsi"/>
          <w:sz w:val="20"/>
          <w:szCs w:val="21"/>
        </w:rPr>
        <w:t>;</w:t>
      </w:r>
    </w:p>
    <w:p w14:paraId="64D47CEA" w14:textId="6A6BB404" w:rsidR="00D837CD" w:rsidRPr="00D125EA" w:rsidRDefault="00D125EA" w:rsidP="00D125EA">
      <w:pPr>
        <w:pStyle w:val="ListParagraph"/>
        <w:numPr>
          <w:ilvl w:val="4"/>
          <w:numId w:val="27"/>
        </w:numPr>
        <w:spacing w:before="40" w:after="120"/>
        <w:ind w:left="709" w:hanging="283"/>
        <w:contextualSpacing w:val="0"/>
        <w:rPr>
          <w:rFonts w:ascii="Century Gothic" w:hAnsi="Century Gothic" w:cstheme="minorHAnsi"/>
          <w:sz w:val="20"/>
          <w:szCs w:val="21"/>
        </w:rPr>
      </w:pPr>
      <w:r>
        <w:rPr>
          <w:rFonts w:ascii="Century Gothic" w:hAnsi="Century Gothic" w:cstheme="minorHAnsi"/>
          <w:sz w:val="20"/>
          <w:szCs w:val="21"/>
        </w:rPr>
        <w:t>Fossil fuels sector</w:t>
      </w:r>
      <w:r w:rsidR="00D837CD" w:rsidRPr="00042C01">
        <w:rPr>
          <w:rFonts w:ascii="Century Gothic" w:hAnsi="Century Gothic" w:cstheme="minorHAnsi"/>
          <w:sz w:val="20"/>
          <w:szCs w:val="21"/>
        </w:rPr>
        <w:t>: 8 FLNG platforms, or</w:t>
      </w:r>
      <w:r>
        <w:rPr>
          <w:rFonts w:ascii="Century Gothic" w:hAnsi="Century Gothic" w:cstheme="minorHAnsi"/>
          <w:sz w:val="20"/>
          <w:szCs w:val="21"/>
        </w:rPr>
        <w:t xml:space="preserve"> </w:t>
      </w:r>
      <w:r w:rsidR="00D837CD" w:rsidRPr="00D125EA">
        <w:rPr>
          <w:rFonts w:ascii="Century Gothic" w:hAnsi="Century Gothic" w:cstheme="minorHAnsi"/>
          <w:sz w:val="20"/>
          <w:szCs w:val="21"/>
        </w:rPr>
        <w:t>7,000 miles of gas pipeline (</w:t>
      </w:r>
      <w:r>
        <w:rPr>
          <w:rFonts w:ascii="Century Gothic" w:hAnsi="Century Gothic" w:cstheme="minorHAnsi"/>
          <w:sz w:val="20"/>
          <w:szCs w:val="21"/>
        </w:rPr>
        <w:t>30</w:t>
      </w:r>
      <w:r w:rsidR="00D837CD" w:rsidRPr="00D125EA">
        <w:rPr>
          <w:rFonts w:ascii="Century Gothic" w:hAnsi="Century Gothic" w:cstheme="minorHAnsi"/>
          <w:sz w:val="20"/>
          <w:szCs w:val="21"/>
        </w:rPr>
        <w:t>-inch diameter)</w:t>
      </w:r>
      <w:r>
        <w:rPr>
          <w:rFonts w:ascii="Century Gothic" w:hAnsi="Century Gothic" w:cstheme="minorHAnsi"/>
          <w:sz w:val="20"/>
          <w:szCs w:val="21"/>
        </w:rPr>
        <w:t>.</w:t>
      </w:r>
    </w:p>
    <w:p w14:paraId="776A58AA" w14:textId="77777777" w:rsidR="00BF72A9" w:rsidRDefault="009A215D" w:rsidP="00BF72A9">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In practice, a larger proportion of </w:t>
      </w:r>
      <w:r>
        <w:rPr>
          <w:rFonts w:ascii="Century Gothic" w:hAnsi="Century Gothic" w:cstheme="minorHAnsi"/>
          <w:sz w:val="20"/>
          <w:szCs w:val="21"/>
        </w:rPr>
        <w:t>each of those</w:t>
      </w:r>
      <w:r>
        <w:rPr>
          <w:rFonts w:ascii="Century Gothic" w:hAnsi="Century Gothic" w:cstheme="minorHAnsi"/>
          <w:sz w:val="20"/>
          <w:szCs w:val="21"/>
        </w:rPr>
        <w:t xml:space="preserve"> market</w:t>
      </w:r>
      <w:r>
        <w:rPr>
          <w:rFonts w:ascii="Century Gothic" w:hAnsi="Century Gothic" w:cstheme="minorHAnsi"/>
          <w:sz w:val="20"/>
          <w:szCs w:val="21"/>
        </w:rPr>
        <w:t>s would have</w:t>
      </w:r>
      <w:r>
        <w:rPr>
          <w:rFonts w:ascii="Century Gothic" w:hAnsi="Century Gothic" w:cstheme="minorHAnsi"/>
          <w:sz w:val="20"/>
          <w:szCs w:val="21"/>
        </w:rPr>
        <w:t xml:space="preserve"> to signal appetite to buy green steel, given that </w:t>
      </w:r>
      <w:r w:rsidR="00BA20F6">
        <w:rPr>
          <w:rFonts w:ascii="Century Gothic" w:hAnsi="Century Gothic" w:cstheme="minorHAnsi"/>
          <w:sz w:val="20"/>
          <w:szCs w:val="21"/>
        </w:rPr>
        <w:t>a given steel buyer</w:t>
      </w:r>
      <w:r>
        <w:rPr>
          <w:rFonts w:ascii="Century Gothic" w:hAnsi="Century Gothic" w:cstheme="minorHAnsi"/>
          <w:sz w:val="20"/>
          <w:szCs w:val="21"/>
        </w:rPr>
        <w:t xml:space="preserve"> generally </w:t>
      </w:r>
      <w:r w:rsidR="00BA20F6">
        <w:rPr>
          <w:rFonts w:ascii="Century Gothic" w:hAnsi="Century Gothic" w:cstheme="minorHAnsi"/>
          <w:sz w:val="20"/>
          <w:szCs w:val="21"/>
        </w:rPr>
        <w:t>uses</w:t>
      </w:r>
      <w:r>
        <w:rPr>
          <w:rFonts w:ascii="Century Gothic" w:hAnsi="Century Gothic" w:cstheme="minorHAnsi"/>
          <w:sz w:val="20"/>
          <w:szCs w:val="21"/>
        </w:rPr>
        <w:t xml:space="preserve"> a range of different steel products, </w:t>
      </w:r>
      <w:r w:rsidR="00BA20F6">
        <w:rPr>
          <w:rFonts w:ascii="Century Gothic" w:hAnsi="Century Gothic" w:cstheme="minorHAnsi"/>
          <w:sz w:val="20"/>
          <w:szCs w:val="21"/>
        </w:rPr>
        <w:t>coming</w:t>
      </w:r>
      <w:r>
        <w:rPr>
          <w:rFonts w:ascii="Century Gothic" w:hAnsi="Century Gothic" w:cstheme="minorHAnsi"/>
          <w:sz w:val="20"/>
          <w:szCs w:val="21"/>
        </w:rPr>
        <w:t xml:space="preserve"> from different production facilities, which would not </w:t>
      </w:r>
      <w:r w:rsidR="00BA20F6">
        <w:rPr>
          <w:rFonts w:ascii="Century Gothic" w:hAnsi="Century Gothic" w:cstheme="minorHAnsi"/>
          <w:sz w:val="20"/>
          <w:szCs w:val="21"/>
        </w:rPr>
        <w:t>uniformly</w:t>
      </w:r>
      <w:r>
        <w:rPr>
          <w:rFonts w:ascii="Century Gothic" w:hAnsi="Century Gothic" w:cstheme="minorHAnsi"/>
          <w:sz w:val="20"/>
          <w:szCs w:val="21"/>
        </w:rPr>
        <w:t xml:space="preserve"> shift to zero-carbon processes.</w:t>
      </w:r>
    </w:p>
    <w:p w14:paraId="4D10E373" w14:textId="45D85DF4" w:rsidR="00D125EA" w:rsidRDefault="00D125EA" w:rsidP="00BF72A9">
      <w:pPr>
        <w:pStyle w:val="ListParagraph"/>
        <w:numPr>
          <w:ilvl w:val="1"/>
          <w:numId w:val="1"/>
        </w:numPr>
        <w:spacing w:before="40" w:after="120"/>
        <w:ind w:left="426"/>
        <w:contextualSpacing w:val="0"/>
        <w:rPr>
          <w:rFonts w:ascii="Century Gothic" w:hAnsi="Century Gothic" w:cstheme="minorHAnsi"/>
          <w:sz w:val="20"/>
          <w:szCs w:val="21"/>
        </w:rPr>
      </w:pPr>
      <w:r w:rsidRPr="00BF72A9">
        <w:rPr>
          <w:rFonts w:ascii="Century Gothic" w:hAnsi="Century Gothic" w:cstheme="minorHAnsi"/>
          <w:sz w:val="20"/>
          <w:szCs w:val="21"/>
        </w:rPr>
        <w:t>Developing a market of ~20 Mt per annum for the first 10 industrial-scale pilot plants is therefore likely to require the mobilisation of more than one demand sector.</w:t>
      </w:r>
    </w:p>
    <w:p w14:paraId="18993E92" w14:textId="7783161D" w:rsidR="00BF72A9" w:rsidRDefault="00BF72A9" w:rsidP="00BF72A9">
      <w:pPr>
        <w:spacing w:before="40" w:after="120"/>
        <w:rPr>
          <w:rFonts w:ascii="Century Gothic" w:hAnsi="Century Gothic" w:cstheme="minorHAnsi"/>
          <w:sz w:val="20"/>
          <w:szCs w:val="21"/>
        </w:rPr>
      </w:pPr>
    </w:p>
    <w:p w14:paraId="7AF4541D" w14:textId="0A4BC6DD" w:rsidR="00BF72A9" w:rsidRDefault="00BF72A9" w:rsidP="00BF72A9">
      <w:pPr>
        <w:spacing w:before="40" w:after="120"/>
        <w:rPr>
          <w:rFonts w:ascii="Century Gothic" w:hAnsi="Century Gothic" w:cstheme="minorHAnsi"/>
          <w:sz w:val="20"/>
          <w:szCs w:val="21"/>
        </w:rPr>
      </w:pPr>
    </w:p>
    <w:p w14:paraId="1818B62C" w14:textId="07117E12" w:rsidR="00BF72A9" w:rsidRDefault="00BF72A9" w:rsidP="00BF72A9">
      <w:pPr>
        <w:spacing w:before="40" w:after="120"/>
        <w:rPr>
          <w:rFonts w:ascii="Century Gothic" w:hAnsi="Century Gothic" w:cstheme="minorHAnsi"/>
          <w:sz w:val="20"/>
          <w:szCs w:val="21"/>
        </w:rPr>
      </w:pPr>
    </w:p>
    <w:p w14:paraId="451E21F9" w14:textId="77777777" w:rsidR="00BF72A9" w:rsidRPr="00BF72A9" w:rsidRDefault="00BF72A9" w:rsidP="00BF72A9">
      <w:pPr>
        <w:spacing w:before="40" w:after="120"/>
        <w:rPr>
          <w:rFonts w:ascii="Century Gothic" w:hAnsi="Century Gothic" w:cstheme="minorHAnsi"/>
          <w:sz w:val="20"/>
          <w:szCs w:val="21"/>
        </w:rPr>
      </w:pPr>
    </w:p>
    <w:p w14:paraId="7AA3FAE1" w14:textId="4CFFB19C" w:rsidR="00932428" w:rsidRPr="00042C01" w:rsidRDefault="00163B3A" w:rsidP="006B3044">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While global BF-BOF overcapacity means it will be difficult</w:t>
      </w:r>
      <w:r w:rsidR="00064077">
        <w:rPr>
          <w:rFonts w:ascii="Century Gothic" w:hAnsi="Century Gothic" w:cstheme="minorHAnsi"/>
          <w:sz w:val="20"/>
          <w:szCs w:val="21"/>
        </w:rPr>
        <w:t xml:space="preserve"> to incentivise new investments</w:t>
      </w:r>
      <w:r w:rsidRPr="00042C01">
        <w:rPr>
          <w:rFonts w:ascii="Century Gothic" w:hAnsi="Century Gothic" w:cstheme="minorHAnsi"/>
          <w:sz w:val="20"/>
          <w:szCs w:val="21"/>
        </w:rPr>
        <w:t>, 70</w:t>
      </w:r>
      <w:r w:rsidR="00932428" w:rsidRPr="00042C01">
        <w:rPr>
          <w:rFonts w:ascii="Century Gothic" w:hAnsi="Century Gothic" w:cstheme="minorHAnsi"/>
          <w:sz w:val="20"/>
          <w:szCs w:val="21"/>
        </w:rPr>
        <w:t xml:space="preserve">% of </w:t>
      </w:r>
      <w:r w:rsidR="00064077">
        <w:rPr>
          <w:rFonts w:ascii="Century Gothic" w:hAnsi="Century Gothic" w:cstheme="minorHAnsi"/>
          <w:sz w:val="20"/>
          <w:szCs w:val="21"/>
        </w:rPr>
        <w:t>the</w:t>
      </w:r>
      <w:r w:rsidR="00932428" w:rsidRPr="00042C01">
        <w:rPr>
          <w:rFonts w:ascii="Century Gothic" w:hAnsi="Century Gothic" w:cstheme="minorHAnsi"/>
          <w:sz w:val="20"/>
          <w:szCs w:val="21"/>
        </w:rPr>
        <w:t xml:space="preserve"> </w:t>
      </w:r>
      <w:r w:rsidR="000216DF" w:rsidRPr="00042C01">
        <w:rPr>
          <w:rFonts w:ascii="Century Gothic" w:hAnsi="Century Gothic" w:cstheme="minorHAnsi"/>
          <w:sz w:val="20"/>
          <w:szCs w:val="21"/>
        </w:rPr>
        <w:t>EU</w:t>
      </w:r>
      <w:r w:rsidR="00064077">
        <w:rPr>
          <w:rFonts w:ascii="Century Gothic" w:hAnsi="Century Gothic" w:cstheme="minorHAnsi"/>
          <w:sz w:val="20"/>
          <w:szCs w:val="21"/>
        </w:rPr>
        <w:t>’s</w:t>
      </w:r>
      <w:r w:rsidR="000216DF" w:rsidRPr="00042C01">
        <w:rPr>
          <w:rFonts w:ascii="Century Gothic" w:hAnsi="Century Gothic" w:cstheme="minorHAnsi"/>
          <w:sz w:val="20"/>
          <w:szCs w:val="21"/>
        </w:rPr>
        <w:t xml:space="preserve"> </w:t>
      </w:r>
      <w:r w:rsidR="00932428" w:rsidRPr="00042C01">
        <w:rPr>
          <w:rFonts w:ascii="Century Gothic" w:hAnsi="Century Gothic" w:cstheme="minorHAnsi"/>
          <w:sz w:val="20"/>
          <w:szCs w:val="21"/>
        </w:rPr>
        <w:t>operating blast furnace capacity is older than 35 years</w:t>
      </w:r>
      <w:r w:rsidR="002D1EAB">
        <w:rPr>
          <w:rStyle w:val="FootnoteReference"/>
          <w:rFonts w:ascii="Century Gothic" w:hAnsi="Century Gothic" w:cstheme="minorHAnsi"/>
          <w:sz w:val="20"/>
          <w:szCs w:val="21"/>
        </w:rPr>
        <w:footnoteReference w:id="11"/>
      </w:r>
      <w:r w:rsidR="00932428" w:rsidRPr="00042C01">
        <w:rPr>
          <w:rFonts w:ascii="Century Gothic" w:hAnsi="Century Gothic" w:cstheme="minorHAnsi"/>
          <w:sz w:val="20"/>
          <w:szCs w:val="21"/>
        </w:rPr>
        <w:t>. Assuming a normal technical lifetime of about 45</w:t>
      </w:r>
      <w:r w:rsidR="00064077">
        <w:rPr>
          <w:rFonts w:ascii="Century Gothic" w:hAnsi="Century Gothic" w:cstheme="minorHAnsi"/>
          <w:sz w:val="20"/>
          <w:szCs w:val="21"/>
        </w:rPr>
        <w:t>-</w:t>
      </w:r>
      <w:r w:rsidR="00932428" w:rsidRPr="00042C01">
        <w:rPr>
          <w:rFonts w:ascii="Century Gothic" w:hAnsi="Century Gothic" w:cstheme="minorHAnsi"/>
          <w:sz w:val="20"/>
          <w:szCs w:val="21"/>
        </w:rPr>
        <w:t xml:space="preserve">50 years, this capacity </w:t>
      </w:r>
      <w:r w:rsidR="00064077">
        <w:rPr>
          <w:rFonts w:ascii="Century Gothic" w:hAnsi="Century Gothic" w:cstheme="minorHAnsi"/>
          <w:sz w:val="20"/>
          <w:szCs w:val="21"/>
        </w:rPr>
        <w:t>is likely to undergo significant investment in the next 10 years</w:t>
      </w:r>
      <w:r w:rsidR="00932428" w:rsidRPr="00042C01">
        <w:rPr>
          <w:rFonts w:ascii="Century Gothic" w:hAnsi="Century Gothic" w:cstheme="minorHAnsi"/>
          <w:sz w:val="20"/>
          <w:szCs w:val="21"/>
        </w:rPr>
        <w:t>.</w:t>
      </w:r>
      <w:r w:rsidR="00E9403C" w:rsidRPr="00042C01">
        <w:rPr>
          <w:rFonts w:ascii="Century Gothic" w:hAnsi="Century Gothic" w:cstheme="minorHAnsi"/>
          <w:sz w:val="20"/>
          <w:szCs w:val="21"/>
        </w:rPr>
        <w:t xml:space="preserve"> </w:t>
      </w:r>
      <w:r w:rsidR="00064077">
        <w:rPr>
          <w:rFonts w:ascii="Century Gothic" w:hAnsi="Century Gothic" w:cstheme="minorHAnsi"/>
          <w:sz w:val="20"/>
          <w:szCs w:val="21"/>
        </w:rPr>
        <w:t>In parallel, a</w:t>
      </w:r>
      <w:r w:rsidR="000216DF" w:rsidRPr="00042C01">
        <w:rPr>
          <w:rFonts w:ascii="Century Gothic" w:hAnsi="Century Gothic" w:cstheme="minorHAnsi"/>
          <w:sz w:val="20"/>
          <w:szCs w:val="21"/>
        </w:rPr>
        <w:t xml:space="preserve">round 60% of EAFs in </w:t>
      </w:r>
      <w:r w:rsidR="00064077">
        <w:rPr>
          <w:rFonts w:ascii="Century Gothic" w:hAnsi="Century Gothic" w:cstheme="minorHAnsi"/>
          <w:sz w:val="20"/>
          <w:szCs w:val="21"/>
        </w:rPr>
        <w:t xml:space="preserve">the </w:t>
      </w:r>
      <w:r w:rsidR="000216DF" w:rsidRPr="00042C01">
        <w:rPr>
          <w:rFonts w:ascii="Century Gothic" w:hAnsi="Century Gothic" w:cstheme="minorHAnsi"/>
          <w:sz w:val="20"/>
          <w:szCs w:val="21"/>
        </w:rPr>
        <w:t>EU will have reached the end of the</w:t>
      </w:r>
      <w:r w:rsidR="00064077">
        <w:rPr>
          <w:rFonts w:ascii="Century Gothic" w:hAnsi="Century Gothic" w:cstheme="minorHAnsi"/>
          <w:sz w:val="20"/>
          <w:szCs w:val="21"/>
        </w:rPr>
        <w:t>ir expected life</w:t>
      </w:r>
      <w:r w:rsidR="000216DF" w:rsidRPr="00042C01">
        <w:rPr>
          <w:rFonts w:ascii="Century Gothic" w:hAnsi="Century Gothic" w:cstheme="minorHAnsi"/>
          <w:sz w:val="20"/>
          <w:szCs w:val="21"/>
        </w:rPr>
        <w:t xml:space="preserve">span of 25-30 years during the next </w:t>
      </w:r>
      <w:r w:rsidR="00064077">
        <w:rPr>
          <w:rFonts w:ascii="Century Gothic" w:hAnsi="Century Gothic" w:cstheme="minorHAnsi"/>
          <w:sz w:val="20"/>
          <w:szCs w:val="21"/>
        </w:rPr>
        <w:t>5-10</w:t>
      </w:r>
      <w:r w:rsidR="000216DF" w:rsidRPr="00042C01">
        <w:rPr>
          <w:rFonts w:ascii="Century Gothic" w:hAnsi="Century Gothic" w:cstheme="minorHAnsi"/>
          <w:sz w:val="20"/>
          <w:szCs w:val="21"/>
        </w:rPr>
        <w:t xml:space="preserve"> years.</w:t>
      </w:r>
      <w:r w:rsidR="00064077">
        <w:rPr>
          <w:rFonts w:ascii="Century Gothic" w:hAnsi="Century Gothic" w:cstheme="minorHAnsi"/>
          <w:sz w:val="20"/>
          <w:szCs w:val="21"/>
        </w:rPr>
        <w:t xml:space="preserve"> The investment cycle could therefore be more favourable to new zero-carbon investments in Europe.</w:t>
      </w:r>
    </w:p>
    <w:p w14:paraId="184B922F" w14:textId="756F2602" w:rsidR="00FE573A" w:rsidRPr="00BF72A9" w:rsidRDefault="00E2210C" w:rsidP="006B3044">
      <w:pPr>
        <w:pStyle w:val="ListParagraph"/>
        <w:numPr>
          <w:ilvl w:val="1"/>
          <w:numId w:val="1"/>
        </w:numPr>
        <w:spacing w:before="40" w:after="120"/>
        <w:ind w:left="426"/>
        <w:contextualSpacing w:val="0"/>
        <w:rPr>
          <w:rFonts w:ascii="Century Gothic" w:hAnsi="Century Gothic" w:cstheme="minorHAnsi"/>
          <w:sz w:val="20"/>
          <w:szCs w:val="21"/>
        </w:rPr>
      </w:pPr>
      <w:r w:rsidRPr="00BF72A9">
        <w:rPr>
          <w:rFonts w:ascii="Century Gothic" w:hAnsi="Century Gothic" w:cstheme="minorHAnsi"/>
          <w:sz w:val="20"/>
          <w:szCs w:val="21"/>
        </w:rPr>
        <w:t>In the short term, the most promising opportunity to create an initial market would therefore be the European automotive industry</w:t>
      </w:r>
      <w:r w:rsidR="00CE5B3A" w:rsidRPr="00BF72A9">
        <w:rPr>
          <w:rFonts w:ascii="Century Gothic" w:hAnsi="Century Gothic" w:cstheme="minorHAnsi"/>
          <w:sz w:val="20"/>
          <w:szCs w:val="21"/>
        </w:rPr>
        <w:t xml:space="preserve"> (15 million LDV sales in 2016)</w:t>
      </w:r>
      <w:r w:rsidRPr="00BF72A9">
        <w:rPr>
          <w:rFonts w:ascii="Century Gothic" w:hAnsi="Century Gothic" w:cstheme="minorHAnsi"/>
          <w:sz w:val="20"/>
          <w:szCs w:val="21"/>
        </w:rPr>
        <w:t>. BNEF estimates that, by 2030, EVs will make up about 40% of car sales in Europe. I</w:t>
      </w:r>
      <w:r w:rsidR="00CE5B3A" w:rsidRPr="00BF72A9">
        <w:rPr>
          <w:rFonts w:ascii="Century Gothic" w:hAnsi="Century Gothic" w:cstheme="minorHAnsi"/>
          <w:sz w:val="20"/>
          <w:szCs w:val="21"/>
        </w:rPr>
        <w:t>f</w:t>
      </w:r>
      <w:r w:rsidRPr="00BF72A9">
        <w:rPr>
          <w:rFonts w:ascii="Century Gothic" w:hAnsi="Century Gothic" w:cstheme="minorHAnsi"/>
          <w:sz w:val="20"/>
          <w:szCs w:val="21"/>
        </w:rPr>
        <w:t xml:space="preserve"> all </w:t>
      </w:r>
      <w:r w:rsidR="00FE573A" w:rsidRPr="00BF72A9">
        <w:rPr>
          <w:rFonts w:ascii="Century Gothic" w:hAnsi="Century Gothic" w:cstheme="minorHAnsi"/>
          <w:sz w:val="20"/>
          <w:szCs w:val="21"/>
        </w:rPr>
        <w:t xml:space="preserve">these </w:t>
      </w:r>
      <w:r w:rsidRPr="00BF72A9">
        <w:rPr>
          <w:rFonts w:ascii="Century Gothic" w:hAnsi="Century Gothic" w:cstheme="minorHAnsi"/>
          <w:sz w:val="20"/>
          <w:szCs w:val="21"/>
        </w:rPr>
        <w:t xml:space="preserve">EVs were produced with </w:t>
      </w:r>
      <w:r w:rsidR="00FE573A" w:rsidRPr="00BF72A9">
        <w:rPr>
          <w:rFonts w:ascii="Century Gothic" w:hAnsi="Century Gothic" w:cstheme="minorHAnsi"/>
          <w:sz w:val="20"/>
          <w:szCs w:val="21"/>
        </w:rPr>
        <w:t>zero-carbon steel, this could provide a market to 2-3 industrial-scale commercial plants.</w:t>
      </w:r>
      <w:r w:rsidRPr="00BF72A9">
        <w:rPr>
          <w:rFonts w:ascii="Century Gothic" w:hAnsi="Century Gothic" w:cstheme="minorHAnsi"/>
          <w:sz w:val="20"/>
          <w:szCs w:val="21"/>
        </w:rPr>
        <w:t xml:space="preserve"> </w:t>
      </w:r>
      <w:r w:rsidR="00FE573A" w:rsidRPr="00BF72A9">
        <w:rPr>
          <w:rFonts w:ascii="Century Gothic" w:hAnsi="Century Gothic" w:cstheme="minorHAnsi"/>
          <w:sz w:val="20"/>
          <w:szCs w:val="21"/>
        </w:rPr>
        <w:t xml:space="preserve">If the whole </w:t>
      </w:r>
      <w:r w:rsidR="00CE5B3A" w:rsidRPr="00BF72A9">
        <w:rPr>
          <w:rFonts w:ascii="Century Gothic" w:hAnsi="Century Gothic" w:cstheme="minorHAnsi"/>
          <w:sz w:val="20"/>
          <w:szCs w:val="21"/>
        </w:rPr>
        <w:t xml:space="preserve">European </w:t>
      </w:r>
      <w:r w:rsidR="00FE573A" w:rsidRPr="00BF72A9">
        <w:rPr>
          <w:rFonts w:ascii="Century Gothic" w:hAnsi="Century Gothic" w:cstheme="minorHAnsi"/>
          <w:sz w:val="20"/>
          <w:szCs w:val="21"/>
        </w:rPr>
        <w:t>car market was to use zero-carbon steel, this could provide a market to 6-7 industrial-scale commercial plants.</w:t>
      </w:r>
    </w:p>
    <w:p w14:paraId="50A0D1CA" w14:textId="30363B33" w:rsidR="00CE5B3A" w:rsidRPr="00BF72A9" w:rsidRDefault="00CE5B3A" w:rsidP="00CE5B3A">
      <w:pPr>
        <w:pStyle w:val="ListParagraph"/>
        <w:numPr>
          <w:ilvl w:val="1"/>
          <w:numId w:val="1"/>
        </w:numPr>
        <w:spacing w:before="40" w:after="120"/>
        <w:ind w:left="426"/>
        <w:contextualSpacing w:val="0"/>
        <w:rPr>
          <w:rFonts w:ascii="Century Gothic" w:hAnsi="Century Gothic" w:cstheme="minorHAnsi"/>
          <w:sz w:val="20"/>
          <w:szCs w:val="21"/>
        </w:rPr>
      </w:pPr>
      <w:r w:rsidRPr="00BF72A9">
        <w:rPr>
          <w:rFonts w:ascii="Century Gothic" w:hAnsi="Century Gothic" w:cstheme="minorHAnsi"/>
          <w:sz w:val="20"/>
          <w:szCs w:val="21"/>
        </w:rPr>
        <w:t>By comparison,</w:t>
      </w:r>
      <w:r w:rsidR="00FE573A" w:rsidRPr="00BF72A9">
        <w:rPr>
          <w:rFonts w:ascii="Century Gothic" w:hAnsi="Century Gothic" w:cstheme="minorHAnsi"/>
          <w:sz w:val="20"/>
          <w:szCs w:val="21"/>
        </w:rPr>
        <w:t xml:space="preserve"> the Chinese </w:t>
      </w:r>
      <w:r w:rsidRPr="00BF72A9">
        <w:rPr>
          <w:rFonts w:ascii="Century Gothic" w:hAnsi="Century Gothic" w:cstheme="minorHAnsi"/>
          <w:sz w:val="20"/>
          <w:szCs w:val="21"/>
        </w:rPr>
        <w:t xml:space="preserve">LDV market is currently ~21 million LDV sales per annum and the </w:t>
      </w:r>
      <w:r w:rsidR="00FE573A" w:rsidRPr="00BF72A9">
        <w:rPr>
          <w:rFonts w:ascii="Century Gothic" w:hAnsi="Century Gothic" w:cstheme="minorHAnsi"/>
          <w:sz w:val="20"/>
          <w:szCs w:val="21"/>
        </w:rPr>
        <w:t>EV market is expected to boom by 2025 (target of 35 million vehicle sales per annum), potentially representing a significant market for zero-carbon steel. However, the overcapacity issue in the Chinese steel sector could slow down investments in new production technologies.</w:t>
      </w:r>
      <w:r w:rsidRPr="00BF72A9">
        <w:rPr>
          <w:rFonts w:ascii="Century Gothic" w:hAnsi="Century Gothic" w:cstheme="minorHAnsi"/>
          <w:sz w:val="20"/>
          <w:szCs w:val="21"/>
        </w:rPr>
        <w:t xml:space="preserve"> The other two biggest passenger car markets after China and Europe are the US (7.7 million) and Japan (4.4 million).</w:t>
      </w:r>
    </w:p>
    <w:p w14:paraId="71C65688" w14:textId="74D8E1A4" w:rsidR="00163B3A" w:rsidRPr="00042C01" w:rsidRDefault="00163B3A" w:rsidP="00EF5256"/>
    <w:p w14:paraId="32A3BF0A" w14:textId="6459855F" w:rsidR="002162F1" w:rsidRPr="00042C01" w:rsidRDefault="002028F6"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RECONFIGURATION: </w:t>
      </w:r>
      <w:r w:rsidR="0041150C"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hat actions could be taken and by whom</w:t>
      </w:r>
      <w:r w:rsidR="000E0B36" w:rsidRPr="00042C01">
        <w:rPr>
          <w:rStyle w:val="normaltextrun"/>
          <w:rFonts w:ascii="Century Gothic" w:hAnsi="Century Gothic" w:cs="Arial"/>
          <w:b/>
          <w:bCs/>
          <w:color w:val="002060"/>
          <w:sz w:val="22"/>
          <w:szCs w:val="22"/>
        </w:rPr>
        <w:t>?</w:t>
      </w:r>
    </w:p>
    <w:p w14:paraId="595E670D" w14:textId="6BC83322" w:rsidR="00711BD5" w:rsidRDefault="00CE5B3A" w:rsidP="00DE5898">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sidRPr="005E102A">
        <w:rPr>
          <w:rStyle w:val="normaltextrun"/>
          <w:rFonts w:ascii="Century Gothic" w:hAnsi="Century Gothic" w:cs="Arial"/>
          <w:i/>
          <w:iCs/>
          <w:color w:val="002060"/>
          <w:sz w:val="22"/>
          <w:szCs w:val="22"/>
        </w:rPr>
        <w:t xml:space="preserve">In the short term, </w:t>
      </w:r>
      <w:r w:rsidR="00863A77" w:rsidRPr="005E102A">
        <w:rPr>
          <w:rStyle w:val="normaltextrun"/>
          <w:rFonts w:ascii="Century Gothic" w:hAnsi="Century Gothic" w:cs="Arial"/>
          <w:i/>
          <w:iCs/>
          <w:color w:val="002060"/>
          <w:sz w:val="22"/>
          <w:szCs w:val="22"/>
        </w:rPr>
        <w:t>4</w:t>
      </w:r>
      <w:r w:rsidRPr="005E102A">
        <w:rPr>
          <w:rStyle w:val="normaltextrun"/>
          <w:rFonts w:ascii="Century Gothic" w:hAnsi="Century Gothic" w:cs="Arial"/>
          <w:i/>
          <w:iCs/>
          <w:color w:val="002060"/>
          <w:sz w:val="22"/>
          <w:szCs w:val="22"/>
        </w:rPr>
        <w:t xml:space="preserve"> major </w:t>
      </w:r>
      <w:r w:rsidR="00863A77" w:rsidRPr="005E102A">
        <w:rPr>
          <w:rStyle w:val="normaltextrun"/>
          <w:rFonts w:ascii="Century Gothic" w:hAnsi="Century Gothic" w:cs="Arial"/>
          <w:i/>
          <w:iCs/>
          <w:color w:val="002060"/>
          <w:sz w:val="22"/>
          <w:szCs w:val="22"/>
        </w:rPr>
        <w:t xml:space="preserve">types of action could be pursued to unlock an initial market for zero-carbon steel: (i) continued innovation support, (ii) shift </w:t>
      </w:r>
      <w:r w:rsidR="002D0474" w:rsidRPr="005E102A">
        <w:rPr>
          <w:rStyle w:val="normaltextrun"/>
          <w:rFonts w:ascii="Century Gothic" w:hAnsi="Century Gothic" w:cs="Arial"/>
          <w:i/>
          <w:iCs/>
          <w:color w:val="002060"/>
          <w:sz w:val="22"/>
          <w:szCs w:val="22"/>
        </w:rPr>
        <w:t>public infrastructure procurement, (i</w:t>
      </w:r>
      <w:r w:rsidR="00863A77" w:rsidRPr="005E102A">
        <w:rPr>
          <w:rStyle w:val="normaltextrun"/>
          <w:rFonts w:ascii="Century Gothic" w:hAnsi="Century Gothic" w:cs="Arial"/>
          <w:i/>
          <w:iCs/>
          <w:color w:val="002060"/>
          <w:sz w:val="22"/>
          <w:szCs w:val="22"/>
        </w:rPr>
        <w:t>i</w:t>
      </w:r>
      <w:r w:rsidR="002D0474" w:rsidRPr="005E102A">
        <w:rPr>
          <w:rStyle w:val="normaltextrun"/>
          <w:rFonts w:ascii="Century Gothic" w:hAnsi="Century Gothic" w:cs="Arial"/>
          <w:i/>
          <w:iCs/>
          <w:color w:val="002060"/>
          <w:sz w:val="22"/>
          <w:szCs w:val="22"/>
        </w:rPr>
        <w:t xml:space="preserve">i) </w:t>
      </w:r>
      <w:r w:rsidR="00863A77" w:rsidRPr="005E102A">
        <w:rPr>
          <w:rStyle w:val="normaltextrun"/>
          <w:rFonts w:ascii="Century Gothic" w:hAnsi="Century Gothic" w:cs="Arial"/>
          <w:i/>
          <w:iCs/>
          <w:color w:val="002060"/>
          <w:sz w:val="22"/>
          <w:szCs w:val="22"/>
        </w:rPr>
        <w:t>de</w:t>
      </w:r>
      <w:r w:rsidR="00863A77" w:rsidRPr="005C74DC">
        <w:rPr>
          <w:rStyle w:val="normaltextrun"/>
          <w:rFonts w:ascii="Century Gothic" w:hAnsi="Century Gothic" w:cs="Arial"/>
          <w:i/>
          <w:iCs/>
          <w:color w:val="002060"/>
          <w:sz w:val="22"/>
          <w:szCs w:val="22"/>
        </w:rPr>
        <w:t>velop a coalition of buyers from the automotive</w:t>
      </w:r>
      <w:r w:rsidR="003A6F98">
        <w:rPr>
          <w:rStyle w:val="normaltextrun"/>
          <w:rFonts w:ascii="Century Gothic" w:hAnsi="Century Gothic" w:cs="Arial"/>
          <w:i/>
          <w:iCs/>
          <w:color w:val="002060"/>
          <w:sz w:val="22"/>
          <w:szCs w:val="22"/>
        </w:rPr>
        <w:t xml:space="preserve"> or energy</w:t>
      </w:r>
      <w:r w:rsidR="00863A77" w:rsidRPr="005C74DC">
        <w:rPr>
          <w:rStyle w:val="normaltextrun"/>
          <w:rFonts w:ascii="Century Gothic" w:hAnsi="Century Gothic" w:cs="Arial"/>
          <w:i/>
          <w:iCs/>
          <w:color w:val="002060"/>
          <w:sz w:val="22"/>
          <w:szCs w:val="22"/>
        </w:rPr>
        <w:t xml:space="preserve"> industry, (iv) integrate zero-carbon steel in the </w:t>
      </w:r>
      <w:r w:rsidR="00711BD5" w:rsidRPr="005C74DC">
        <w:rPr>
          <w:rStyle w:val="normaltextrun"/>
          <w:rFonts w:ascii="Century Gothic" w:hAnsi="Century Gothic" w:cs="Arial"/>
          <w:i/>
          <w:iCs/>
          <w:color w:val="002060"/>
          <w:sz w:val="22"/>
          <w:szCs w:val="22"/>
        </w:rPr>
        <w:t xml:space="preserve">EU regulation on lifecycle emissions of </w:t>
      </w:r>
      <w:r w:rsidR="00863A77" w:rsidRPr="005C74DC">
        <w:rPr>
          <w:rStyle w:val="normaltextrun"/>
          <w:rFonts w:ascii="Century Gothic" w:hAnsi="Century Gothic" w:cs="Arial"/>
          <w:i/>
          <w:iCs/>
          <w:color w:val="002060"/>
          <w:sz w:val="22"/>
          <w:szCs w:val="22"/>
        </w:rPr>
        <w:t>cars</w:t>
      </w:r>
      <w:r w:rsidR="005E102A" w:rsidRPr="005C74DC">
        <w:rPr>
          <w:rStyle w:val="normaltextrun"/>
          <w:rFonts w:ascii="Century Gothic" w:hAnsi="Century Gothic" w:cs="Arial"/>
          <w:i/>
          <w:iCs/>
          <w:color w:val="002060"/>
          <w:sz w:val="22"/>
          <w:szCs w:val="22"/>
        </w:rPr>
        <w:t xml:space="preserve"> and buildings</w:t>
      </w:r>
      <w:r w:rsidR="00863A77" w:rsidRPr="005C74DC">
        <w:rPr>
          <w:rStyle w:val="normaltextrun"/>
          <w:rFonts w:ascii="Century Gothic" w:hAnsi="Century Gothic" w:cs="Arial"/>
          <w:i/>
          <w:iCs/>
          <w:color w:val="002060"/>
          <w:sz w:val="22"/>
          <w:szCs w:val="22"/>
        </w:rPr>
        <w:t xml:space="preserve">. In the longer term, some form of carbon pricing or emissions standard on steel production (either internationally agreed or combined with border tax adjustments) will be essential to expand the market. </w:t>
      </w:r>
    </w:p>
    <w:p w14:paraId="53F1008A" w14:textId="3980CAD6" w:rsidR="00863A77" w:rsidRPr="001F6A4E" w:rsidRDefault="00863A77" w:rsidP="00863A77">
      <w:pPr>
        <w:pStyle w:val="ListParagraph"/>
        <w:numPr>
          <w:ilvl w:val="1"/>
          <w:numId w:val="1"/>
        </w:numPr>
        <w:spacing w:before="40" w:after="120"/>
        <w:ind w:left="426"/>
        <w:contextualSpacing w:val="0"/>
        <w:rPr>
          <w:rFonts w:ascii="Century Gothic" w:hAnsi="Century Gothic" w:cstheme="minorHAnsi"/>
          <w:sz w:val="20"/>
          <w:szCs w:val="21"/>
        </w:rPr>
      </w:pPr>
      <w:r w:rsidRPr="00042C01">
        <w:rPr>
          <w:rFonts w:ascii="Century Gothic" w:hAnsi="Century Gothic" w:cstheme="minorHAnsi"/>
          <w:sz w:val="20"/>
          <w:szCs w:val="21"/>
        </w:rPr>
        <w:t xml:space="preserve">In the short term, </w:t>
      </w:r>
      <w:r>
        <w:rPr>
          <w:rFonts w:ascii="Century Gothic" w:hAnsi="Century Gothic" w:cstheme="minorHAnsi"/>
          <w:sz w:val="20"/>
          <w:szCs w:val="21"/>
        </w:rPr>
        <w:t xml:space="preserve">supply-side </w:t>
      </w:r>
      <w:r w:rsidRPr="00042C01">
        <w:rPr>
          <w:rFonts w:ascii="Century Gothic" w:hAnsi="Century Gothic" w:cstheme="minorHAnsi"/>
          <w:sz w:val="20"/>
          <w:szCs w:val="21"/>
        </w:rPr>
        <w:t xml:space="preserve">support should take the form of access to low-cost </w:t>
      </w:r>
      <w:r w:rsidRPr="00042C01">
        <w:rPr>
          <w:rFonts w:ascii="Century Gothic" w:hAnsi="Century Gothic" w:cstheme="minorHAnsi"/>
          <w:sz w:val="20"/>
          <w:szCs w:val="21"/>
        </w:rPr>
        <w:t xml:space="preserve">financing for increasing scales of demonstration. This </w:t>
      </w:r>
      <w:r w:rsidR="00DE5898">
        <w:rPr>
          <w:rFonts w:ascii="Century Gothic" w:hAnsi="Century Gothic" w:cstheme="minorHAnsi"/>
          <w:sz w:val="20"/>
          <w:szCs w:val="21"/>
        </w:rPr>
        <w:t>can</w:t>
      </w:r>
      <w:r w:rsidRPr="00042C01">
        <w:rPr>
          <w:rFonts w:ascii="Century Gothic" w:hAnsi="Century Gothic" w:cstheme="minorHAnsi"/>
          <w:sz w:val="20"/>
          <w:szCs w:val="21"/>
        </w:rPr>
        <w:t xml:space="preserve"> </w:t>
      </w:r>
      <w:r w:rsidR="00DE5898">
        <w:rPr>
          <w:rFonts w:ascii="Century Gothic" w:hAnsi="Century Gothic" w:cstheme="minorHAnsi"/>
          <w:sz w:val="20"/>
          <w:szCs w:val="21"/>
        </w:rPr>
        <w:t>include</w:t>
      </w:r>
      <w:r w:rsidRPr="00042C01">
        <w:rPr>
          <w:rFonts w:ascii="Century Gothic" w:hAnsi="Century Gothic" w:cstheme="minorHAnsi"/>
          <w:sz w:val="20"/>
          <w:szCs w:val="21"/>
        </w:rPr>
        <w:t xml:space="preserve"> lower emissions pathways in the short term but should </w:t>
      </w:r>
      <w:r w:rsidR="00DE5898">
        <w:rPr>
          <w:rFonts w:ascii="Century Gothic" w:hAnsi="Century Gothic" w:cstheme="minorHAnsi"/>
          <w:sz w:val="20"/>
          <w:szCs w:val="21"/>
        </w:rPr>
        <w:t>be rapidly focused on</w:t>
      </w:r>
      <w:r w:rsidRPr="00042C01">
        <w:rPr>
          <w:rFonts w:ascii="Century Gothic" w:hAnsi="Century Gothic" w:cstheme="minorHAnsi"/>
          <w:sz w:val="20"/>
          <w:szCs w:val="21"/>
        </w:rPr>
        <w:t xml:space="preserve"> sole support for net-zero routes</w:t>
      </w:r>
      <w:r w:rsidR="00DE5898">
        <w:rPr>
          <w:rFonts w:ascii="Century Gothic" w:hAnsi="Century Gothic" w:cstheme="minorHAnsi"/>
          <w:sz w:val="20"/>
          <w:szCs w:val="21"/>
        </w:rPr>
        <w:t>.</w:t>
      </w:r>
      <w:r w:rsidR="009F6B2B">
        <w:rPr>
          <w:rFonts w:ascii="Century Gothic" w:hAnsi="Century Gothic" w:cstheme="minorHAnsi"/>
          <w:sz w:val="20"/>
          <w:szCs w:val="21"/>
        </w:rPr>
        <w:t xml:space="preserve"> </w:t>
      </w:r>
      <w:r w:rsidR="001F6A4E" w:rsidRPr="001F6A4E">
        <w:rPr>
          <w:rFonts w:ascii="Century Gothic" w:hAnsi="Century Gothic" w:cstheme="minorHAnsi"/>
          <w:sz w:val="20"/>
          <w:szCs w:val="21"/>
        </w:rPr>
        <w:t>A range of technology options – including hydrogen reduction and CCS –</w:t>
      </w:r>
      <w:r w:rsidR="009F6B2B" w:rsidRPr="001F6A4E">
        <w:rPr>
          <w:rFonts w:ascii="Century Gothic" w:hAnsi="Century Gothic" w:cstheme="minorHAnsi"/>
          <w:sz w:val="20"/>
          <w:szCs w:val="21"/>
        </w:rPr>
        <w:t xml:space="preserve"> </w:t>
      </w:r>
      <w:r w:rsidR="00CB2C3D" w:rsidRPr="001F6A4E">
        <w:rPr>
          <w:rFonts w:ascii="Century Gothic" w:hAnsi="Century Gothic" w:cstheme="minorHAnsi"/>
          <w:sz w:val="20"/>
          <w:szCs w:val="21"/>
        </w:rPr>
        <w:t>have been demonstrated in proof of concept</w:t>
      </w:r>
      <w:r w:rsidR="008F29FA" w:rsidRPr="001F6A4E">
        <w:rPr>
          <w:rFonts w:ascii="Century Gothic" w:hAnsi="Century Gothic" w:cstheme="minorHAnsi"/>
          <w:sz w:val="20"/>
          <w:szCs w:val="21"/>
        </w:rPr>
        <w:t xml:space="preserve"> and have moved to small</w:t>
      </w:r>
      <w:r w:rsidR="001F6A4E" w:rsidRPr="001F6A4E">
        <w:rPr>
          <w:rFonts w:ascii="Century Gothic" w:hAnsi="Century Gothic" w:cstheme="minorHAnsi"/>
          <w:sz w:val="20"/>
          <w:szCs w:val="21"/>
        </w:rPr>
        <w:t>-</w:t>
      </w:r>
      <w:r w:rsidR="008F29FA" w:rsidRPr="001F6A4E">
        <w:rPr>
          <w:rFonts w:ascii="Century Gothic" w:hAnsi="Century Gothic" w:cstheme="minorHAnsi"/>
          <w:sz w:val="20"/>
          <w:szCs w:val="21"/>
        </w:rPr>
        <w:t>scale pilot plants.</w:t>
      </w:r>
      <w:r w:rsidR="00722AF1" w:rsidRPr="001F6A4E">
        <w:rPr>
          <w:rFonts w:ascii="Century Gothic" w:hAnsi="Century Gothic" w:cstheme="minorHAnsi"/>
          <w:sz w:val="20"/>
          <w:szCs w:val="21"/>
        </w:rPr>
        <w:t xml:space="preserve"> The focus should now be on demonstrating these technologies at industrial scale.</w:t>
      </w:r>
    </w:p>
    <w:p w14:paraId="560088CA" w14:textId="66E160FA" w:rsidR="00DE5898" w:rsidRDefault="00DE5898" w:rsidP="00DE5898">
      <w:pPr>
        <w:pStyle w:val="ListParagraph"/>
        <w:numPr>
          <w:ilvl w:val="1"/>
          <w:numId w:val="1"/>
        </w:numPr>
        <w:spacing w:before="40" w:after="120"/>
        <w:ind w:left="426"/>
        <w:contextualSpacing w:val="0"/>
        <w:rPr>
          <w:rFonts w:ascii="Century Gothic" w:hAnsi="Century Gothic" w:cstheme="minorHAnsi"/>
          <w:sz w:val="20"/>
          <w:szCs w:val="21"/>
        </w:rPr>
      </w:pPr>
      <w:r w:rsidRPr="001F6A4E">
        <w:rPr>
          <w:rFonts w:ascii="Century Gothic" w:hAnsi="Century Gothic" w:cstheme="minorHAnsi"/>
          <w:sz w:val="20"/>
          <w:szCs w:val="21"/>
        </w:rPr>
        <w:t xml:space="preserve">A coalition of major governments and cities (for instance via the C40) could jointly commit to procurement of zero-carbon steel for public infrastructure and buildings, which could drive the decarbonisation of scrap-based steel and incentivise a shift from high-carbon virgin production to low-carbon scrap-based production as early as the 2020s. Based on exchanges with the World Green Building Council, we believe that </w:t>
      </w:r>
      <w:r w:rsidRPr="007E37AE">
        <w:rPr>
          <w:rFonts w:ascii="Century Gothic" w:hAnsi="Century Gothic" w:cstheme="minorHAnsi"/>
          <w:sz w:val="20"/>
          <w:szCs w:val="21"/>
        </w:rPr>
        <w:t>s</w:t>
      </w:r>
      <w:r w:rsidR="000F138A" w:rsidRPr="007E37AE">
        <w:rPr>
          <w:rFonts w:ascii="Century Gothic" w:hAnsi="Century Gothic" w:cstheme="minorHAnsi"/>
          <w:sz w:val="20"/>
          <w:szCs w:val="21"/>
        </w:rPr>
        <w:t>uch</w:t>
      </w:r>
      <w:r w:rsidRPr="007E37AE">
        <w:rPr>
          <w:rFonts w:ascii="Century Gothic" w:hAnsi="Century Gothic" w:cstheme="minorHAnsi"/>
          <w:sz w:val="20"/>
          <w:szCs w:val="21"/>
        </w:rPr>
        <w:t xml:space="preserve"> discussions have recently started (encompassing multiple construction materials, including cement).</w:t>
      </w:r>
    </w:p>
    <w:p w14:paraId="6F5251A0" w14:textId="5F1EEB51" w:rsidR="003A6F98" w:rsidRDefault="003A6F98" w:rsidP="003A6F98">
      <w:pPr>
        <w:spacing w:before="40" w:after="120"/>
        <w:rPr>
          <w:rFonts w:ascii="Century Gothic" w:hAnsi="Century Gothic" w:cstheme="minorHAnsi"/>
          <w:sz w:val="20"/>
          <w:szCs w:val="21"/>
        </w:rPr>
      </w:pPr>
    </w:p>
    <w:p w14:paraId="40367823" w14:textId="77777777" w:rsidR="003A6F98" w:rsidRPr="003A6F98" w:rsidRDefault="003A6F98" w:rsidP="003A6F98">
      <w:pPr>
        <w:spacing w:before="40" w:after="120"/>
        <w:rPr>
          <w:rFonts w:ascii="Century Gothic" w:hAnsi="Century Gothic" w:cstheme="minorHAnsi"/>
          <w:sz w:val="20"/>
          <w:szCs w:val="21"/>
        </w:rPr>
      </w:pPr>
    </w:p>
    <w:p w14:paraId="1EAB891C" w14:textId="77777777" w:rsidR="00DD3784" w:rsidRDefault="00281C0E" w:rsidP="00863A77">
      <w:pPr>
        <w:pStyle w:val="ListParagraph"/>
        <w:numPr>
          <w:ilvl w:val="1"/>
          <w:numId w:val="1"/>
        </w:numPr>
        <w:spacing w:before="40" w:after="120"/>
        <w:ind w:left="426"/>
        <w:contextualSpacing w:val="0"/>
        <w:rPr>
          <w:rFonts w:ascii="Century Gothic" w:hAnsi="Century Gothic" w:cstheme="minorHAnsi"/>
          <w:sz w:val="20"/>
          <w:szCs w:val="21"/>
        </w:rPr>
      </w:pPr>
      <w:r w:rsidRPr="00281C0E">
        <w:rPr>
          <w:rFonts w:ascii="Century Gothic" w:hAnsi="Century Gothic" w:cstheme="minorHAnsi"/>
          <w:sz w:val="20"/>
          <w:szCs w:val="21"/>
        </w:rPr>
        <w:t xml:space="preserve">In the absence of </w:t>
      </w:r>
      <w:r>
        <w:rPr>
          <w:rFonts w:ascii="Century Gothic" w:hAnsi="Century Gothic" w:cstheme="minorHAnsi"/>
          <w:sz w:val="20"/>
          <w:szCs w:val="21"/>
        </w:rPr>
        <w:t>internationally-agreed policy incentives</w:t>
      </w:r>
      <w:r w:rsidRPr="00281C0E">
        <w:rPr>
          <w:rFonts w:ascii="Century Gothic" w:hAnsi="Century Gothic" w:cstheme="minorHAnsi"/>
          <w:sz w:val="20"/>
          <w:szCs w:val="21"/>
        </w:rPr>
        <w:t xml:space="preserve">, differentiated markets must be established to </w:t>
      </w:r>
      <w:r w:rsidRPr="00AC2052">
        <w:rPr>
          <w:rFonts w:ascii="Century Gothic" w:hAnsi="Century Gothic" w:cstheme="minorHAnsi"/>
          <w:sz w:val="20"/>
          <w:szCs w:val="21"/>
        </w:rPr>
        <w:t xml:space="preserve">support the increased costs faced by producers. </w:t>
      </w:r>
      <w:r w:rsidR="00AC2052" w:rsidRPr="00AC2052">
        <w:rPr>
          <w:rFonts w:ascii="Century Gothic" w:hAnsi="Century Gothic" w:cstheme="minorHAnsi"/>
          <w:sz w:val="20"/>
          <w:szCs w:val="21"/>
        </w:rPr>
        <w:t>Collaboration between producers and buyers would enable to shift from commodity steel to differentiated premium products. A</w:t>
      </w:r>
      <w:r w:rsidR="00742841" w:rsidRPr="00AC2052">
        <w:rPr>
          <w:rFonts w:ascii="Century Gothic" w:hAnsi="Century Gothic" w:cstheme="minorHAnsi"/>
          <w:sz w:val="20"/>
          <w:szCs w:val="21"/>
        </w:rPr>
        <w:t xml:space="preserve"> coalition of buyers – first option being from the automotive sector</w:t>
      </w:r>
      <w:r w:rsidRPr="00AC2052">
        <w:rPr>
          <w:rFonts w:ascii="Century Gothic" w:hAnsi="Century Gothic" w:cstheme="minorHAnsi"/>
          <w:sz w:val="20"/>
          <w:szCs w:val="21"/>
        </w:rPr>
        <w:t xml:space="preserve"> (possibly focused on high-end cars and EVs)</w:t>
      </w:r>
      <w:r w:rsidR="00742841" w:rsidRPr="00AC2052">
        <w:rPr>
          <w:rFonts w:ascii="Century Gothic" w:hAnsi="Century Gothic" w:cstheme="minorHAnsi"/>
          <w:sz w:val="20"/>
          <w:szCs w:val="21"/>
        </w:rPr>
        <w:t xml:space="preserve">, second option being from the energy sector – could commit to purchasing zero-carbon steel at a premium price in the early 2030s, which would create greater certainty on the potential minimum scale of demand for initial industrial-scale plants. This voluntary scheme would be motivated by lifecycle carbon commitments and/or reputational considerations. </w:t>
      </w:r>
      <w:r w:rsidR="00AC2052" w:rsidRPr="00AC2052">
        <w:rPr>
          <w:rFonts w:ascii="Century Gothic" w:hAnsi="Century Gothic" w:cstheme="minorHAnsi"/>
          <w:sz w:val="20"/>
          <w:szCs w:val="21"/>
        </w:rPr>
        <w:t xml:space="preserve">It could </w:t>
      </w:r>
      <w:r w:rsidR="00AC2052" w:rsidRPr="003A6F98">
        <w:rPr>
          <w:rFonts w:ascii="Century Gothic" w:hAnsi="Century Gothic" w:cstheme="minorHAnsi"/>
          <w:sz w:val="20"/>
          <w:szCs w:val="21"/>
        </w:rPr>
        <w:t>contribute to the co-development of low-emissions advanced high strength steels (AHSS).</w:t>
      </w:r>
    </w:p>
    <w:p w14:paraId="076D52EF" w14:textId="03FE842D" w:rsidR="00DE5898" w:rsidRPr="003A6F98" w:rsidRDefault="00742841" w:rsidP="00863A77">
      <w:pPr>
        <w:pStyle w:val="ListParagraph"/>
        <w:numPr>
          <w:ilvl w:val="1"/>
          <w:numId w:val="1"/>
        </w:numPr>
        <w:spacing w:before="40" w:after="120"/>
        <w:ind w:left="426"/>
        <w:contextualSpacing w:val="0"/>
        <w:rPr>
          <w:rFonts w:ascii="Century Gothic" w:hAnsi="Century Gothic" w:cstheme="minorHAnsi"/>
          <w:sz w:val="20"/>
          <w:szCs w:val="21"/>
        </w:rPr>
      </w:pPr>
      <w:r w:rsidRPr="003A6F98">
        <w:rPr>
          <w:rFonts w:ascii="Century Gothic" w:hAnsi="Century Gothic" w:cstheme="minorHAnsi"/>
          <w:sz w:val="20"/>
          <w:szCs w:val="21"/>
        </w:rPr>
        <w:t>Initial discussions between steel producers and steel buyers with regards to voluntary purchase commitments are currently happening at the level of ResponsibleSteel (although the ResponsibleSteel standard is not a zero-carbon steel standard, but only a first step in that direction). The ETC, in partnership with WEF, is in the process of setting up a “zero-carbon steel initiative”, which will aim to pursue that discussion</w:t>
      </w:r>
      <w:r w:rsidR="00DD3784">
        <w:rPr>
          <w:rFonts w:ascii="Century Gothic" w:hAnsi="Century Gothic" w:cstheme="minorHAnsi"/>
          <w:sz w:val="20"/>
          <w:szCs w:val="21"/>
        </w:rPr>
        <w:t>,</w:t>
      </w:r>
      <w:r w:rsidRPr="003A6F98">
        <w:rPr>
          <w:rFonts w:ascii="Century Gothic" w:hAnsi="Century Gothic" w:cstheme="minorHAnsi"/>
          <w:sz w:val="20"/>
          <w:szCs w:val="21"/>
        </w:rPr>
        <w:t xml:space="preserve"> in collaboration with </w:t>
      </w:r>
      <w:proofErr w:type="spellStart"/>
      <w:r w:rsidRPr="003A6F98">
        <w:rPr>
          <w:rFonts w:ascii="Century Gothic" w:hAnsi="Century Gothic" w:cstheme="minorHAnsi"/>
          <w:sz w:val="20"/>
          <w:szCs w:val="21"/>
        </w:rPr>
        <w:t>ResponsibleSteel</w:t>
      </w:r>
      <w:proofErr w:type="spellEnd"/>
      <w:r w:rsidR="00DD3784">
        <w:rPr>
          <w:rFonts w:ascii="Century Gothic" w:hAnsi="Century Gothic" w:cstheme="minorHAnsi"/>
          <w:sz w:val="20"/>
          <w:szCs w:val="21"/>
        </w:rPr>
        <w:t>, and expand it t</w:t>
      </w:r>
      <w:r w:rsidRPr="003A6F98">
        <w:rPr>
          <w:rFonts w:ascii="Century Gothic" w:hAnsi="Century Gothic" w:cstheme="minorHAnsi"/>
          <w:sz w:val="20"/>
          <w:szCs w:val="21"/>
        </w:rPr>
        <w:t>owards a zero-carbon agenda.</w:t>
      </w:r>
    </w:p>
    <w:p w14:paraId="2264D1E2" w14:textId="4DD7A265" w:rsidR="00AC2052" w:rsidRDefault="00CB593C" w:rsidP="00CB593C">
      <w:pPr>
        <w:pStyle w:val="ListParagraph"/>
        <w:numPr>
          <w:ilvl w:val="1"/>
          <w:numId w:val="1"/>
        </w:numPr>
        <w:spacing w:before="40" w:after="120"/>
        <w:ind w:left="426"/>
        <w:contextualSpacing w:val="0"/>
        <w:rPr>
          <w:rFonts w:ascii="Century Gothic" w:hAnsi="Century Gothic" w:cstheme="minorHAnsi"/>
          <w:sz w:val="20"/>
          <w:szCs w:val="21"/>
        </w:rPr>
      </w:pPr>
      <w:r w:rsidRPr="00281C0E">
        <w:rPr>
          <w:rFonts w:ascii="Century Gothic" w:hAnsi="Century Gothic" w:cstheme="minorHAnsi"/>
          <w:sz w:val="20"/>
          <w:szCs w:val="21"/>
        </w:rPr>
        <w:t>However, given the limits of a voluntary scheme (scal</w:t>
      </w:r>
      <w:r w:rsidR="00AC2052">
        <w:rPr>
          <w:rFonts w:ascii="Century Gothic" w:hAnsi="Century Gothic" w:cstheme="minorHAnsi"/>
          <w:sz w:val="20"/>
          <w:szCs w:val="21"/>
        </w:rPr>
        <w:t>e limited to market segments where premium price can be absorbed without threatening competitiveness</w:t>
      </w:r>
      <w:r w:rsidRPr="00281C0E">
        <w:rPr>
          <w:rFonts w:ascii="Century Gothic" w:hAnsi="Century Gothic" w:cstheme="minorHAnsi"/>
          <w:sz w:val="20"/>
          <w:szCs w:val="21"/>
        </w:rPr>
        <w:t xml:space="preserve">), going beyond it and creating markets at scale through regulation will be essential to scale-up the market. Regional regulation of lifecycle emissions of end consumer products is a good way to circumvent the competitiveness issue that regulation of supply would create. </w:t>
      </w:r>
      <w:r w:rsidR="00281C0E" w:rsidRPr="00281C0E">
        <w:rPr>
          <w:rFonts w:ascii="Century Gothic" w:hAnsi="Century Gothic" w:cstheme="minorHAnsi"/>
          <w:sz w:val="20"/>
          <w:szCs w:val="21"/>
        </w:rPr>
        <w:t xml:space="preserve">At present, EU automotive and fuels regulation presents the most concrete opportunity. </w:t>
      </w:r>
      <w:r w:rsidR="00CE5B3A" w:rsidRPr="00281C0E">
        <w:rPr>
          <w:rFonts w:ascii="Century Gothic" w:hAnsi="Century Gothic" w:cstheme="minorHAnsi"/>
          <w:sz w:val="20"/>
          <w:szCs w:val="21"/>
        </w:rPr>
        <w:t>By 2023, the EC will evaluate a common methodology for the assessment and reporting of the full lifecycle CO2 emissions of LDVs and LCVs</w:t>
      </w:r>
      <w:r w:rsidR="000173EC">
        <w:rPr>
          <w:rStyle w:val="FootnoteReference"/>
          <w:rFonts w:ascii="Century Gothic" w:hAnsi="Century Gothic" w:cstheme="minorHAnsi"/>
          <w:sz w:val="20"/>
          <w:szCs w:val="21"/>
        </w:rPr>
        <w:footnoteReference w:id="12"/>
      </w:r>
      <w:r w:rsidR="00CE5B3A" w:rsidRPr="00281C0E">
        <w:rPr>
          <w:rFonts w:ascii="Century Gothic" w:hAnsi="Century Gothic" w:cstheme="minorHAnsi"/>
          <w:sz w:val="20"/>
          <w:szCs w:val="21"/>
        </w:rPr>
        <w:t xml:space="preserve">. </w:t>
      </w:r>
      <w:r w:rsidRPr="00281C0E">
        <w:rPr>
          <w:rFonts w:ascii="Century Gothic" w:hAnsi="Century Gothic" w:cstheme="minorHAnsi"/>
          <w:sz w:val="20"/>
          <w:szCs w:val="21"/>
        </w:rPr>
        <w:t xml:space="preserve">If the whole European car market was to use zero-carbon steel, this could provide a market to 6-7 industrial-scale commercial plants. Given the importance of EU automotive and fuel standard regulations in shaping global standards, the EU would also </w:t>
      </w:r>
      <w:proofErr w:type="gramStart"/>
      <w:r w:rsidRPr="00281C0E">
        <w:rPr>
          <w:rFonts w:ascii="Century Gothic" w:hAnsi="Century Gothic" w:cstheme="minorHAnsi"/>
          <w:sz w:val="20"/>
          <w:szCs w:val="21"/>
        </w:rPr>
        <w:t>have the opportunity to</w:t>
      </w:r>
      <w:proofErr w:type="gramEnd"/>
      <w:r w:rsidRPr="00281C0E">
        <w:rPr>
          <w:rFonts w:ascii="Century Gothic" w:hAnsi="Century Gothic" w:cstheme="minorHAnsi"/>
          <w:sz w:val="20"/>
          <w:szCs w:val="21"/>
        </w:rPr>
        <w:t xml:space="preserve"> shape the global market through such an intervention.</w:t>
      </w:r>
    </w:p>
    <w:p w14:paraId="7A773684" w14:textId="76D5EAB3" w:rsidR="001B0D92" w:rsidRDefault="00CB593C" w:rsidP="001B0D92">
      <w:pPr>
        <w:pStyle w:val="ListParagraph"/>
        <w:numPr>
          <w:ilvl w:val="1"/>
          <w:numId w:val="1"/>
        </w:numPr>
        <w:spacing w:before="40" w:after="120"/>
        <w:ind w:left="426"/>
        <w:contextualSpacing w:val="0"/>
        <w:rPr>
          <w:rFonts w:ascii="Century Gothic" w:hAnsi="Century Gothic" w:cstheme="minorHAnsi"/>
          <w:sz w:val="20"/>
          <w:szCs w:val="21"/>
        </w:rPr>
      </w:pPr>
      <w:r w:rsidRPr="000A6385">
        <w:rPr>
          <w:rFonts w:ascii="Century Gothic" w:hAnsi="Century Gothic" w:cstheme="minorHAnsi"/>
          <w:sz w:val="20"/>
          <w:szCs w:val="21"/>
        </w:rPr>
        <w:t xml:space="preserve">This logic could </w:t>
      </w:r>
      <w:r w:rsidR="00AC2052" w:rsidRPr="000A6385">
        <w:rPr>
          <w:rFonts w:ascii="Century Gothic" w:hAnsi="Century Gothic" w:cstheme="minorHAnsi"/>
          <w:sz w:val="20"/>
          <w:szCs w:val="21"/>
        </w:rPr>
        <w:t>potentially</w:t>
      </w:r>
      <w:r w:rsidRPr="000A6385">
        <w:rPr>
          <w:rFonts w:ascii="Century Gothic" w:hAnsi="Century Gothic" w:cstheme="minorHAnsi"/>
          <w:sz w:val="20"/>
          <w:szCs w:val="21"/>
        </w:rPr>
        <w:t xml:space="preserve"> be replicated to other steel-based products</w:t>
      </w:r>
      <w:r w:rsidR="001B0D92">
        <w:rPr>
          <w:rFonts w:ascii="Century Gothic" w:hAnsi="Century Gothic" w:cstheme="minorHAnsi"/>
          <w:sz w:val="20"/>
          <w:szCs w:val="21"/>
        </w:rPr>
        <w:t xml:space="preserve">, </w:t>
      </w:r>
      <w:proofErr w:type="gramStart"/>
      <w:r w:rsidR="001B0D92">
        <w:rPr>
          <w:rFonts w:ascii="Century Gothic" w:hAnsi="Century Gothic" w:cstheme="minorHAnsi"/>
          <w:sz w:val="20"/>
          <w:szCs w:val="21"/>
        </w:rPr>
        <w:t>in particular in</w:t>
      </w:r>
      <w:proofErr w:type="gramEnd"/>
      <w:r w:rsidR="001B0D92">
        <w:rPr>
          <w:rFonts w:ascii="Century Gothic" w:hAnsi="Century Gothic" w:cstheme="minorHAnsi"/>
          <w:sz w:val="20"/>
          <w:szCs w:val="21"/>
        </w:rPr>
        <w:t xml:space="preserve"> the buildings industry. </w:t>
      </w:r>
      <w:r w:rsidR="001B0D92" w:rsidRPr="001B0D92">
        <w:rPr>
          <w:rFonts w:ascii="Century Gothic" w:hAnsi="Century Gothic" w:cstheme="minorHAnsi"/>
          <w:sz w:val="20"/>
          <w:szCs w:val="21"/>
        </w:rPr>
        <w:t xml:space="preserve">The application of lifecycle regulations to new builds </w:t>
      </w:r>
      <w:r w:rsidR="001B0D92">
        <w:rPr>
          <w:rFonts w:ascii="Century Gothic" w:hAnsi="Century Gothic" w:cstheme="minorHAnsi"/>
          <w:sz w:val="20"/>
          <w:szCs w:val="21"/>
        </w:rPr>
        <w:t xml:space="preserve">in developed economies could create an initial scale, contributing to cost reduction of </w:t>
      </w:r>
      <w:r w:rsidR="0023123B">
        <w:rPr>
          <w:rFonts w:ascii="Century Gothic" w:hAnsi="Century Gothic" w:cstheme="minorHAnsi"/>
          <w:sz w:val="20"/>
          <w:szCs w:val="21"/>
        </w:rPr>
        <w:t>zero-carbon cement. However, the</w:t>
      </w:r>
      <w:r w:rsidR="001B0D92" w:rsidRPr="001B0D92">
        <w:rPr>
          <w:rFonts w:ascii="Century Gothic" w:hAnsi="Century Gothic" w:cstheme="minorHAnsi"/>
          <w:sz w:val="20"/>
          <w:szCs w:val="21"/>
        </w:rPr>
        <w:t xml:space="preserve"> bulk of urbanisation will happen in developing countries over the next decades, where</w:t>
      </w:r>
      <w:r w:rsidR="0023123B">
        <w:rPr>
          <w:rFonts w:ascii="Century Gothic" w:hAnsi="Century Gothic" w:cstheme="minorHAnsi"/>
          <w:sz w:val="20"/>
          <w:szCs w:val="21"/>
        </w:rPr>
        <w:t xml:space="preserve"> (</w:t>
      </w:r>
      <w:proofErr w:type="spellStart"/>
      <w:r w:rsidR="0023123B">
        <w:rPr>
          <w:rFonts w:ascii="Century Gothic" w:hAnsi="Century Gothic" w:cstheme="minorHAnsi"/>
          <w:sz w:val="20"/>
          <w:szCs w:val="21"/>
        </w:rPr>
        <w:t>i</w:t>
      </w:r>
      <w:proofErr w:type="spellEnd"/>
      <w:r w:rsidR="0023123B">
        <w:rPr>
          <w:rFonts w:ascii="Century Gothic" w:hAnsi="Century Gothic" w:cstheme="minorHAnsi"/>
          <w:sz w:val="20"/>
          <w:szCs w:val="21"/>
        </w:rPr>
        <w:t>)</w:t>
      </w:r>
      <w:r w:rsidR="001B0D92" w:rsidRPr="001B0D92">
        <w:rPr>
          <w:rFonts w:ascii="Century Gothic" w:hAnsi="Century Gothic" w:cstheme="minorHAnsi"/>
          <w:sz w:val="20"/>
          <w:szCs w:val="21"/>
        </w:rPr>
        <w:t xml:space="preserve"> there is </w:t>
      </w:r>
      <w:r w:rsidR="0023123B">
        <w:rPr>
          <w:rFonts w:ascii="Century Gothic" w:hAnsi="Century Gothic" w:cstheme="minorHAnsi"/>
          <w:sz w:val="20"/>
          <w:szCs w:val="21"/>
        </w:rPr>
        <w:t>l</w:t>
      </w:r>
      <w:r w:rsidR="001B0D92" w:rsidRPr="001B0D92">
        <w:rPr>
          <w:rFonts w:ascii="Century Gothic" w:hAnsi="Century Gothic" w:cstheme="minorHAnsi"/>
          <w:sz w:val="20"/>
          <w:szCs w:val="21"/>
        </w:rPr>
        <w:t>ower stock of scrap steel so more limited opportunities to rely on cheaper scrap-based production, (ii) on a per capita basis</w:t>
      </w:r>
      <w:r w:rsidR="0023123B">
        <w:rPr>
          <w:rFonts w:ascii="Century Gothic" w:hAnsi="Century Gothic" w:cstheme="minorHAnsi"/>
          <w:sz w:val="20"/>
          <w:szCs w:val="21"/>
        </w:rPr>
        <w:t>,</w:t>
      </w:r>
      <w:r w:rsidR="001B0D92" w:rsidRPr="001B0D92">
        <w:rPr>
          <w:rFonts w:ascii="Century Gothic" w:hAnsi="Century Gothic" w:cstheme="minorHAnsi"/>
          <w:sz w:val="20"/>
          <w:szCs w:val="21"/>
        </w:rPr>
        <w:t xml:space="preserve"> the cost premium of virgin green steel is likely to be an intractable problem, (iii) enforcement of buildings standards is lower.</w:t>
      </w:r>
    </w:p>
    <w:p w14:paraId="7C92241F" w14:textId="278C595B" w:rsidR="00843085" w:rsidRPr="000A6385" w:rsidRDefault="00AC2052" w:rsidP="00397AF1">
      <w:pPr>
        <w:pStyle w:val="ListParagraph"/>
        <w:numPr>
          <w:ilvl w:val="1"/>
          <w:numId w:val="1"/>
        </w:numPr>
        <w:spacing w:before="40" w:after="120"/>
        <w:ind w:left="426"/>
        <w:contextualSpacing w:val="0"/>
        <w:rPr>
          <w:rFonts w:ascii="Century Gothic" w:hAnsi="Century Gothic" w:cstheme="minorHAnsi"/>
          <w:sz w:val="20"/>
          <w:szCs w:val="21"/>
        </w:rPr>
      </w:pPr>
      <w:r w:rsidRPr="00C538FC">
        <w:rPr>
          <w:rFonts w:ascii="Century Gothic" w:hAnsi="Century Gothic" w:cstheme="minorHAnsi"/>
          <w:sz w:val="20"/>
          <w:szCs w:val="21"/>
        </w:rPr>
        <w:t>However, the fragmentation of the steel-using markets will make it difficult to incentivise full decarbonisation of steel through demand-side regulation only. Supply-side measures</w:t>
      </w:r>
      <w:r w:rsidRPr="000A6385">
        <w:rPr>
          <w:rFonts w:ascii="Century Gothic" w:hAnsi="Century Gothic" w:cstheme="minorHAnsi"/>
          <w:sz w:val="20"/>
          <w:szCs w:val="21"/>
        </w:rPr>
        <w:t xml:space="preserve"> will therefore be required in the longer term. These would ideally be internationally-agreed. But, in the absence of international agreement, </w:t>
      </w:r>
      <w:r w:rsidR="00787E78" w:rsidRPr="000A6385">
        <w:rPr>
          <w:rFonts w:ascii="Century Gothic" w:hAnsi="Century Gothic" w:cstheme="minorHAnsi"/>
          <w:sz w:val="20"/>
          <w:szCs w:val="21"/>
        </w:rPr>
        <w:t xml:space="preserve">carbon border tax adjustments </w:t>
      </w:r>
      <w:r w:rsidR="00AD502F" w:rsidRPr="000A6385">
        <w:rPr>
          <w:rFonts w:ascii="Century Gothic" w:hAnsi="Century Gothic" w:cstheme="minorHAnsi"/>
          <w:sz w:val="20"/>
          <w:szCs w:val="21"/>
        </w:rPr>
        <w:t>would be required</w:t>
      </w:r>
      <w:r w:rsidR="00C0348A" w:rsidRPr="000A6385">
        <w:rPr>
          <w:rFonts w:ascii="Century Gothic" w:hAnsi="Century Gothic" w:cstheme="minorHAnsi"/>
          <w:sz w:val="20"/>
          <w:szCs w:val="21"/>
        </w:rPr>
        <w:t xml:space="preserve"> to protect first-movers that cannot benefit from a differentiated market</w:t>
      </w:r>
      <w:r w:rsidR="00EC2992" w:rsidRPr="000A6385">
        <w:rPr>
          <w:rFonts w:ascii="Century Gothic" w:hAnsi="Century Gothic" w:cstheme="minorHAnsi"/>
          <w:sz w:val="20"/>
          <w:szCs w:val="21"/>
        </w:rPr>
        <w:t>.</w:t>
      </w:r>
      <w:r w:rsidR="009B6482">
        <w:rPr>
          <w:rFonts w:ascii="Century Gothic" w:hAnsi="Century Gothic" w:cstheme="minorHAnsi"/>
          <w:sz w:val="20"/>
          <w:szCs w:val="21"/>
        </w:rPr>
        <w:t xml:space="preserve"> </w:t>
      </w:r>
      <w:r w:rsidR="00643F26">
        <w:rPr>
          <w:rFonts w:ascii="Century Gothic" w:hAnsi="Century Gothic" w:cstheme="minorHAnsi"/>
          <w:sz w:val="20"/>
          <w:szCs w:val="21"/>
        </w:rPr>
        <w:t xml:space="preserve">Ideally, a coalition of countries with similar goals, representing a critical share of global production, could jointly coalesce around this policy framework. </w:t>
      </w:r>
      <w:r w:rsidR="0015489D">
        <w:rPr>
          <w:rFonts w:ascii="Century Gothic" w:hAnsi="Century Gothic" w:cstheme="minorHAnsi"/>
          <w:sz w:val="20"/>
          <w:szCs w:val="21"/>
        </w:rPr>
        <w:t>A bilateral agreement between the EU and India would for instance cover</w:t>
      </w:r>
      <w:r w:rsidR="00975894">
        <w:rPr>
          <w:rFonts w:ascii="Century Gothic" w:hAnsi="Century Gothic" w:cstheme="minorHAnsi"/>
          <w:sz w:val="20"/>
          <w:szCs w:val="21"/>
        </w:rPr>
        <w:t xml:space="preserve"> 20% of current global steel production</w:t>
      </w:r>
      <w:r w:rsidR="0015489D">
        <w:rPr>
          <w:rFonts w:ascii="Century Gothic" w:hAnsi="Century Gothic" w:cstheme="minorHAnsi"/>
          <w:sz w:val="20"/>
          <w:szCs w:val="21"/>
        </w:rPr>
        <w:t>.</w:t>
      </w:r>
      <w:r w:rsidR="00107232">
        <w:rPr>
          <w:rFonts w:ascii="Century Gothic" w:hAnsi="Century Gothic" w:cstheme="minorHAnsi"/>
          <w:sz w:val="20"/>
          <w:szCs w:val="21"/>
        </w:rPr>
        <w:t xml:space="preserve"> </w:t>
      </w:r>
      <w:r w:rsidR="001B483E">
        <w:rPr>
          <w:rFonts w:ascii="Century Gothic" w:hAnsi="Century Gothic" w:cstheme="minorHAnsi"/>
          <w:sz w:val="20"/>
          <w:szCs w:val="21"/>
        </w:rPr>
        <w:t>An agreement with China would be decisive given their share of global steel production.</w:t>
      </w:r>
    </w:p>
    <w:sectPr w:rsidR="00843085" w:rsidRPr="000A6385" w:rsidSect="0023722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9C334" w14:textId="77777777" w:rsidR="00797097" w:rsidRDefault="00797097" w:rsidP="002E1177">
      <w:pPr>
        <w:spacing w:after="0" w:line="240" w:lineRule="auto"/>
      </w:pPr>
      <w:r>
        <w:separator/>
      </w:r>
    </w:p>
  </w:endnote>
  <w:endnote w:type="continuationSeparator" w:id="0">
    <w:p w14:paraId="3A6EF35A" w14:textId="77777777" w:rsidR="00797097" w:rsidRDefault="00797097" w:rsidP="002E1177">
      <w:pPr>
        <w:spacing w:after="0" w:line="240" w:lineRule="auto"/>
      </w:pPr>
      <w:r>
        <w:continuationSeparator/>
      </w:r>
    </w:p>
  </w:endnote>
  <w:endnote w:type="continuationNotice" w:id="1">
    <w:p w14:paraId="74E05818" w14:textId="77777777" w:rsidR="00797097" w:rsidRDefault="00797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NimbusSanLig">
    <w:altName w:val="Calibri"/>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swiss"/>
    <w:notTrueType/>
    <w:pitch w:val="default"/>
    <w:sig w:usb0="00000003" w:usb1="09060000" w:usb2="00000010"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305B" w14:textId="77777777" w:rsidR="000C1437" w:rsidRDefault="000C1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937087193"/>
      <w:docPartObj>
        <w:docPartGallery w:val="Page Numbers (Bottom of Page)"/>
        <w:docPartUnique/>
      </w:docPartObj>
    </w:sdtPr>
    <w:sdtEndPr>
      <w:rPr>
        <w:noProof/>
        <w:sz w:val="18"/>
      </w:rPr>
    </w:sdtEndPr>
    <w:sdtContent>
      <w:p w14:paraId="0A20EBF2" w14:textId="20904F63" w:rsidR="000C1437" w:rsidRPr="000C1437" w:rsidRDefault="000C1437" w:rsidP="000C1437">
        <w:pPr>
          <w:pStyle w:val="Footer"/>
          <w:jc w:val="center"/>
          <w:rPr>
            <w:sz w:val="18"/>
          </w:rPr>
        </w:pPr>
        <w:r w:rsidRPr="000C1437">
          <w:rPr>
            <w:sz w:val="18"/>
          </w:rPr>
          <w:fldChar w:fldCharType="begin"/>
        </w:r>
        <w:r w:rsidRPr="000C1437">
          <w:rPr>
            <w:sz w:val="18"/>
          </w:rPr>
          <w:instrText xml:space="preserve"> PAGE   \* MERGEFORMAT </w:instrText>
        </w:r>
        <w:r w:rsidRPr="000C1437">
          <w:rPr>
            <w:sz w:val="18"/>
          </w:rPr>
          <w:fldChar w:fldCharType="separate"/>
        </w:r>
        <w:r w:rsidRPr="000C1437">
          <w:rPr>
            <w:noProof/>
            <w:sz w:val="18"/>
          </w:rPr>
          <w:t>2</w:t>
        </w:r>
        <w:r w:rsidRPr="000C1437">
          <w:rPr>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DAD0" w14:textId="77777777" w:rsidR="000C1437" w:rsidRDefault="000C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B98CD" w14:textId="77777777" w:rsidR="00797097" w:rsidRDefault="00797097" w:rsidP="002E1177">
      <w:pPr>
        <w:spacing w:after="0" w:line="240" w:lineRule="auto"/>
      </w:pPr>
      <w:r>
        <w:separator/>
      </w:r>
    </w:p>
  </w:footnote>
  <w:footnote w:type="continuationSeparator" w:id="0">
    <w:p w14:paraId="7BCF2010" w14:textId="77777777" w:rsidR="00797097" w:rsidRDefault="00797097" w:rsidP="002E1177">
      <w:pPr>
        <w:spacing w:after="0" w:line="240" w:lineRule="auto"/>
      </w:pPr>
      <w:r>
        <w:continuationSeparator/>
      </w:r>
    </w:p>
  </w:footnote>
  <w:footnote w:type="continuationNotice" w:id="1">
    <w:p w14:paraId="3ACA0507" w14:textId="77777777" w:rsidR="00797097" w:rsidRDefault="00797097">
      <w:pPr>
        <w:spacing w:after="0" w:line="240" w:lineRule="auto"/>
      </w:pPr>
    </w:p>
  </w:footnote>
  <w:footnote w:id="2">
    <w:p w14:paraId="76748592" w14:textId="07848355" w:rsidR="00B55356" w:rsidRPr="006916F7" w:rsidRDefault="00B55356">
      <w:pPr>
        <w:pStyle w:val="FootnoteText"/>
      </w:pPr>
      <w:r w:rsidRPr="006916F7">
        <w:rPr>
          <w:rStyle w:val="FootnoteReference"/>
        </w:rPr>
        <w:footnoteRef/>
      </w:r>
      <w:r w:rsidRPr="006916F7">
        <w:t xml:space="preserve"> </w:t>
      </w:r>
      <w:hyperlink r:id="rId1" w:history="1">
        <w:r w:rsidRPr="006916F7">
          <w:rPr>
            <w:rStyle w:val="Hyperlink"/>
          </w:rPr>
          <w:t>energy-transitions.org/sites/default/files/ETC%20sectoral%20focus%20-%20Steel_final.pdf</w:t>
        </w:r>
      </w:hyperlink>
    </w:p>
  </w:footnote>
  <w:footnote w:id="3">
    <w:p w14:paraId="06D751B5" w14:textId="6F10841F" w:rsidR="00237E84" w:rsidRPr="006916F7" w:rsidRDefault="00237E84">
      <w:pPr>
        <w:pStyle w:val="FootnoteText"/>
      </w:pPr>
      <w:r w:rsidRPr="006916F7">
        <w:rPr>
          <w:rStyle w:val="FootnoteReference"/>
        </w:rPr>
        <w:footnoteRef/>
      </w:r>
      <w:r w:rsidRPr="006916F7">
        <w:t xml:space="preserve"> </w:t>
      </w:r>
      <w:hyperlink r:id="rId2" w:history="1">
        <w:r w:rsidRPr="006916F7">
          <w:rPr>
            <w:rStyle w:val="Hyperlink"/>
          </w:rPr>
          <w:t>https://www.worldsteel.org/en/dam/jcr:ab8be93e-1d2f-4215-9143-4eba6808bf03/20190207_steelFacts.pdf</w:t>
        </w:r>
      </w:hyperlink>
    </w:p>
  </w:footnote>
  <w:footnote w:id="4">
    <w:p w14:paraId="11FFCA6B" w14:textId="5823AE27" w:rsidR="0038183E" w:rsidRPr="006916F7" w:rsidRDefault="00616C69">
      <w:pPr>
        <w:pStyle w:val="FootnoteText"/>
        <w:rPr>
          <w:color w:val="0000FF"/>
          <w:u w:val="single"/>
        </w:rPr>
      </w:pPr>
      <w:r w:rsidRPr="006916F7">
        <w:rPr>
          <w:rStyle w:val="FootnoteReference"/>
        </w:rPr>
        <w:footnoteRef/>
      </w:r>
      <w:r w:rsidRPr="006916F7">
        <w:t xml:space="preserve"> </w:t>
      </w:r>
      <w:hyperlink r:id="rId3" w:history="1">
        <w:r w:rsidR="00664690" w:rsidRPr="006916F7">
          <w:rPr>
            <w:rStyle w:val="Hyperlink"/>
          </w:rPr>
          <w:t>https://stats.oecd.org/Index.aspx?datasetcode=STI_STEEL_MAKINGCAPACITY</w:t>
        </w:r>
      </w:hyperlink>
    </w:p>
  </w:footnote>
  <w:footnote w:id="5">
    <w:p w14:paraId="4A518FD6" w14:textId="7800AFFD" w:rsidR="00664690" w:rsidRPr="006916F7" w:rsidRDefault="00664690">
      <w:pPr>
        <w:pStyle w:val="FootnoteText"/>
      </w:pPr>
      <w:r w:rsidRPr="006916F7">
        <w:rPr>
          <w:rStyle w:val="FootnoteReference"/>
        </w:rPr>
        <w:footnoteRef/>
      </w:r>
      <w:r w:rsidRPr="006916F7">
        <w:t xml:space="preserve"> </w:t>
      </w:r>
      <w:r w:rsidRPr="006916F7">
        <w:rPr>
          <w:rStyle w:val="Hyperlink"/>
        </w:rPr>
        <w:t>https://webstore.iea.org/energy-technology-perspectives-2017</w:t>
      </w:r>
    </w:p>
  </w:footnote>
  <w:footnote w:id="6">
    <w:p w14:paraId="13E01ED0" w14:textId="15A180EF" w:rsidR="00DC3F9A" w:rsidRPr="006916F7" w:rsidRDefault="00DC3F9A">
      <w:pPr>
        <w:pStyle w:val="FootnoteText"/>
      </w:pPr>
      <w:r w:rsidRPr="006916F7">
        <w:rPr>
          <w:rStyle w:val="FootnoteReference"/>
        </w:rPr>
        <w:footnoteRef/>
      </w:r>
      <w:r w:rsidRPr="006916F7">
        <w:t xml:space="preserve"> </w:t>
      </w:r>
      <w:r w:rsidRPr="006916F7">
        <w:rPr>
          <w:rStyle w:val="Hyperlink"/>
        </w:rPr>
        <w:t>https://www.worldsteel.org/steel-by-topic/statistics/top-producers</w:t>
      </w:r>
    </w:p>
  </w:footnote>
  <w:footnote w:id="7">
    <w:p w14:paraId="72C2EB72" w14:textId="77777777" w:rsidR="00445C70" w:rsidRPr="00D837B0" w:rsidRDefault="00445C70" w:rsidP="00445C70">
      <w:pPr>
        <w:pStyle w:val="FootnoteText"/>
        <w:rPr>
          <w:rFonts w:ascii="Century Gothic" w:hAnsi="Century Gothic"/>
          <w:sz w:val="16"/>
          <w:szCs w:val="16"/>
        </w:rPr>
      </w:pPr>
      <w:r w:rsidRPr="00D837B0">
        <w:rPr>
          <w:rStyle w:val="FootnoteReference"/>
          <w:rFonts w:ascii="Century Gothic" w:hAnsi="Century Gothic"/>
          <w:sz w:val="16"/>
          <w:szCs w:val="16"/>
        </w:rPr>
        <w:footnoteRef/>
      </w:r>
      <w:r w:rsidRPr="00D837B0">
        <w:rPr>
          <w:rStyle w:val="FootnoteReference"/>
          <w:rFonts w:ascii="Century Gothic" w:hAnsi="Century Gothic"/>
          <w:sz w:val="16"/>
          <w:szCs w:val="16"/>
        </w:rPr>
        <w:t xml:space="preserve"> </w:t>
      </w:r>
      <w:r w:rsidRPr="00D837B0">
        <w:rPr>
          <w:rStyle w:val="Hyperlink"/>
          <w:rFonts w:ascii="Century Gothic" w:hAnsi="Century Gothic"/>
          <w:sz w:val="16"/>
          <w:szCs w:val="16"/>
        </w:rPr>
        <w:t>https://www.worldsteel.org/en/dam/jcr:96d7a585-e6b2-4d63-b943-4cd9ab621a91/World%2520Steel%2520in%2520Figures%25202019.pdf</w:t>
      </w:r>
    </w:p>
  </w:footnote>
  <w:footnote w:id="8">
    <w:p w14:paraId="1CE72E84" w14:textId="362BC307" w:rsidR="00264E77" w:rsidRPr="008951F2" w:rsidRDefault="00264E77">
      <w:pPr>
        <w:pStyle w:val="FootnoteText"/>
      </w:pPr>
      <w:r w:rsidRPr="008951F2">
        <w:rPr>
          <w:rStyle w:val="FootnoteReference"/>
        </w:rPr>
        <w:footnoteRef/>
      </w:r>
      <w:r w:rsidRPr="008951F2">
        <w:rPr>
          <w:rStyle w:val="FootnoteReference"/>
        </w:rPr>
        <w:t xml:space="preserve"> </w:t>
      </w:r>
      <w:hyperlink r:id="rId4" w:history="1">
        <w:r w:rsidRPr="008951F2">
          <w:rPr>
            <w:rStyle w:val="Hyperlink"/>
          </w:rPr>
          <w:t>https://www.sei.org/wp-content/uploads/2018/09/hydrogen-steelmaking-for-a-low-carbon-economy.pdf</w:t>
        </w:r>
      </w:hyperlink>
    </w:p>
  </w:footnote>
  <w:footnote w:id="9">
    <w:p w14:paraId="2A5ECE40" w14:textId="2C5F9160" w:rsidR="00C02D48" w:rsidRDefault="00C02D48">
      <w:pPr>
        <w:pStyle w:val="FootnoteText"/>
      </w:pPr>
      <w:r>
        <w:rPr>
          <w:rStyle w:val="FootnoteReference"/>
        </w:rPr>
        <w:footnoteRef/>
      </w:r>
      <w:r>
        <w:t xml:space="preserve"> Electrolysis is not considered in this trade-off graph, as it is at an earlier stage of development and related production costs are uncertain.</w:t>
      </w:r>
    </w:p>
  </w:footnote>
  <w:footnote w:id="10">
    <w:p w14:paraId="4907CEE1" w14:textId="79B74A70" w:rsidR="008B4919" w:rsidRPr="00D213F7" w:rsidRDefault="008B4919">
      <w:pPr>
        <w:pStyle w:val="FootnoteText"/>
      </w:pPr>
      <w:r w:rsidRPr="00D213F7">
        <w:rPr>
          <w:rStyle w:val="FootnoteReference"/>
        </w:rPr>
        <w:footnoteRef/>
      </w:r>
      <w:r w:rsidRPr="00D213F7">
        <w:t xml:space="preserve"> </w:t>
      </w:r>
      <w:hyperlink r:id="rId5" w:history="1">
        <w:r w:rsidRPr="00D213F7">
          <w:rPr>
            <w:rStyle w:val="Hyperlink"/>
          </w:rPr>
          <w:t>https://www.worldsteel.org/en/dam/jcr:ab8be93e-1d2f-4215-9143-4eba6808bf03/20190207_steelFacts.pdf</w:t>
        </w:r>
      </w:hyperlink>
    </w:p>
  </w:footnote>
  <w:footnote w:id="11">
    <w:p w14:paraId="084D9959" w14:textId="777AC96A" w:rsidR="002D1EAB" w:rsidRPr="00D213F7" w:rsidRDefault="002D1EAB">
      <w:pPr>
        <w:pStyle w:val="FootnoteText"/>
        <w:rPr>
          <w:lang w:val="fr-FR"/>
        </w:rPr>
      </w:pPr>
      <w:r w:rsidRPr="00D213F7">
        <w:rPr>
          <w:rStyle w:val="FootnoteReference"/>
        </w:rPr>
        <w:footnoteRef/>
      </w:r>
      <w:r w:rsidRPr="00D213F7">
        <w:rPr>
          <w:lang w:val="fr-FR"/>
        </w:rPr>
        <w:t xml:space="preserve"> </w:t>
      </w:r>
      <w:r w:rsidRPr="00D213F7">
        <w:rPr>
          <w:rStyle w:val="Hyperlink"/>
          <w:lang w:val="fr-FR"/>
        </w:rPr>
        <w:t>Stahlinstitut VDEh (2015</w:t>
      </w:r>
      <w:proofErr w:type="gramStart"/>
      <w:r w:rsidRPr="00D213F7">
        <w:rPr>
          <w:rStyle w:val="Hyperlink"/>
          <w:lang w:val="fr-FR"/>
        </w:rPr>
        <w:t>):</w:t>
      </w:r>
      <w:proofErr w:type="gramEnd"/>
      <w:r w:rsidRPr="00D213F7">
        <w:rPr>
          <w:rStyle w:val="Hyperlink"/>
          <w:lang w:val="fr-FR"/>
        </w:rPr>
        <w:t xml:space="preserve"> “PlantFacts Database” (commercial), Düsseldorf</w:t>
      </w:r>
    </w:p>
  </w:footnote>
  <w:footnote w:id="12">
    <w:p w14:paraId="404FD905" w14:textId="2198800A" w:rsidR="000173EC" w:rsidRPr="009E5EB4" w:rsidRDefault="000173EC">
      <w:pPr>
        <w:pStyle w:val="FootnoteText"/>
        <w:rPr>
          <w:lang w:val="fr-FR"/>
        </w:rPr>
      </w:pPr>
      <w:r w:rsidRPr="009E5EB4">
        <w:rPr>
          <w:rStyle w:val="FootnoteReference"/>
        </w:rPr>
        <w:footnoteRef/>
      </w:r>
      <w:r w:rsidRPr="009E5EB4">
        <w:rPr>
          <w:lang w:val="fr-FR"/>
        </w:rPr>
        <w:t xml:space="preserve"> </w:t>
      </w:r>
      <w:hyperlink r:id="rId6" w:history="1">
        <w:r w:rsidRPr="009E5EB4">
          <w:rPr>
            <w:rStyle w:val="Hyperlink"/>
            <w:lang w:val="fr-FR"/>
          </w:rPr>
          <w:t>https://ec.europa.eu/clima/policies/transport/vehicles/regulation_en</w:t>
        </w:r>
      </w:hyperlink>
      <w:bookmarkStart w:id="2" w:name="_GoBack"/>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8F38" w14:textId="4374E7DF" w:rsidR="000C1437" w:rsidRDefault="000C1437">
    <w:pPr>
      <w:pStyle w:val="Header"/>
    </w:pPr>
    <w:r>
      <w:rPr>
        <w:noProof/>
      </w:rPr>
      <w:pict w14:anchorId="43AF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3626" o:spid="_x0000_s6146" type="#_x0000_t136" style="position:absolute;margin-left:0;margin-top:0;width:530.2pt;height:106pt;rotation:315;z-index:-251654144;mso-position-horizontal:center;mso-position-horizontal-relative:margin;mso-position-vertical:center;mso-position-vertical-relative:margin" o:allowincell="f" fillcolor="silver" stroked="f">
          <v:fill opacity=".5"/>
          <v:textpath style="font-family:&quot;Calibri&quot;;font-size:1pt" string="WORK IN PROGRES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16AD" w14:textId="3811B8B9" w:rsidR="00281C0E" w:rsidRPr="0023722F" w:rsidRDefault="000C1437" w:rsidP="002E1177">
    <w:pPr>
      <w:pStyle w:val="Header"/>
      <w:jc w:val="center"/>
      <w:rPr>
        <w:b/>
        <w:color w:val="FF0000"/>
      </w:rPr>
    </w:pPr>
    <w:r>
      <w:rPr>
        <w:noProof/>
      </w:rPr>
      <w:pict w14:anchorId="58C5D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3627" o:spid="_x0000_s6147" type="#_x0000_t136" style="position:absolute;left:0;text-align:left;margin-left:0;margin-top:0;width:530.2pt;height:106pt;rotation:315;z-index:-251652096;mso-position-horizontal:center;mso-position-horizontal-relative:margin;mso-position-vertical:center;mso-position-vertical-relative:margin" o:allowincell="f" fillcolor="silver" stroked="f">
          <v:fill opacity=".5"/>
          <v:textpath style="font-family:&quot;Calibri&quot;;font-size:1pt" string="WORK IN PROGRES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F21F" w14:textId="02108CEB" w:rsidR="00281C0E" w:rsidRDefault="000C1437" w:rsidP="0023722F">
    <w:pPr>
      <w:pStyle w:val="Header"/>
    </w:pPr>
    <w:r>
      <w:rPr>
        <w:noProof/>
      </w:rPr>
      <w:pict w14:anchorId="424C3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3625" o:spid="_x0000_s6145" type="#_x0000_t136" style="position:absolute;margin-left:0;margin-top:0;width:530.2pt;height:106pt;rotation:315;z-index:-251656192;mso-position-horizontal:center;mso-position-horizontal-relative:margin;mso-position-vertical:center;mso-position-vertical-relative:margin" o:allowincell="f" fillcolor="silver" stroked="f">
          <v:fill opacity=".5"/>
          <v:textpath style="font-family:&quot;Calibri&quot;;font-size:1pt" string="WORK IN PROGRESS"/>
        </v:shape>
      </w:pict>
    </w:r>
    <w:r w:rsidR="00281C0E" w:rsidRPr="002E1177">
      <w:rPr>
        <w:noProof/>
        <w:color w:val="FF0000"/>
      </w:rPr>
      <w:drawing>
        <wp:anchor distT="0" distB="0" distL="114300" distR="114300" simplePos="0" relativeHeight="251658240" behindDoc="0" locked="0" layoutInCell="1" allowOverlap="1" wp14:anchorId="7FA66153" wp14:editId="409218AE">
          <wp:simplePos x="0" y="0"/>
          <wp:positionH relativeFrom="margin">
            <wp:posOffset>-609600</wp:posOffset>
          </wp:positionH>
          <wp:positionV relativeFrom="page">
            <wp:posOffset>215265</wp:posOffset>
          </wp:positionV>
          <wp:extent cx="1664676" cy="647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676" cy="647700"/>
                  </a:xfrm>
                  <a:prstGeom prst="rect">
                    <a:avLst/>
                  </a:prstGeom>
                </pic:spPr>
              </pic:pic>
            </a:graphicData>
          </a:graphic>
          <wp14:sizeRelH relativeFrom="page">
            <wp14:pctWidth>0</wp14:pctWidth>
          </wp14:sizeRelH>
          <wp14:sizeRelV relativeFrom="page">
            <wp14:pctHeight>0</wp14:pctHeight>
          </wp14:sizeRelV>
        </wp:anchor>
      </w:drawing>
    </w:r>
  </w:p>
  <w:p w14:paraId="4B665924" w14:textId="77777777" w:rsidR="00281C0E" w:rsidRDefault="00281C0E" w:rsidP="0023722F">
    <w:pPr>
      <w:pStyle w:val="Header"/>
      <w:jc w:val="center"/>
      <w:rPr>
        <w:color w:val="FF0000"/>
      </w:rPr>
    </w:pPr>
  </w:p>
  <w:p w14:paraId="307697AA" w14:textId="71AC89AC" w:rsidR="00281C0E" w:rsidRPr="0023722F" w:rsidRDefault="00281C0E" w:rsidP="0023722F">
    <w:pPr>
      <w:pStyle w:val="Header"/>
      <w:jc w:val="center"/>
      <w:rPr>
        <w:b/>
        <w:color w:val="FF0000"/>
      </w:rPr>
    </w:pPr>
    <w:r>
      <w:rPr>
        <w:b/>
        <w:color w:val="FF0000"/>
      </w:rPr>
      <w:t>WORK</w:t>
    </w:r>
    <w:r w:rsidR="000C1437">
      <w:rPr>
        <w:b/>
        <w:color w:val="FF0000"/>
      </w:rPr>
      <w:t xml:space="preserve"> IN PROGRESS</w:t>
    </w:r>
    <w:r w:rsidR="00B5203C">
      <w:rPr>
        <w:b/>
        <w:color w:val="FF0000"/>
      </w:rPr>
      <w:br/>
      <w:t>NOT FOR CIRCULATION BEYOND ETC MEMBERS</w:t>
    </w:r>
  </w:p>
  <w:p w14:paraId="573D2B23" w14:textId="032A87DF" w:rsidR="00281C0E" w:rsidRDefault="00281C0E">
    <w:pPr>
      <w:pStyle w:val="Header"/>
    </w:pPr>
  </w:p>
  <w:p w14:paraId="11AB1735" w14:textId="77777777" w:rsidR="000C1437" w:rsidRDefault="000C1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2E6"/>
    <w:multiLevelType w:val="hybridMultilevel"/>
    <w:tmpl w:val="4F2A61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65BDA"/>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6FD3A15"/>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B144227"/>
    <w:multiLevelType w:val="hybridMultilevel"/>
    <w:tmpl w:val="E66A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656AE"/>
    <w:multiLevelType w:val="multilevel"/>
    <w:tmpl w:val="D090AF3C"/>
    <w:lvl w:ilvl="0">
      <w:start w:val="1"/>
      <w:numFmt w:val="decimal"/>
      <w:lvlText w:val="%1."/>
      <w:lvlJc w:val="left"/>
      <w:pPr>
        <w:ind w:left="360" w:hanging="360"/>
      </w:pPr>
      <w:rPr>
        <w:rFonts w:hint="default"/>
        <w:b/>
        <w:bCs/>
      </w:rPr>
    </w:lvl>
    <w:lvl w:ilvl="1">
      <w:start w:val="1"/>
      <w:numFmt w:val="decimal"/>
      <w:isLgl/>
      <w:lvlText w:val="%1.%2"/>
      <w:lvlJc w:val="left"/>
      <w:pPr>
        <w:ind w:left="22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F347670"/>
    <w:multiLevelType w:val="hybridMultilevel"/>
    <w:tmpl w:val="43FA2922"/>
    <w:lvl w:ilvl="0" w:tplc="3BDE2E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C131F6"/>
    <w:multiLevelType w:val="hybridMultilevel"/>
    <w:tmpl w:val="15BAF0C0"/>
    <w:lvl w:ilvl="0" w:tplc="3B9A0C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923E9"/>
    <w:multiLevelType w:val="multilevel"/>
    <w:tmpl w:val="90A2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9C1875"/>
    <w:multiLevelType w:val="multilevel"/>
    <w:tmpl w:val="C89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3085F"/>
    <w:multiLevelType w:val="hybridMultilevel"/>
    <w:tmpl w:val="DD74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24BCA"/>
    <w:multiLevelType w:val="hybridMultilevel"/>
    <w:tmpl w:val="90045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2D0CBB"/>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281B4609"/>
    <w:multiLevelType w:val="hybridMultilevel"/>
    <w:tmpl w:val="F16E8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E1585"/>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4D03FA5"/>
    <w:multiLevelType w:val="hybridMultilevel"/>
    <w:tmpl w:val="CF76A214"/>
    <w:lvl w:ilvl="0" w:tplc="986E59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B7A49"/>
    <w:multiLevelType w:val="hybridMultilevel"/>
    <w:tmpl w:val="24484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6B0054"/>
    <w:multiLevelType w:val="hybridMultilevel"/>
    <w:tmpl w:val="AA7E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94186"/>
    <w:multiLevelType w:val="multilevel"/>
    <w:tmpl w:val="E51ABDA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6515C89"/>
    <w:multiLevelType w:val="hybridMultilevel"/>
    <w:tmpl w:val="648CA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54441"/>
    <w:multiLevelType w:val="hybridMultilevel"/>
    <w:tmpl w:val="C1F2075E"/>
    <w:lvl w:ilvl="0" w:tplc="F4C6198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89835BC"/>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21" w15:restartNumberingAfterBreak="0">
    <w:nsid w:val="533A0D7A"/>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53D42DA"/>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58CA7777"/>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9B83FB1"/>
    <w:multiLevelType w:val="hybridMultilevel"/>
    <w:tmpl w:val="CC8CC66E"/>
    <w:lvl w:ilvl="0" w:tplc="FE90823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5B4A7229"/>
    <w:multiLevelType w:val="multilevel"/>
    <w:tmpl w:val="E2080CE4"/>
    <w:lvl w:ilvl="0">
      <w:start w:val="1"/>
      <w:numFmt w:val="bullet"/>
      <w:lvlText w:val=""/>
      <w:lvlJc w:val="left"/>
      <w:pPr>
        <w:ind w:left="360" w:hanging="360"/>
      </w:pPr>
      <w:rPr>
        <w:rFonts w:ascii="Symbol" w:hAnsi="Symbol"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26" w15:restartNumberingAfterBreak="0">
    <w:nsid w:val="62872586"/>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6B0D2DE5"/>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28" w15:restartNumberingAfterBreak="0">
    <w:nsid w:val="6F666C54"/>
    <w:multiLevelType w:val="hybridMultilevel"/>
    <w:tmpl w:val="B16613B0"/>
    <w:lvl w:ilvl="0" w:tplc="168EAC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0932EF"/>
    <w:multiLevelType w:val="multilevel"/>
    <w:tmpl w:val="539E5E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1DA122B"/>
    <w:multiLevelType w:val="hybridMultilevel"/>
    <w:tmpl w:val="595C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D0A7D"/>
    <w:multiLevelType w:val="hybridMultilevel"/>
    <w:tmpl w:val="01461C14"/>
    <w:lvl w:ilvl="0" w:tplc="6AE8B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972BE9"/>
    <w:multiLevelType w:val="multilevel"/>
    <w:tmpl w:val="7BC6D0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4AF3A85"/>
    <w:multiLevelType w:val="hybridMultilevel"/>
    <w:tmpl w:val="4A38A5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8"/>
  </w:num>
  <w:num w:numId="3">
    <w:abstractNumId w:val="16"/>
  </w:num>
  <w:num w:numId="4">
    <w:abstractNumId w:val="30"/>
  </w:num>
  <w:num w:numId="5">
    <w:abstractNumId w:val="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7"/>
  </w:num>
  <w:num w:numId="9">
    <w:abstractNumId w:val="19"/>
  </w:num>
  <w:num w:numId="10">
    <w:abstractNumId w:val="20"/>
  </w:num>
  <w:num w:numId="11">
    <w:abstractNumId w:val="27"/>
  </w:num>
  <w:num w:numId="12">
    <w:abstractNumId w:val="25"/>
  </w:num>
  <w:num w:numId="13">
    <w:abstractNumId w:val="8"/>
  </w:num>
  <w:num w:numId="14">
    <w:abstractNumId w:val="7"/>
  </w:num>
  <w:num w:numId="15">
    <w:abstractNumId w:val="10"/>
  </w:num>
  <w:num w:numId="16">
    <w:abstractNumId w:val="23"/>
  </w:num>
  <w:num w:numId="17">
    <w:abstractNumId w:val="21"/>
  </w:num>
  <w:num w:numId="18">
    <w:abstractNumId w:val="26"/>
  </w:num>
  <w:num w:numId="19">
    <w:abstractNumId w:val="2"/>
  </w:num>
  <w:num w:numId="20">
    <w:abstractNumId w:val="11"/>
  </w:num>
  <w:num w:numId="21">
    <w:abstractNumId w:val="1"/>
  </w:num>
  <w:num w:numId="22">
    <w:abstractNumId w:val="12"/>
  </w:num>
  <w:num w:numId="23">
    <w:abstractNumId w:val="15"/>
  </w:num>
  <w:num w:numId="24">
    <w:abstractNumId w:val="0"/>
  </w:num>
  <w:num w:numId="25">
    <w:abstractNumId w:val="22"/>
  </w:num>
  <w:num w:numId="26">
    <w:abstractNumId w:val="29"/>
  </w:num>
  <w:num w:numId="27">
    <w:abstractNumId w:val="32"/>
  </w:num>
  <w:num w:numId="28">
    <w:abstractNumId w:val="13"/>
  </w:num>
  <w:num w:numId="29">
    <w:abstractNumId w:val="31"/>
  </w:num>
  <w:num w:numId="30">
    <w:abstractNumId w:val="28"/>
  </w:num>
  <w:num w:numId="31">
    <w:abstractNumId w:val="9"/>
  </w:num>
  <w:num w:numId="32">
    <w:abstractNumId w:val="5"/>
  </w:num>
  <w:num w:numId="33">
    <w:abstractNumId w:val="24"/>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5E"/>
    <w:rsid w:val="00013CC4"/>
    <w:rsid w:val="000173EC"/>
    <w:rsid w:val="000216DF"/>
    <w:rsid w:val="000403E4"/>
    <w:rsid w:val="00042C01"/>
    <w:rsid w:val="00045C20"/>
    <w:rsid w:val="000546BE"/>
    <w:rsid w:val="00064077"/>
    <w:rsid w:val="00064559"/>
    <w:rsid w:val="00064C9E"/>
    <w:rsid w:val="00065EC2"/>
    <w:rsid w:val="000677F8"/>
    <w:rsid w:val="00071B06"/>
    <w:rsid w:val="00075002"/>
    <w:rsid w:val="0007693D"/>
    <w:rsid w:val="00081414"/>
    <w:rsid w:val="00097CAC"/>
    <w:rsid w:val="000A6385"/>
    <w:rsid w:val="000A69C6"/>
    <w:rsid w:val="000B59ED"/>
    <w:rsid w:val="000C124F"/>
    <w:rsid w:val="000C1437"/>
    <w:rsid w:val="000C1AE0"/>
    <w:rsid w:val="000C38A0"/>
    <w:rsid w:val="000D13AF"/>
    <w:rsid w:val="000D5C97"/>
    <w:rsid w:val="000E0B36"/>
    <w:rsid w:val="000E1599"/>
    <w:rsid w:val="000E27AE"/>
    <w:rsid w:val="000E4788"/>
    <w:rsid w:val="000F138A"/>
    <w:rsid w:val="000F4CA8"/>
    <w:rsid w:val="001005FA"/>
    <w:rsid w:val="00100DCF"/>
    <w:rsid w:val="00107232"/>
    <w:rsid w:val="00116846"/>
    <w:rsid w:val="00123E03"/>
    <w:rsid w:val="001434EB"/>
    <w:rsid w:val="00145746"/>
    <w:rsid w:val="00146180"/>
    <w:rsid w:val="00146CAD"/>
    <w:rsid w:val="001517E8"/>
    <w:rsid w:val="0015489D"/>
    <w:rsid w:val="00161231"/>
    <w:rsid w:val="00163B3A"/>
    <w:rsid w:val="00165936"/>
    <w:rsid w:val="00165BB6"/>
    <w:rsid w:val="001667D7"/>
    <w:rsid w:val="00167190"/>
    <w:rsid w:val="00195649"/>
    <w:rsid w:val="00197951"/>
    <w:rsid w:val="001B0D92"/>
    <w:rsid w:val="001B483E"/>
    <w:rsid w:val="001B6A06"/>
    <w:rsid w:val="001C1A74"/>
    <w:rsid w:val="001C6CFC"/>
    <w:rsid w:val="001D1231"/>
    <w:rsid w:val="001D72BA"/>
    <w:rsid w:val="001E649B"/>
    <w:rsid w:val="001F4A2C"/>
    <w:rsid w:val="001F6A4E"/>
    <w:rsid w:val="002028F6"/>
    <w:rsid w:val="002162F1"/>
    <w:rsid w:val="002205D6"/>
    <w:rsid w:val="00223850"/>
    <w:rsid w:val="002301B6"/>
    <w:rsid w:val="0023123B"/>
    <w:rsid w:val="00234924"/>
    <w:rsid w:val="0023722F"/>
    <w:rsid w:val="00237E84"/>
    <w:rsid w:val="00240554"/>
    <w:rsid w:val="00243D03"/>
    <w:rsid w:val="002453D1"/>
    <w:rsid w:val="00245C1E"/>
    <w:rsid w:val="00247EC9"/>
    <w:rsid w:val="002508E3"/>
    <w:rsid w:val="00254689"/>
    <w:rsid w:val="00257B12"/>
    <w:rsid w:val="00264E77"/>
    <w:rsid w:val="00266DA1"/>
    <w:rsid w:val="00267619"/>
    <w:rsid w:val="00273D60"/>
    <w:rsid w:val="00274A65"/>
    <w:rsid w:val="00277554"/>
    <w:rsid w:val="00281C0E"/>
    <w:rsid w:val="0028240F"/>
    <w:rsid w:val="00283C9E"/>
    <w:rsid w:val="0028407E"/>
    <w:rsid w:val="002922F0"/>
    <w:rsid w:val="002A0B9F"/>
    <w:rsid w:val="002A44FD"/>
    <w:rsid w:val="002B6E13"/>
    <w:rsid w:val="002C0342"/>
    <w:rsid w:val="002C27B6"/>
    <w:rsid w:val="002C4199"/>
    <w:rsid w:val="002D0474"/>
    <w:rsid w:val="002D1EAB"/>
    <w:rsid w:val="002D61FE"/>
    <w:rsid w:val="002E073C"/>
    <w:rsid w:val="002E1177"/>
    <w:rsid w:val="00301C05"/>
    <w:rsid w:val="0030460E"/>
    <w:rsid w:val="00306C2A"/>
    <w:rsid w:val="0030733B"/>
    <w:rsid w:val="003075B7"/>
    <w:rsid w:val="00314B9C"/>
    <w:rsid w:val="00315BE6"/>
    <w:rsid w:val="00317D2C"/>
    <w:rsid w:val="00320264"/>
    <w:rsid w:val="00344C57"/>
    <w:rsid w:val="00345629"/>
    <w:rsid w:val="00353FBA"/>
    <w:rsid w:val="00365E56"/>
    <w:rsid w:val="00374BCE"/>
    <w:rsid w:val="0038183E"/>
    <w:rsid w:val="003913CE"/>
    <w:rsid w:val="003940DC"/>
    <w:rsid w:val="00397AF1"/>
    <w:rsid w:val="003A1E2A"/>
    <w:rsid w:val="003A4EE8"/>
    <w:rsid w:val="003A6F98"/>
    <w:rsid w:val="003B0459"/>
    <w:rsid w:val="003B0CD4"/>
    <w:rsid w:val="003B1108"/>
    <w:rsid w:val="003B6EF4"/>
    <w:rsid w:val="003C1C2B"/>
    <w:rsid w:val="003C469A"/>
    <w:rsid w:val="003C572A"/>
    <w:rsid w:val="003C7230"/>
    <w:rsid w:val="003D1ABC"/>
    <w:rsid w:val="003D2CA1"/>
    <w:rsid w:val="003D4A6F"/>
    <w:rsid w:val="003D5F08"/>
    <w:rsid w:val="003E53AB"/>
    <w:rsid w:val="003F4D8C"/>
    <w:rsid w:val="004059CF"/>
    <w:rsid w:val="00407240"/>
    <w:rsid w:val="0041150C"/>
    <w:rsid w:val="00413A2E"/>
    <w:rsid w:val="00413EAB"/>
    <w:rsid w:val="0041447B"/>
    <w:rsid w:val="004145AD"/>
    <w:rsid w:val="00414A5E"/>
    <w:rsid w:val="004162B2"/>
    <w:rsid w:val="0042203E"/>
    <w:rsid w:val="00432AE0"/>
    <w:rsid w:val="00445C70"/>
    <w:rsid w:val="00457A1F"/>
    <w:rsid w:val="00463C7C"/>
    <w:rsid w:val="00470C6E"/>
    <w:rsid w:val="00481D8F"/>
    <w:rsid w:val="00481DA5"/>
    <w:rsid w:val="00492E07"/>
    <w:rsid w:val="004946FA"/>
    <w:rsid w:val="0049525D"/>
    <w:rsid w:val="004A4779"/>
    <w:rsid w:val="004D1198"/>
    <w:rsid w:val="004D76AF"/>
    <w:rsid w:val="004F0D93"/>
    <w:rsid w:val="004F1A6E"/>
    <w:rsid w:val="004F4387"/>
    <w:rsid w:val="004F513D"/>
    <w:rsid w:val="004F5D7F"/>
    <w:rsid w:val="005073D6"/>
    <w:rsid w:val="005074FB"/>
    <w:rsid w:val="00512CFA"/>
    <w:rsid w:val="00516D1D"/>
    <w:rsid w:val="00522991"/>
    <w:rsid w:val="0053019B"/>
    <w:rsid w:val="00533C69"/>
    <w:rsid w:val="005405C6"/>
    <w:rsid w:val="0054083C"/>
    <w:rsid w:val="005415B7"/>
    <w:rsid w:val="005555C2"/>
    <w:rsid w:val="00560783"/>
    <w:rsid w:val="00561EBC"/>
    <w:rsid w:val="00564F40"/>
    <w:rsid w:val="005756B4"/>
    <w:rsid w:val="005763D4"/>
    <w:rsid w:val="005822E1"/>
    <w:rsid w:val="00584129"/>
    <w:rsid w:val="00586CA2"/>
    <w:rsid w:val="00590A73"/>
    <w:rsid w:val="00591A21"/>
    <w:rsid w:val="00593F3E"/>
    <w:rsid w:val="00596344"/>
    <w:rsid w:val="005A0F3C"/>
    <w:rsid w:val="005A1BE9"/>
    <w:rsid w:val="005A7AA8"/>
    <w:rsid w:val="005C620E"/>
    <w:rsid w:val="005C6585"/>
    <w:rsid w:val="005C74DC"/>
    <w:rsid w:val="005D0F8F"/>
    <w:rsid w:val="005D2001"/>
    <w:rsid w:val="005D4C7B"/>
    <w:rsid w:val="005D5E95"/>
    <w:rsid w:val="005E102A"/>
    <w:rsid w:val="005E28C5"/>
    <w:rsid w:val="005F394C"/>
    <w:rsid w:val="005F659F"/>
    <w:rsid w:val="00601BD0"/>
    <w:rsid w:val="0061208B"/>
    <w:rsid w:val="00614732"/>
    <w:rsid w:val="00616C69"/>
    <w:rsid w:val="00617517"/>
    <w:rsid w:val="0061771D"/>
    <w:rsid w:val="0063053F"/>
    <w:rsid w:val="00643F26"/>
    <w:rsid w:val="00646C69"/>
    <w:rsid w:val="00647D9A"/>
    <w:rsid w:val="00650C0F"/>
    <w:rsid w:val="006517BA"/>
    <w:rsid w:val="006523B8"/>
    <w:rsid w:val="00661602"/>
    <w:rsid w:val="006628D9"/>
    <w:rsid w:val="00664690"/>
    <w:rsid w:val="00690578"/>
    <w:rsid w:val="006916F7"/>
    <w:rsid w:val="006940A4"/>
    <w:rsid w:val="0069519C"/>
    <w:rsid w:val="00695B13"/>
    <w:rsid w:val="006B3044"/>
    <w:rsid w:val="006C0C02"/>
    <w:rsid w:val="006C4C79"/>
    <w:rsid w:val="006C7FD8"/>
    <w:rsid w:val="006D1C0A"/>
    <w:rsid w:val="006D3B0B"/>
    <w:rsid w:val="006D6356"/>
    <w:rsid w:val="006D7CD0"/>
    <w:rsid w:val="006E0EC5"/>
    <w:rsid w:val="006E5084"/>
    <w:rsid w:val="006F3010"/>
    <w:rsid w:val="006F5C31"/>
    <w:rsid w:val="006F6532"/>
    <w:rsid w:val="00701029"/>
    <w:rsid w:val="007079A9"/>
    <w:rsid w:val="0071000C"/>
    <w:rsid w:val="00711BD5"/>
    <w:rsid w:val="00722AF1"/>
    <w:rsid w:val="007243E3"/>
    <w:rsid w:val="007259D3"/>
    <w:rsid w:val="007354D9"/>
    <w:rsid w:val="00736561"/>
    <w:rsid w:val="0073784F"/>
    <w:rsid w:val="00742841"/>
    <w:rsid w:val="00747983"/>
    <w:rsid w:val="00750C0B"/>
    <w:rsid w:val="007515DE"/>
    <w:rsid w:val="00756586"/>
    <w:rsid w:val="00763228"/>
    <w:rsid w:val="007657DE"/>
    <w:rsid w:val="00777472"/>
    <w:rsid w:val="007859E6"/>
    <w:rsid w:val="00786228"/>
    <w:rsid w:val="00787E78"/>
    <w:rsid w:val="00793F7A"/>
    <w:rsid w:val="007948D5"/>
    <w:rsid w:val="00797097"/>
    <w:rsid w:val="007A4056"/>
    <w:rsid w:val="007B30CA"/>
    <w:rsid w:val="007C25D0"/>
    <w:rsid w:val="007D4F96"/>
    <w:rsid w:val="007D640C"/>
    <w:rsid w:val="007E01B5"/>
    <w:rsid w:val="007E37AE"/>
    <w:rsid w:val="007E6FB5"/>
    <w:rsid w:val="007E763B"/>
    <w:rsid w:val="007F615C"/>
    <w:rsid w:val="007F695E"/>
    <w:rsid w:val="007F6C50"/>
    <w:rsid w:val="00800162"/>
    <w:rsid w:val="008007F7"/>
    <w:rsid w:val="0080658F"/>
    <w:rsid w:val="0081112F"/>
    <w:rsid w:val="00817322"/>
    <w:rsid w:val="00831F2A"/>
    <w:rsid w:val="00836345"/>
    <w:rsid w:val="008429DC"/>
    <w:rsid w:val="00843085"/>
    <w:rsid w:val="0085030B"/>
    <w:rsid w:val="00850B52"/>
    <w:rsid w:val="0085176F"/>
    <w:rsid w:val="00853BD6"/>
    <w:rsid w:val="008548BC"/>
    <w:rsid w:val="00860A63"/>
    <w:rsid w:val="0086101D"/>
    <w:rsid w:val="00863A77"/>
    <w:rsid w:val="008645A4"/>
    <w:rsid w:val="00867AC0"/>
    <w:rsid w:val="0087241B"/>
    <w:rsid w:val="00873A7E"/>
    <w:rsid w:val="00885E46"/>
    <w:rsid w:val="008909FA"/>
    <w:rsid w:val="008951F2"/>
    <w:rsid w:val="008A11D3"/>
    <w:rsid w:val="008A18D9"/>
    <w:rsid w:val="008B06CA"/>
    <w:rsid w:val="008B4919"/>
    <w:rsid w:val="008B7C3C"/>
    <w:rsid w:val="008D38DD"/>
    <w:rsid w:val="008D4CC8"/>
    <w:rsid w:val="008D744E"/>
    <w:rsid w:val="008D7566"/>
    <w:rsid w:val="008F29FA"/>
    <w:rsid w:val="008F574F"/>
    <w:rsid w:val="0091513E"/>
    <w:rsid w:val="009216ED"/>
    <w:rsid w:val="00925D9A"/>
    <w:rsid w:val="00931E97"/>
    <w:rsid w:val="009322B5"/>
    <w:rsid w:val="00932428"/>
    <w:rsid w:val="009343F6"/>
    <w:rsid w:val="0093500F"/>
    <w:rsid w:val="009352BA"/>
    <w:rsid w:val="00940665"/>
    <w:rsid w:val="00941087"/>
    <w:rsid w:val="009532D2"/>
    <w:rsid w:val="0097404D"/>
    <w:rsid w:val="00975894"/>
    <w:rsid w:val="0098058D"/>
    <w:rsid w:val="009813C1"/>
    <w:rsid w:val="00982DE4"/>
    <w:rsid w:val="009842BB"/>
    <w:rsid w:val="00994970"/>
    <w:rsid w:val="00996D84"/>
    <w:rsid w:val="009A215D"/>
    <w:rsid w:val="009A35E7"/>
    <w:rsid w:val="009A37D6"/>
    <w:rsid w:val="009A403B"/>
    <w:rsid w:val="009B6482"/>
    <w:rsid w:val="009C0928"/>
    <w:rsid w:val="009D7631"/>
    <w:rsid w:val="009D7C24"/>
    <w:rsid w:val="009E0A4D"/>
    <w:rsid w:val="009E20F1"/>
    <w:rsid w:val="009E5EB4"/>
    <w:rsid w:val="009F5DC9"/>
    <w:rsid w:val="009F6B2B"/>
    <w:rsid w:val="00A0346C"/>
    <w:rsid w:val="00A064B3"/>
    <w:rsid w:val="00A10DCD"/>
    <w:rsid w:val="00A24C7A"/>
    <w:rsid w:val="00A31712"/>
    <w:rsid w:val="00A424FA"/>
    <w:rsid w:val="00A4722A"/>
    <w:rsid w:val="00A53508"/>
    <w:rsid w:val="00A55B6E"/>
    <w:rsid w:val="00A650E7"/>
    <w:rsid w:val="00A668BC"/>
    <w:rsid w:val="00A719D6"/>
    <w:rsid w:val="00A71D38"/>
    <w:rsid w:val="00A8111E"/>
    <w:rsid w:val="00A827C1"/>
    <w:rsid w:val="00A93E30"/>
    <w:rsid w:val="00A96EB9"/>
    <w:rsid w:val="00AA2254"/>
    <w:rsid w:val="00AB74A3"/>
    <w:rsid w:val="00AC2052"/>
    <w:rsid w:val="00AC2AAA"/>
    <w:rsid w:val="00AD502F"/>
    <w:rsid w:val="00AD546D"/>
    <w:rsid w:val="00AD63DE"/>
    <w:rsid w:val="00AD648B"/>
    <w:rsid w:val="00AD6826"/>
    <w:rsid w:val="00AE7B44"/>
    <w:rsid w:val="00AE7FA1"/>
    <w:rsid w:val="00AF5147"/>
    <w:rsid w:val="00AF7D40"/>
    <w:rsid w:val="00B01408"/>
    <w:rsid w:val="00B02ED6"/>
    <w:rsid w:val="00B324B5"/>
    <w:rsid w:val="00B37FD5"/>
    <w:rsid w:val="00B5203C"/>
    <w:rsid w:val="00B55356"/>
    <w:rsid w:val="00B64AC5"/>
    <w:rsid w:val="00B65B26"/>
    <w:rsid w:val="00B70DEB"/>
    <w:rsid w:val="00B73074"/>
    <w:rsid w:val="00B7322B"/>
    <w:rsid w:val="00B77610"/>
    <w:rsid w:val="00B812FB"/>
    <w:rsid w:val="00B91E7E"/>
    <w:rsid w:val="00BA0EF1"/>
    <w:rsid w:val="00BA20F6"/>
    <w:rsid w:val="00BA2EE3"/>
    <w:rsid w:val="00BB5AC5"/>
    <w:rsid w:val="00BC5A83"/>
    <w:rsid w:val="00BD76E8"/>
    <w:rsid w:val="00BE0468"/>
    <w:rsid w:val="00BF0A17"/>
    <w:rsid w:val="00BF2CD0"/>
    <w:rsid w:val="00BF65DF"/>
    <w:rsid w:val="00BF72A9"/>
    <w:rsid w:val="00C02D48"/>
    <w:rsid w:val="00C0348A"/>
    <w:rsid w:val="00C078B3"/>
    <w:rsid w:val="00C167AE"/>
    <w:rsid w:val="00C22814"/>
    <w:rsid w:val="00C4728E"/>
    <w:rsid w:val="00C50BB7"/>
    <w:rsid w:val="00C526FC"/>
    <w:rsid w:val="00C538FC"/>
    <w:rsid w:val="00C539FF"/>
    <w:rsid w:val="00C67DDB"/>
    <w:rsid w:val="00CB1FC3"/>
    <w:rsid w:val="00CB2C3D"/>
    <w:rsid w:val="00CB593C"/>
    <w:rsid w:val="00CC2BFC"/>
    <w:rsid w:val="00CC7E7B"/>
    <w:rsid w:val="00CD38FC"/>
    <w:rsid w:val="00CD4C80"/>
    <w:rsid w:val="00CD7872"/>
    <w:rsid w:val="00CD7C12"/>
    <w:rsid w:val="00CE3FC0"/>
    <w:rsid w:val="00CE5B3A"/>
    <w:rsid w:val="00CE6E4A"/>
    <w:rsid w:val="00CE72D7"/>
    <w:rsid w:val="00CF15E1"/>
    <w:rsid w:val="00D02E62"/>
    <w:rsid w:val="00D03C1B"/>
    <w:rsid w:val="00D1257C"/>
    <w:rsid w:val="00D125EA"/>
    <w:rsid w:val="00D151ED"/>
    <w:rsid w:val="00D1710D"/>
    <w:rsid w:val="00D213F7"/>
    <w:rsid w:val="00D228C3"/>
    <w:rsid w:val="00D24778"/>
    <w:rsid w:val="00D3175E"/>
    <w:rsid w:val="00D42554"/>
    <w:rsid w:val="00D54697"/>
    <w:rsid w:val="00D54C4F"/>
    <w:rsid w:val="00D57A9D"/>
    <w:rsid w:val="00D600FF"/>
    <w:rsid w:val="00D62CE7"/>
    <w:rsid w:val="00D668D3"/>
    <w:rsid w:val="00D837B0"/>
    <w:rsid w:val="00D837CD"/>
    <w:rsid w:val="00D9508B"/>
    <w:rsid w:val="00D9709D"/>
    <w:rsid w:val="00DA37FF"/>
    <w:rsid w:val="00DB0A6F"/>
    <w:rsid w:val="00DB230F"/>
    <w:rsid w:val="00DB2EDF"/>
    <w:rsid w:val="00DB7515"/>
    <w:rsid w:val="00DC30FC"/>
    <w:rsid w:val="00DC3F9A"/>
    <w:rsid w:val="00DC4452"/>
    <w:rsid w:val="00DC716A"/>
    <w:rsid w:val="00DD242D"/>
    <w:rsid w:val="00DD3784"/>
    <w:rsid w:val="00DD40C2"/>
    <w:rsid w:val="00DD57A0"/>
    <w:rsid w:val="00DD6FF3"/>
    <w:rsid w:val="00DD724C"/>
    <w:rsid w:val="00DE2AFD"/>
    <w:rsid w:val="00DE4A20"/>
    <w:rsid w:val="00DE5898"/>
    <w:rsid w:val="00E016D3"/>
    <w:rsid w:val="00E0250B"/>
    <w:rsid w:val="00E0480D"/>
    <w:rsid w:val="00E200D0"/>
    <w:rsid w:val="00E2210C"/>
    <w:rsid w:val="00E23DDC"/>
    <w:rsid w:val="00E2461D"/>
    <w:rsid w:val="00E256A4"/>
    <w:rsid w:val="00E2727E"/>
    <w:rsid w:val="00E361F9"/>
    <w:rsid w:val="00E4107B"/>
    <w:rsid w:val="00E510EA"/>
    <w:rsid w:val="00E57946"/>
    <w:rsid w:val="00E64D3F"/>
    <w:rsid w:val="00E7037C"/>
    <w:rsid w:val="00E705E5"/>
    <w:rsid w:val="00E749AE"/>
    <w:rsid w:val="00E861F6"/>
    <w:rsid w:val="00E9403C"/>
    <w:rsid w:val="00EA689A"/>
    <w:rsid w:val="00EA6A31"/>
    <w:rsid w:val="00EB2D8A"/>
    <w:rsid w:val="00EB67A1"/>
    <w:rsid w:val="00EC2992"/>
    <w:rsid w:val="00EC62BB"/>
    <w:rsid w:val="00ED12AB"/>
    <w:rsid w:val="00EE6717"/>
    <w:rsid w:val="00EF1F50"/>
    <w:rsid w:val="00EF5256"/>
    <w:rsid w:val="00F033E7"/>
    <w:rsid w:val="00F1365B"/>
    <w:rsid w:val="00F14735"/>
    <w:rsid w:val="00F16C17"/>
    <w:rsid w:val="00F25D13"/>
    <w:rsid w:val="00F27242"/>
    <w:rsid w:val="00F47134"/>
    <w:rsid w:val="00F52EC4"/>
    <w:rsid w:val="00F5309E"/>
    <w:rsid w:val="00F56438"/>
    <w:rsid w:val="00F84F1F"/>
    <w:rsid w:val="00F977F1"/>
    <w:rsid w:val="00FA3B13"/>
    <w:rsid w:val="00FB6571"/>
    <w:rsid w:val="00FC0318"/>
    <w:rsid w:val="00FC03ED"/>
    <w:rsid w:val="00FC0E97"/>
    <w:rsid w:val="00FE0C07"/>
    <w:rsid w:val="00FE19A3"/>
    <w:rsid w:val="00FE4E54"/>
    <w:rsid w:val="00FE573A"/>
    <w:rsid w:val="00FF04A0"/>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635D8B77"/>
  <w15:chartTrackingRefBased/>
  <w15:docId w15:val="{282E79B6-5522-4721-8FBC-7B64EC4C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D7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363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Dot pt,Bullet Points,No Spacing1,List Paragraph Char Char Char,Indicator Text,Numbered Para 1,List Paragraph1,Bullet 1,MAIN CONTENT,List Paragraph12,OBC Bullet,F5 List Paragraph,Colorful List - Accent 11,Normal numbered"/>
    <w:basedOn w:val="Normal"/>
    <w:link w:val="ListParagraphChar"/>
    <w:uiPriority w:val="34"/>
    <w:qFormat/>
    <w:rsid w:val="007F695E"/>
    <w:pPr>
      <w:ind w:left="720"/>
      <w:contextualSpacing/>
    </w:pPr>
  </w:style>
  <w:style w:type="character" w:customStyle="1" w:styleId="A4">
    <w:name w:val="A4"/>
    <w:uiPriority w:val="99"/>
    <w:rsid w:val="00165BB6"/>
    <w:rPr>
      <w:rFonts w:cs="NimbusSanLig"/>
      <w:color w:val="000000"/>
      <w:sz w:val="20"/>
      <w:szCs w:val="20"/>
    </w:rPr>
  </w:style>
  <w:style w:type="character" w:styleId="Strong">
    <w:name w:val="Strong"/>
    <w:basedOn w:val="DefaultParagraphFont"/>
    <w:uiPriority w:val="22"/>
    <w:qFormat/>
    <w:rsid w:val="00B91E7E"/>
    <w:rPr>
      <w:b/>
      <w:bCs/>
    </w:rPr>
  </w:style>
  <w:style w:type="paragraph" w:styleId="NormalWeb">
    <w:name w:val="Normal (Web)"/>
    <w:basedOn w:val="Normal"/>
    <w:uiPriority w:val="99"/>
    <w:semiHidden/>
    <w:unhideWhenUsed/>
    <w:rsid w:val="00765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57DE"/>
    <w:rPr>
      <w:color w:val="0000FF"/>
      <w:u w:val="single"/>
    </w:rPr>
  </w:style>
  <w:style w:type="character" w:customStyle="1" w:styleId="Heading1Char">
    <w:name w:val="Heading 1 Char"/>
    <w:basedOn w:val="DefaultParagraphFont"/>
    <w:link w:val="Heading1"/>
    <w:uiPriority w:val="9"/>
    <w:rsid w:val="006D7CD0"/>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2E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177"/>
  </w:style>
  <w:style w:type="paragraph" w:styleId="Footer">
    <w:name w:val="footer"/>
    <w:basedOn w:val="Normal"/>
    <w:link w:val="FooterChar"/>
    <w:uiPriority w:val="99"/>
    <w:unhideWhenUsed/>
    <w:rsid w:val="002E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177"/>
  </w:style>
  <w:style w:type="paragraph" w:customStyle="1" w:styleId="ETCBodyCopy">
    <w:name w:val="ETC Body Copy"/>
    <w:basedOn w:val="Normal"/>
    <w:link w:val="ETCBodyCopyChar"/>
    <w:qFormat/>
    <w:rsid w:val="002E1177"/>
    <w:pPr>
      <w:widowControl w:val="0"/>
      <w:suppressAutoHyphens/>
      <w:autoSpaceDE w:val="0"/>
      <w:autoSpaceDN w:val="0"/>
      <w:adjustRightInd w:val="0"/>
      <w:spacing w:before="220" w:line="240" w:lineRule="auto"/>
      <w:textAlignment w:val="center"/>
    </w:pPr>
    <w:rPr>
      <w:rFonts w:ascii="Century Gothic" w:eastAsiaTheme="minorEastAsia" w:hAnsi="Century Gothic" w:cs="CenturyGothic"/>
      <w:color w:val="595959"/>
      <w:sz w:val="19"/>
      <w:szCs w:val="19"/>
      <w:lang w:eastAsia="ja-JP"/>
    </w:rPr>
  </w:style>
  <w:style w:type="character" w:customStyle="1" w:styleId="ETCBodyCopyChar">
    <w:name w:val="ETC Body Copy Char"/>
    <w:basedOn w:val="DefaultParagraphFont"/>
    <w:link w:val="ETCBodyCopy"/>
    <w:rsid w:val="002E1177"/>
    <w:rPr>
      <w:rFonts w:ascii="Century Gothic" w:eastAsiaTheme="minorEastAsia" w:hAnsi="Century Gothic" w:cs="CenturyGothic"/>
      <w:color w:val="595959"/>
      <w:sz w:val="19"/>
      <w:szCs w:val="19"/>
      <w:lang w:eastAsia="ja-JP"/>
    </w:rPr>
  </w:style>
  <w:style w:type="paragraph" w:customStyle="1" w:styleId="paragraph">
    <w:name w:val="paragraph"/>
    <w:basedOn w:val="Normal"/>
    <w:rsid w:val="00512C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2CFA"/>
  </w:style>
  <w:style w:type="paragraph" w:styleId="Caption">
    <w:name w:val="caption"/>
    <w:basedOn w:val="Normal"/>
    <w:next w:val="Normal"/>
    <w:uiPriority w:val="35"/>
    <w:unhideWhenUsed/>
    <w:qFormat/>
    <w:rsid w:val="009532D2"/>
    <w:pPr>
      <w:spacing w:after="200" w:line="240" w:lineRule="auto"/>
    </w:pPr>
    <w:rPr>
      <w:i/>
      <w:iCs/>
      <w:color w:val="44546A" w:themeColor="text2"/>
      <w:sz w:val="18"/>
      <w:szCs w:val="18"/>
    </w:rPr>
  </w:style>
  <w:style w:type="character" w:customStyle="1" w:styleId="ListParagraphChar">
    <w:name w:val="List Paragraph Char"/>
    <w:aliases w:val="Bullet list Char,Dot pt Char,Bullet Points Char,No Spacing1 Char,List Paragraph Char Char Char Char,Indicator Text Char,Numbered Para 1 Char,List Paragraph1 Char,Bullet 1 Char,MAIN CONTENT Char,List Paragraph12 Char,OBC Bullet Char"/>
    <w:basedOn w:val="DefaultParagraphFont"/>
    <w:link w:val="ListParagraph"/>
    <w:uiPriority w:val="34"/>
    <w:locked/>
    <w:rsid w:val="006B3044"/>
  </w:style>
  <w:style w:type="character" w:styleId="CommentReference">
    <w:name w:val="annotation reference"/>
    <w:basedOn w:val="DefaultParagraphFont"/>
    <w:uiPriority w:val="99"/>
    <w:semiHidden/>
    <w:unhideWhenUsed/>
    <w:rsid w:val="0028407E"/>
    <w:rPr>
      <w:sz w:val="16"/>
      <w:szCs w:val="16"/>
    </w:rPr>
  </w:style>
  <w:style w:type="paragraph" w:styleId="CommentText">
    <w:name w:val="annotation text"/>
    <w:basedOn w:val="Normal"/>
    <w:link w:val="CommentTextChar"/>
    <w:uiPriority w:val="99"/>
    <w:unhideWhenUsed/>
    <w:rsid w:val="0028407E"/>
    <w:pPr>
      <w:spacing w:line="240" w:lineRule="auto"/>
    </w:pPr>
    <w:rPr>
      <w:sz w:val="20"/>
      <w:szCs w:val="20"/>
    </w:rPr>
  </w:style>
  <w:style w:type="character" w:customStyle="1" w:styleId="CommentTextChar">
    <w:name w:val="Comment Text Char"/>
    <w:basedOn w:val="DefaultParagraphFont"/>
    <w:link w:val="CommentText"/>
    <w:uiPriority w:val="99"/>
    <w:rsid w:val="0028407E"/>
    <w:rPr>
      <w:sz w:val="20"/>
      <w:szCs w:val="20"/>
    </w:rPr>
  </w:style>
  <w:style w:type="paragraph" w:styleId="CommentSubject">
    <w:name w:val="annotation subject"/>
    <w:basedOn w:val="CommentText"/>
    <w:next w:val="CommentText"/>
    <w:link w:val="CommentSubjectChar"/>
    <w:uiPriority w:val="99"/>
    <w:semiHidden/>
    <w:unhideWhenUsed/>
    <w:rsid w:val="0028407E"/>
    <w:rPr>
      <w:b/>
      <w:bCs/>
    </w:rPr>
  </w:style>
  <w:style w:type="character" w:customStyle="1" w:styleId="CommentSubjectChar">
    <w:name w:val="Comment Subject Char"/>
    <w:basedOn w:val="CommentTextChar"/>
    <w:link w:val="CommentSubject"/>
    <w:uiPriority w:val="99"/>
    <w:semiHidden/>
    <w:rsid w:val="0028407E"/>
    <w:rPr>
      <w:b/>
      <w:bCs/>
      <w:sz w:val="20"/>
      <w:szCs w:val="20"/>
    </w:rPr>
  </w:style>
  <w:style w:type="paragraph" w:styleId="BalloonText">
    <w:name w:val="Balloon Text"/>
    <w:basedOn w:val="Normal"/>
    <w:link w:val="BalloonTextChar"/>
    <w:uiPriority w:val="99"/>
    <w:semiHidden/>
    <w:unhideWhenUsed/>
    <w:rsid w:val="00284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07E"/>
    <w:rPr>
      <w:rFonts w:ascii="Segoe UI" w:hAnsi="Segoe UI" w:cs="Segoe UI"/>
      <w:sz w:val="18"/>
      <w:szCs w:val="18"/>
    </w:rPr>
  </w:style>
  <w:style w:type="character" w:customStyle="1" w:styleId="Heading3Char">
    <w:name w:val="Heading 3 Char"/>
    <w:basedOn w:val="DefaultParagraphFont"/>
    <w:link w:val="Heading3"/>
    <w:uiPriority w:val="9"/>
    <w:semiHidden/>
    <w:rsid w:val="0083634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2001"/>
    <w:rPr>
      <w:color w:val="954F72" w:themeColor="followedHyperlink"/>
      <w:u w:val="single"/>
    </w:rPr>
  </w:style>
  <w:style w:type="character" w:customStyle="1" w:styleId="emailstyle16">
    <w:name w:val="emailstyle16"/>
    <w:basedOn w:val="DefaultParagraphFont"/>
    <w:rsid w:val="00432AE0"/>
    <w:rPr>
      <w:rFonts w:ascii="Calibri" w:hAnsi="Calibri" w:cs="Calibri" w:hint="default"/>
      <w:color w:val="auto"/>
    </w:rPr>
  </w:style>
  <w:style w:type="character" w:styleId="Emphasis">
    <w:name w:val="Emphasis"/>
    <w:basedOn w:val="DefaultParagraphFont"/>
    <w:uiPriority w:val="20"/>
    <w:qFormat/>
    <w:rsid w:val="00BA2EE3"/>
    <w:rPr>
      <w:i/>
      <w:iCs/>
    </w:rPr>
  </w:style>
  <w:style w:type="character" w:styleId="UnresolvedMention">
    <w:name w:val="Unresolved Mention"/>
    <w:basedOn w:val="DefaultParagraphFont"/>
    <w:uiPriority w:val="99"/>
    <w:semiHidden/>
    <w:unhideWhenUsed/>
    <w:rsid w:val="00843085"/>
    <w:rPr>
      <w:color w:val="605E5C"/>
      <w:shd w:val="clear" w:color="auto" w:fill="E1DFDD"/>
    </w:rPr>
  </w:style>
  <w:style w:type="paragraph" w:styleId="FootnoteText">
    <w:name w:val="footnote text"/>
    <w:basedOn w:val="Normal"/>
    <w:link w:val="FootnoteTextChar"/>
    <w:uiPriority w:val="99"/>
    <w:semiHidden/>
    <w:unhideWhenUsed/>
    <w:rsid w:val="00B55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356"/>
    <w:rPr>
      <w:sz w:val="20"/>
      <w:szCs w:val="20"/>
    </w:rPr>
  </w:style>
  <w:style w:type="character" w:styleId="FootnoteReference">
    <w:name w:val="footnote reference"/>
    <w:basedOn w:val="DefaultParagraphFont"/>
    <w:uiPriority w:val="99"/>
    <w:semiHidden/>
    <w:unhideWhenUsed/>
    <w:rsid w:val="00B55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5474">
      <w:bodyDiv w:val="1"/>
      <w:marLeft w:val="0"/>
      <w:marRight w:val="0"/>
      <w:marTop w:val="0"/>
      <w:marBottom w:val="0"/>
      <w:divBdr>
        <w:top w:val="none" w:sz="0" w:space="0" w:color="auto"/>
        <w:left w:val="none" w:sz="0" w:space="0" w:color="auto"/>
        <w:bottom w:val="none" w:sz="0" w:space="0" w:color="auto"/>
        <w:right w:val="none" w:sz="0" w:space="0" w:color="auto"/>
      </w:divBdr>
    </w:div>
    <w:div w:id="74590597">
      <w:bodyDiv w:val="1"/>
      <w:marLeft w:val="0"/>
      <w:marRight w:val="0"/>
      <w:marTop w:val="0"/>
      <w:marBottom w:val="0"/>
      <w:divBdr>
        <w:top w:val="none" w:sz="0" w:space="0" w:color="auto"/>
        <w:left w:val="none" w:sz="0" w:space="0" w:color="auto"/>
        <w:bottom w:val="none" w:sz="0" w:space="0" w:color="auto"/>
        <w:right w:val="none" w:sz="0" w:space="0" w:color="auto"/>
      </w:divBdr>
    </w:div>
    <w:div w:id="234168569">
      <w:bodyDiv w:val="1"/>
      <w:marLeft w:val="0"/>
      <w:marRight w:val="0"/>
      <w:marTop w:val="0"/>
      <w:marBottom w:val="0"/>
      <w:divBdr>
        <w:top w:val="none" w:sz="0" w:space="0" w:color="auto"/>
        <w:left w:val="none" w:sz="0" w:space="0" w:color="auto"/>
        <w:bottom w:val="none" w:sz="0" w:space="0" w:color="auto"/>
        <w:right w:val="none" w:sz="0" w:space="0" w:color="auto"/>
      </w:divBdr>
    </w:div>
    <w:div w:id="353654407">
      <w:bodyDiv w:val="1"/>
      <w:marLeft w:val="0"/>
      <w:marRight w:val="0"/>
      <w:marTop w:val="0"/>
      <w:marBottom w:val="0"/>
      <w:divBdr>
        <w:top w:val="none" w:sz="0" w:space="0" w:color="auto"/>
        <w:left w:val="none" w:sz="0" w:space="0" w:color="auto"/>
        <w:bottom w:val="none" w:sz="0" w:space="0" w:color="auto"/>
        <w:right w:val="none" w:sz="0" w:space="0" w:color="auto"/>
      </w:divBdr>
    </w:div>
    <w:div w:id="422800999">
      <w:bodyDiv w:val="1"/>
      <w:marLeft w:val="0"/>
      <w:marRight w:val="0"/>
      <w:marTop w:val="0"/>
      <w:marBottom w:val="0"/>
      <w:divBdr>
        <w:top w:val="none" w:sz="0" w:space="0" w:color="auto"/>
        <w:left w:val="none" w:sz="0" w:space="0" w:color="auto"/>
        <w:bottom w:val="none" w:sz="0" w:space="0" w:color="auto"/>
        <w:right w:val="none" w:sz="0" w:space="0" w:color="auto"/>
      </w:divBdr>
    </w:div>
    <w:div w:id="1000813249">
      <w:bodyDiv w:val="1"/>
      <w:marLeft w:val="0"/>
      <w:marRight w:val="0"/>
      <w:marTop w:val="0"/>
      <w:marBottom w:val="0"/>
      <w:divBdr>
        <w:top w:val="none" w:sz="0" w:space="0" w:color="auto"/>
        <w:left w:val="none" w:sz="0" w:space="0" w:color="auto"/>
        <w:bottom w:val="none" w:sz="0" w:space="0" w:color="auto"/>
        <w:right w:val="none" w:sz="0" w:space="0" w:color="auto"/>
      </w:divBdr>
    </w:div>
    <w:div w:id="1037050569">
      <w:bodyDiv w:val="1"/>
      <w:marLeft w:val="0"/>
      <w:marRight w:val="0"/>
      <w:marTop w:val="0"/>
      <w:marBottom w:val="0"/>
      <w:divBdr>
        <w:top w:val="none" w:sz="0" w:space="0" w:color="auto"/>
        <w:left w:val="none" w:sz="0" w:space="0" w:color="auto"/>
        <w:bottom w:val="none" w:sz="0" w:space="0" w:color="auto"/>
        <w:right w:val="none" w:sz="0" w:space="0" w:color="auto"/>
      </w:divBdr>
    </w:div>
    <w:div w:id="1194463401">
      <w:bodyDiv w:val="1"/>
      <w:marLeft w:val="0"/>
      <w:marRight w:val="0"/>
      <w:marTop w:val="0"/>
      <w:marBottom w:val="0"/>
      <w:divBdr>
        <w:top w:val="none" w:sz="0" w:space="0" w:color="auto"/>
        <w:left w:val="none" w:sz="0" w:space="0" w:color="auto"/>
        <w:bottom w:val="none" w:sz="0" w:space="0" w:color="auto"/>
        <w:right w:val="none" w:sz="0" w:space="0" w:color="auto"/>
      </w:divBdr>
    </w:div>
    <w:div w:id="1377704572">
      <w:bodyDiv w:val="1"/>
      <w:marLeft w:val="0"/>
      <w:marRight w:val="0"/>
      <w:marTop w:val="0"/>
      <w:marBottom w:val="0"/>
      <w:divBdr>
        <w:top w:val="none" w:sz="0" w:space="0" w:color="auto"/>
        <w:left w:val="none" w:sz="0" w:space="0" w:color="auto"/>
        <w:bottom w:val="none" w:sz="0" w:space="0" w:color="auto"/>
        <w:right w:val="none" w:sz="0" w:space="0" w:color="auto"/>
      </w:divBdr>
    </w:div>
    <w:div w:id="20227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tats.oecd.org/Index.aspx?datasetcode=STI_STEEL_MAKINGCAPACITY" TargetMode="External"/><Relationship Id="rId2" Type="http://schemas.openxmlformats.org/officeDocument/2006/relationships/hyperlink" Target="https://www.worldsteel.org/en/dam/jcr:ab8be93e-1d2f-4215-9143-4eba6808bf03/20190207_steelFacts.pdf" TargetMode="External"/><Relationship Id="rId1" Type="http://schemas.openxmlformats.org/officeDocument/2006/relationships/hyperlink" Target="file:///C:/Users/FaustineDelasalle/AppData/Local/Microsoft/Windows/INetCache/Content.Outlook/CRV8MFHJ/energy-transitions.org/sites/default/files/ETC%20sectoral%20focus%20-%20Steel_final.pdf" TargetMode="External"/><Relationship Id="rId6" Type="http://schemas.openxmlformats.org/officeDocument/2006/relationships/hyperlink" Target="https://ec.europa.eu/clima/policies/transport/vehicles/regulation_en" TargetMode="External"/><Relationship Id="rId5" Type="http://schemas.openxmlformats.org/officeDocument/2006/relationships/hyperlink" Target="https://www.worldsteel.org/en/dam/jcr:ab8be93e-1d2f-4215-9143-4eba6808bf03/20190207_steelFacts.pdf" TargetMode="External"/><Relationship Id="rId4" Type="http://schemas.openxmlformats.org/officeDocument/2006/relationships/hyperlink" Target="https://www.sei.org/wp-content/uploads/2018/09/hydrogen-steelmaking-for-a-low-carbon-economy.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5264799389F4083CAFC10E22C2C0D" ma:contentTypeVersion="14" ma:contentTypeDescription="Create a new document." ma:contentTypeScope="" ma:versionID="40d30b3d1612194e9fcc94a6aff5b4ad">
  <xsd:schema xmlns:xsd="http://www.w3.org/2001/XMLSchema" xmlns:xs="http://www.w3.org/2001/XMLSchema" xmlns:p="http://schemas.microsoft.com/office/2006/metadata/properties" xmlns:ns2="f689e3f1-3f94-4d67-a0ad-10c84a7ba916" xmlns:ns3="4aa96ceb-2ceb-4b4d-897e-b6661887608b" targetNamespace="http://schemas.microsoft.com/office/2006/metadata/properties" ma:root="true" ma:fieldsID="3ad4eae923b06d32bbeb07a55790fc52" ns2:_="" ns3:_="">
    <xsd:import namespace="f689e3f1-3f94-4d67-a0ad-10c84a7ba916"/>
    <xsd:import namespace="4aa96ceb-2ceb-4b4d-897e-b66618876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e3f1-3f94-4d67-a0ad-10c84a7b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96ceb-2ceb-4b4d-897e-b66618876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73a2a-dfc1-433d-8b55-95311d7e2fde}" ma:internalName="TaxCatchAll" ma:showField="CatchAllData" ma:web="4aa96ceb-2ceb-4b4d-897e-b666188760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a96ceb-2ceb-4b4d-897e-b6661887608b" xsi:nil="true"/>
    <lcf76f155ced4ddcb4097134ff3c332f xmlns="f689e3f1-3f94-4d67-a0ad-10c84a7ba9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480F-1084-4FAC-BB24-266BFE4BE67F}"/>
</file>

<file path=customXml/itemProps2.xml><?xml version="1.0" encoding="utf-8"?>
<ds:datastoreItem xmlns:ds="http://schemas.openxmlformats.org/officeDocument/2006/customXml" ds:itemID="{670F1047-A0AB-492A-AEAD-F6B4EAF556D6}">
  <ds:schemaRefs>
    <ds:schemaRef ds:uri="http://schemas.microsoft.com/sharepoint/v3/contenttype/forms"/>
  </ds:schemaRefs>
</ds:datastoreItem>
</file>

<file path=customXml/itemProps3.xml><?xml version="1.0" encoding="utf-8"?>
<ds:datastoreItem xmlns:ds="http://schemas.openxmlformats.org/officeDocument/2006/customXml" ds:itemID="{503F3CB9-48DD-4548-989F-D89E0BDE6519}">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04eaa977-f143-4008-9b27-be049eecda91"/>
    <ds:schemaRef ds:uri="http://schemas.openxmlformats.org/package/2006/metadata/core-properties"/>
    <ds:schemaRef ds:uri="http://purl.org/dc/dcmitype/"/>
    <ds:schemaRef ds:uri="f6f44a7d-d6f5-4042-8792-19cb5f90fb06"/>
    <ds:schemaRef ds:uri="http://www.w3.org/XML/1998/namespace"/>
    <ds:schemaRef ds:uri="http://purl.org/dc/elements/1.1/"/>
  </ds:schemaRefs>
</ds:datastoreItem>
</file>

<file path=customXml/itemProps4.xml><?xml version="1.0" encoding="utf-8"?>
<ds:datastoreItem xmlns:ds="http://schemas.openxmlformats.org/officeDocument/2006/customXml" ds:itemID="{8D34D89E-2D13-48B6-8B52-5D60F17F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Graham</dc:creator>
  <cp:keywords/>
  <dc:description/>
  <cp:lastModifiedBy>Faustine Delasalle</cp:lastModifiedBy>
  <cp:revision>109</cp:revision>
  <dcterms:created xsi:type="dcterms:W3CDTF">2019-10-31T09:05:00Z</dcterms:created>
  <dcterms:modified xsi:type="dcterms:W3CDTF">2019-11-17T21:16:00Z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0x010100D725264799389F4083CAFC10E22C2C0D</vt:lpwstr>
  </property>
  <property fmtid="{D5CDD505-2E9C-101B-9397-08002B2CF9AE}" pid="3" name="Order">
    <vt:r8>3800</vt:r8>
  </property>
</Properties>
</file>