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0F17A" w14:textId="2518FCE3" w:rsidR="00A4336A" w:rsidRPr="00042C01" w:rsidRDefault="00A4336A" w:rsidP="00A4336A">
      <w:pPr>
        <w:pStyle w:val="ETCBodyCopy"/>
        <w:spacing w:before="0" w:after="120" w:line="259" w:lineRule="auto"/>
        <w:rPr>
          <w:b/>
          <w:color w:val="002060"/>
          <w:sz w:val="28"/>
          <w:szCs w:val="21"/>
        </w:rPr>
      </w:pPr>
      <w:r w:rsidRPr="00AF6AF5">
        <w:rPr>
          <w:b/>
          <w:color w:val="002060"/>
          <w:sz w:val="28"/>
          <w:szCs w:val="21"/>
        </w:rPr>
        <w:t>How to trigger initial deployment of zero-carbon technologies</w:t>
      </w:r>
      <w:r>
        <w:rPr>
          <w:b/>
          <w:color w:val="002060"/>
          <w:sz w:val="28"/>
          <w:szCs w:val="21"/>
        </w:rPr>
        <w:t xml:space="preserve"> – Aviation briefing note</w:t>
      </w:r>
    </w:p>
    <w:p w14:paraId="500CDA7A" w14:textId="77777777" w:rsidR="002E1177" w:rsidRPr="00042C01" w:rsidRDefault="002E1177" w:rsidP="00D22497">
      <w:pPr>
        <w:pStyle w:val="ETCBodyCopy"/>
        <w:spacing w:before="0" w:after="120" w:line="259" w:lineRule="auto"/>
        <w:rPr>
          <w:b/>
          <w:color w:val="002060"/>
          <w:sz w:val="28"/>
          <w:szCs w:val="21"/>
        </w:rPr>
      </w:pPr>
    </w:p>
    <w:p w14:paraId="79432E06" w14:textId="74C4F387" w:rsidR="0098058D" w:rsidRDefault="000403E4" w:rsidP="00D22497">
      <w:pPr>
        <w:pStyle w:val="paragraph"/>
        <w:numPr>
          <w:ilvl w:val="0"/>
          <w:numId w:val="1"/>
        </w:numPr>
        <w:spacing w:before="0" w:beforeAutospacing="0" w:after="120" w:afterAutospacing="0" w:line="259" w:lineRule="auto"/>
        <w:ind w:left="420" w:hanging="420"/>
        <w:textAlignment w:val="baseline"/>
        <w:rPr>
          <w:rStyle w:val="normaltextrun"/>
          <w:rFonts w:ascii="Century Gothic" w:hAnsi="Century Gothic" w:cs="Arial"/>
          <w:b/>
          <w:bCs/>
          <w:color w:val="002060"/>
          <w:sz w:val="22"/>
          <w:szCs w:val="22"/>
        </w:rPr>
      </w:pPr>
      <w:r w:rsidRPr="00042C01">
        <w:rPr>
          <w:rStyle w:val="normaltextrun"/>
          <w:rFonts w:ascii="Century Gothic" w:hAnsi="Century Gothic" w:cs="Arial"/>
          <w:b/>
          <w:bCs/>
          <w:color w:val="002060"/>
          <w:sz w:val="22"/>
          <w:szCs w:val="22"/>
        </w:rPr>
        <w:t xml:space="preserve">CONTEXT: </w:t>
      </w:r>
      <w:r w:rsidR="006C6FC5">
        <w:rPr>
          <w:rStyle w:val="normaltextrun"/>
          <w:rFonts w:ascii="Century Gothic" w:hAnsi="Century Gothic" w:cs="Arial"/>
          <w:b/>
          <w:bCs/>
          <w:color w:val="002060"/>
          <w:sz w:val="22"/>
          <w:szCs w:val="22"/>
        </w:rPr>
        <w:t>Aviation</w:t>
      </w:r>
      <w:r w:rsidRPr="00042C01">
        <w:rPr>
          <w:rStyle w:val="normaltextrun"/>
          <w:rFonts w:ascii="Century Gothic" w:hAnsi="Century Gothic" w:cs="Arial"/>
          <w:b/>
          <w:bCs/>
          <w:color w:val="002060"/>
          <w:sz w:val="22"/>
          <w:szCs w:val="22"/>
        </w:rPr>
        <w:t xml:space="preserve"> and carbon emissions</w:t>
      </w:r>
    </w:p>
    <w:p w14:paraId="3F1741BF" w14:textId="4CCF7442" w:rsidR="00223850" w:rsidRPr="00223850" w:rsidRDefault="00DE671D" w:rsidP="00D22497">
      <w:pPr>
        <w:pStyle w:val="paragraph"/>
        <w:spacing w:before="0" w:beforeAutospacing="0" w:after="120" w:afterAutospacing="0" w:line="259" w:lineRule="auto"/>
        <w:ind w:left="426"/>
        <w:textAlignment w:val="baseline"/>
        <w:rPr>
          <w:rStyle w:val="normaltextrun"/>
          <w:rFonts w:ascii="Century Gothic" w:hAnsi="Century Gothic" w:cs="Arial"/>
          <w:i/>
          <w:iCs/>
          <w:color w:val="002060"/>
          <w:sz w:val="22"/>
          <w:szCs w:val="22"/>
        </w:rPr>
      </w:pPr>
      <w:r>
        <w:rPr>
          <w:rStyle w:val="normaltextrun"/>
          <w:rFonts w:ascii="Century Gothic" w:hAnsi="Century Gothic" w:cs="Arial"/>
          <w:i/>
          <w:iCs/>
          <w:color w:val="002060"/>
          <w:sz w:val="22"/>
          <w:szCs w:val="22"/>
        </w:rPr>
        <w:t>C</w:t>
      </w:r>
      <w:r w:rsidR="006C6FC5">
        <w:rPr>
          <w:rStyle w:val="normaltextrun"/>
          <w:rFonts w:ascii="Century Gothic" w:hAnsi="Century Gothic" w:cs="Arial"/>
          <w:i/>
          <w:iCs/>
          <w:color w:val="002060"/>
          <w:sz w:val="22"/>
          <w:szCs w:val="22"/>
        </w:rPr>
        <w:t xml:space="preserve">arbon emissions </w:t>
      </w:r>
      <w:r>
        <w:rPr>
          <w:rStyle w:val="normaltextrun"/>
          <w:rFonts w:ascii="Century Gothic" w:hAnsi="Century Gothic" w:cs="Arial"/>
          <w:i/>
          <w:iCs/>
          <w:color w:val="002060"/>
          <w:sz w:val="22"/>
          <w:szCs w:val="22"/>
        </w:rPr>
        <w:t xml:space="preserve">from aviation </w:t>
      </w:r>
      <w:r w:rsidR="0059440C">
        <w:rPr>
          <w:rStyle w:val="normaltextrun"/>
          <w:rFonts w:ascii="Century Gothic" w:hAnsi="Century Gothic" w:cs="Arial"/>
          <w:i/>
          <w:iCs/>
          <w:color w:val="002060"/>
          <w:sz w:val="22"/>
          <w:szCs w:val="22"/>
        </w:rPr>
        <w:t xml:space="preserve">are the fastest growing of all transport sectors and </w:t>
      </w:r>
      <w:r w:rsidR="00FA2EBD">
        <w:rPr>
          <w:rStyle w:val="normaltextrun"/>
          <w:rFonts w:ascii="Century Gothic" w:hAnsi="Century Gothic" w:cs="Arial"/>
          <w:i/>
          <w:iCs/>
          <w:color w:val="002060"/>
          <w:sz w:val="22"/>
          <w:szCs w:val="22"/>
        </w:rPr>
        <w:t xml:space="preserve">currently </w:t>
      </w:r>
      <w:r w:rsidR="00445FE0">
        <w:rPr>
          <w:rStyle w:val="normaltextrun"/>
          <w:rFonts w:ascii="Century Gothic" w:hAnsi="Century Gothic" w:cs="Arial"/>
          <w:i/>
          <w:iCs/>
          <w:color w:val="002060"/>
          <w:sz w:val="22"/>
          <w:szCs w:val="22"/>
        </w:rPr>
        <w:t>contribute 3% to global emissions</w:t>
      </w:r>
      <w:r w:rsidR="00FA2EBD">
        <w:rPr>
          <w:rStyle w:val="normaltextrun"/>
          <w:rFonts w:ascii="Century Gothic" w:hAnsi="Century Gothic" w:cs="Arial"/>
          <w:i/>
          <w:iCs/>
          <w:color w:val="002060"/>
          <w:sz w:val="22"/>
          <w:szCs w:val="22"/>
        </w:rPr>
        <w:t xml:space="preserve"> from energy and industry</w:t>
      </w:r>
      <w:r w:rsidR="00223850">
        <w:rPr>
          <w:rStyle w:val="normaltextrun"/>
          <w:rFonts w:ascii="Century Gothic" w:hAnsi="Century Gothic" w:cs="Arial"/>
          <w:i/>
          <w:iCs/>
          <w:color w:val="002060"/>
          <w:sz w:val="22"/>
          <w:szCs w:val="22"/>
        </w:rPr>
        <w:t>.</w:t>
      </w:r>
    </w:p>
    <w:p w14:paraId="48833073" w14:textId="2E32C019" w:rsidR="00E4107B" w:rsidRDefault="00497EB3" w:rsidP="00D22497">
      <w:pPr>
        <w:pStyle w:val="ListParagraph"/>
        <w:numPr>
          <w:ilvl w:val="1"/>
          <w:numId w:val="1"/>
        </w:numPr>
        <w:spacing w:after="120"/>
        <w:ind w:left="426"/>
        <w:contextualSpacing w:val="0"/>
        <w:rPr>
          <w:rFonts w:ascii="Century Gothic" w:hAnsi="Century Gothic" w:cstheme="minorHAnsi"/>
          <w:sz w:val="20"/>
          <w:szCs w:val="21"/>
        </w:rPr>
      </w:pPr>
      <w:r>
        <w:rPr>
          <w:rFonts w:ascii="Century Gothic" w:hAnsi="Century Gothic" w:cstheme="minorHAnsi"/>
          <w:sz w:val="20"/>
          <w:szCs w:val="21"/>
        </w:rPr>
        <w:t>E</w:t>
      </w:r>
      <w:r w:rsidR="00E4107B" w:rsidRPr="00042C01">
        <w:rPr>
          <w:rFonts w:ascii="Century Gothic" w:hAnsi="Century Gothic" w:cstheme="minorHAnsi"/>
          <w:sz w:val="20"/>
          <w:szCs w:val="21"/>
        </w:rPr>
        <w:t xml:space="preserve">missions from </w:t>
      </w:r>
      <w:r w:rsidR="00C71A24">
        <w:rPr>
          <w:rFonts w:ascii="Century Gothic" w:hAnsi="Century Gothic" w:cstheme="minorHAnsi"/>
          <w:sz w:val="20"/>
          <w:szCs w:val="21"/>
        </w:rPr>
        <w:t xml:space="preserve">the </w:t>
      </w:r>
      <w:r>
        <w:rPr>
          <w:rFonts w:ascii="Century Gothic" w:hAnsi="Century Gothic" w:cstheme="minorHAnsi"/>
          <w:sz w:val="20"/>
          <w:szCs w:val="21"/>
        </w:rPr>
        <w:t>aviation</w:t>
      </w:r>
      <w:r w:rsidR="00E4107B" w:rsidRPr="00042C01">
        <w:rPr>
          <w:rFonts w:ascii="Century Gothic" w:hAnsi="Century Gothic" w:cstheme="minorHAnsi"/>
          <w:sz w:val="20"/>
          <w:szCs w:val="21"/>
        </w:rPr>
        <w:t xml:space="preserve"> industry currently amount to circa </w:t>
      </w:r>
      <w:r>
        <w:rPr>
          <w:rFonts w:ascii="Century Gothic" w:hAnsi="Century Gothic" w:cstheme="minorHAnsi"/>
          <w:sz w:val="20"/>
          <w:szCs w:val="21"/>
        </w:rPr>
        <w:t>1Gt</w:t>
      </w:r>
      <w:r w:rsidR="00E4107B" w:rsidRPr="00042C01">
        <w:rPr>
          <w:rFonts w:ascii="Century Gothic" w:hAnsi="Century Gothic" w:cstheme="minorHAnsi"/>
          <w:sz w:val="20"/>
          <w:szCs w:val="21"/>
        </w:rPr>
        <w:t xml:space="preserve"> </w:t>
      </w:r>
      <w:r w:rsidR="001C1A74">
        <w:rPr>
          <w:rFonts w:ascii="Century Gothic" w:hAnsi="Century Gothic" w:cstheme="minorHAnsi"/>
          <w:sz w:val="20"/>
          <w:szCs w:val="21"/>
        </w:rPr>
        <w:t>CO2</w:t>
      </w:r>
      <w:r w:rsidR="00E4107B" w:rsidRPr="00042C01">
        <w:rPr>
          <w:rFonts w:ascii="Century Gothic" w:hAnsi="Century Gothic" w:cstheme="minorHAnsi"/>
          <w:sz w:val="20"/>
          <w:szCs w:val="21"/>
        </w:rPr>
        <w:t xml:space="preserve">, accounting for </w:t>
      </w:r>
      <w:r w:rsidR="00DA0447">
        <w:rPr>
          <w:rFonts w:ascii="Century Gothic" w:hAnsi="Century Gothic" w:cstheme="minorHAnsi"/>
          <w:sz w:val="20"/>
          <w:szCs w:val="21"/>
        </w:rPr>
        <w:t>3</w:t>
      </w:r>
      <w:r w:rsidR="00E4107B" w:rsidRPr="00042C01">
        <w:rPr>
          <w:rFonts w:ascii="Century Gothic" w:hAnsi="Century Gothic" w:cstheme="minorHAnsi"/>
          <w:sz w:val="20"/>
          <w:szCs w:val="21"/>
        </w:rPr>
        <w:t>% of total global emissions</w:t>
      </w:r>
      <w:r w:rsidR="0010311B">
        <w:rPr>
          <w:rFonts w:ascii="Century Gothic" w:hAnsi="Century Gothic" w:cstheme="minorHAnsi"/>
          <w:sz w:val="20"/>
          <w:szCs w:val="21"/>
        </w:rPr>
        <w:t xml:space="preserve"> and having grown more than 4%</w:t>
      </w:r>
      <w:r w:rsidR="00115E45">
        <w:rPr>
          <w:rFonts w:ascii="Century Gothic" w:hAnsi="Century Gothic" w:cstheme="minorHAnsi"/>
          <w:sz w:val="20"/>
          <w:szCs w:val="21"/>
        </w:rPr>
        <w:t xml:space="preserve"> per annum</w:t>
      </w:r>
      <w:r w:rsidR="0010311B">
        <w:rPr>
          <w:rFonts w:ascii="Century Gothic" w:hAnsi="Century Gothic" w:cstheme="minorHAnsi"/>
          <w:sz w:val="20"/>
          <w:szCs w:val="21"/>
        </w:rPr>
        <w:t xml:space="preserve"> in five of the last six years.</w:t>
      </w:r>
      <w:r w:rsidR="00C55C46">
        <w:rPr>
          <w:rFonts w:ascii="Century Gothic" w:hAnsi="Century Gothic" w:cstheme="minorHAnsi"/>
          <w:sz w:val="20"/>
          <w:szCs w:val="21"/>
        </w:rPr>
        <w:t xml:space="preserve"> U</w:t>
      </w:r>
      <w:r w:rsidR="00E4107B" w:rsidRPr="00042C01">
        <w:rPr>
          <w:rFonts w:ascii="Century Gothic" w:hAnsi="Century Gothic" w:cstheme="minorHAnsi"/>
          <w:sz w:val="20"/>
          <w:szCs w:val="21"/>
        </w:rPr>
        <w:t xml:space="preserve">nder a business-as-usual scenario, they </w:t>
      </w:r>
      <w:r w:rsidR="00115E45">
        <w:rPr>
          <w:rFonts w:ascii="Century Gothic" w:hAnsi="Century Gothic" w:cstheme="minorHAnsi"/>
          <w:sz w:val="20"/>
          <w:szCs w:val="21"/>
        </w:rPr>
        <w:t>c</w:t>
      </w:r>
      <w:r w:rsidR="00E4107B" w:rsidRPr="00042C01">
        <w:rPr>
          <w:rFonts w:ascii="Century Gothic" w:hAnsi="Century Gothic" w:cstheme="minorHAnsi"/>
          <w:sz w:val="20"/>
          <w:szCs w:val="21"/>
        </w:rPr>
        <w:t xml:space="preserve">ould </w:t>
      </w:r>
      <w:r w:rsidR="00C55C46">
        <w:rPr>
          <w:rFonts w:ascii="Century Gothic" w:hAnsi="Century Gothic" w:cstheme="minorHAnsi"/>
          <w:sz w:val="20"/>
          <w:szCs w:val="21"/>
        </w:rPr>
        <w:t xml:space="preserve">further </w:t>
      </w:r>
      <w:r w:rsidR="00115E45">
        <w:rPr>
          <w:rFonts w:ascii="Century Gothic" w:hAnsi="Century Gothic" w:cstheme="minorHAnsi"/>
          <w:sz w:val="20"/>
          <w:szCs w:val="21"/>
        </w:rPr>
        <w:t>reach</w:t>
      </w:r>
      <w:r w:rsidR="00E4107B" w:rsidRPr="00042C01">
        <w:rPr>
          <w:rFonts w:ascii="Century Gothic" w:hAnsi="Century Gothic" w:cstheme="minorHAnsi"/>
          <w:sz w:val="20"/>
          <w:szCs w:val="21"/>
        </w:rPr>
        <w:t xml:space="preserve"> </w:t>
      </w:r>
      <w:r w:rsidR="00DA0447">
        <w:rPr>
          <w:rFonts w:ascii="Century Gothic" w:hAnsi="Century Gothic" w:cstheme="minorHAnsi"/>
          <w:sz w:val="20"/>
          <w:szCs w:val="21"/>
        </w:rPr>
        <w:t>1.8</w:t>
      </w:r>
      <w:r w:rsidR="00E4107B" w:rsidRPr="00042C01">
        <w:rPr>
          <w:rFonts w:ascii="Century Gothic" w:hAnsi="Century Gothic" w:cstheme="minorHAnsi"/>
          <w:sz w:val="20"/>
          <w:szCs w:val="21"/>
        </w:rPr>
        <w:t>Gt by 20</w:t>
      </w:r>
      <w:bookmarkStart w:id="0" w:name="_GoBack"/>
      <w:bookmarkEnd w:id="0"/>
      <w:r w:rsidR="00E4107B" w:rsidRPr="00042C01">
        <w:rPr>
          <w:rFonts w:ascii="Century Gothic" w:hAnsi="Century Gothic" w:cstheme="minorHAnsi"/>
          <w:sz w:val="20"/>
          <w:szCs w:val="21"/>
        </w:rPr>
        <w:t xml:space="preserve">50, representing </w:t>
      </w:r>
      <w:r w:rsidR="00DA0447">
        <w:rPr>
          <w:rFonts w:ascii="Century Gothic" w:hAnsi="Century Gothic" w:cstheme="minorHAnsi"/>
          <w:sz w:val="20"/>
          <w:szCs w:val="21"/>
        </w:rPr>
        <w:t>&gt;4</w:t>
      </w:r>
      <w:r w:rsidR="00E4107B" w:rsidRPr="00042C01">
        <w:rPr>
          <w:rFonts w:ascii="Century Gothic" w:hAnsi="Century Gothic" w:cstheme="minorHAnsi"/>
          <w:sz w:val="20"/>
          <w:szCs w:val="21"/>
        </w:rPr>
        <w:t xml:space="preserve">% of global emissions and </w:t>
      </w:r>
      <w:r w:rsidR="00DA0447">
        <w:rPr>
          <w:rFonts w:ascii="Century Gothic" w:hAnsi="Century Gothic" w:cstheme="minorHAnsi"/>
          <w:sz w:val="20"/>
          <w:szCs w:val="21"/>
        </w:rPr>
        <w:t>14</w:t>
      </w:r>
      <w:r w:rsidR="00E4107B" w:rsidRPr="00042C01">
        <w:rPr>
          <w:rFonts w:ascii="Century Gothic" w:hAnsi="Century Gothic" w:cstheme="minorHAnsi"/>
          <w:sz w:val="20"/>
          <w:szCs w:val="21"/>
        </w:rPr>
        <w:t xml:space="preserve">% of </w:t>
      </w:r>
      <w:r w:rsidR="00DA0447">
        <w:rPr>
          <w:rFonts w:ascii="Century Gothic" w:hAnsi="Century Gothic" w:cstheme="minorHAnsi"/>
          <w:sz w:val="20"/>
          <w:szCs w:val="21"/>
        </w:rPr>
        <w:t>transport</w:t>
      </w:r>
      <w:r w:rsidR="00E4107B" w:rsidRPr="00042C01">
        <w:rPr>
          <w:rFonts w:ascii="Century Gothic" w:hAnsi="Century Gothic" w:cstheme="minorHAnsi"/>
          <w:sz w:val="20"/>
          <w:szCs w:val="21"/>
        </w:rPr>
        <w:t xml:space="preserve"> sector emissions</w:t>
      </w:r>
      <w:bookmarkStart w:id="1" w:name="_Ref16666161"/>
      <w:r w:rsidR="00B55356">
        <w:rPr>
          <w:rStyle w:val="FootnoteReference"/>
          <w:rFonts w:ascii="Century Gothic" w:hAnsi="Century Gothic" w:cstheme="minorHAnsi"/>
          <w:sz w:val="20"/>
          <w:szCs w:val="21"/>
        </w:rPr>
        <w:footnoteReference w:id="2"/>
      </w:r>
      <w:bookmarkEnd w:id="1"/>
      <w:r w:rsidR="00E4107B" w:rsidRPr="00042C01">
        <w:rPr>
          <w:rFonts w:ascii="Century Gothic" w:hAnsi="Century Gothic" w:cstheme="minorHAnsi"/>
          <w:sz w:val="20"/>
          <w:szCs w:val="21"/>
        </w:rPr>
        <w:t>.</w:t>
      </w:r>
    </w:p>
    <w:p w14:paraId="5950E72B" w14:textId="21334756" w:rsidR="00B05B67" w:rsidRDefault="00BA73FE" w:rsidP="00D22497">
      <w:pPr>
        <w:pStyle w:val="ListParagraph"/>
        <w:numPr>
          <w:ilvl w:val="1"/>
          <w:numId w:val="1"/>
        </w:numPr>
        <w:spacing w:after="120"/>
        <w:ind w:left="426"/>
        <w:contextualSpacing w:val="0"/>
        <w:rPr>
          <w:rFonts w:ascii="Century Gothic" w:hAnsi="Century Gothic" w:cstheme="minorHAnsi"/>
          <w:sz w:val="20"/>
          <w:szCs w:val="21"/>
        </w:rPr>
      </w:pPr>
      <w:r w:rsidRPr="00BA73FE">
        <w:rPr>
          <w:rFonts w:ascii="Century Gothic" w:hAnsi="Century Gothic" w:cstheme="minorHAnsi"/>
          <w:sz w:val="20"/>
          <w:szCs w:val="21"/>
        </w:rPr>
        <w:t>Beside carbon emissions from fuel combustion, aviation yields other non-CO2 greenhouse</w:t>
      </w:r>
      <w:r>
        <w:rPr>
          <w:rFonts w:ascii="Century Gothic" w:hAnsi="Century Gothic" w:cstheme="minorHAnsi"/>
          <w:sz w:val="20"/>
          <w:szCs w:val="21"/>
        </w:rPr>
        <w:t xml:space="preserve"> </w:t>
      </w:r>
      <w:r w:rsidRPr="00BA73FE">
        <w:rPr>
          <w:rFonts w:ascii="Century Gothic" w:hAnsi="Century Gothic" w:cstheme="minorHAnsi"/>
          <w:sz w:val="20"/>
          <w:szCs w:val="21"/>
        </w:rPr>
        <w:t xml:space="preserve">gases with global warming effects. </w:t>
      </w:r>
      <w:r w:rsidR="00B869FC">
        <w:rPr>
          <w:rFonts w:ascii="Century Gothic" w:hAnsi="Century Gothic" w:cstheme="minorHAnsi"/>
          <w:sz w:val="20"/>
          <w:szCs w:val="21"/>
        </w:rPr>
        <w:t xml:space="preserve">It is estimated that CO2 only accounts for </w:t>
      </w:r>
      <w:r w:rsidR="00281315">
        <w:rPr>
          <w:rFonts w:ascii="Century Gothic" w:hAnsi="Century Gothic" w:cstheme="minorHAnsi"/>
          <w:sz w:val="20"/>
          <w:szCs w:val="21"/>
        </w:rPr>
        <w:t>40% of total climate change relevant impacts</w:t>
      </w:r>
      <w:r w:rsidR="001E300E">
        <w:rPr>
          <w:rFonts w:ascii="Century Gothic" w:hAnsi="Century Gothic" w:cstheme="minorHAnsi"/>
          <w:sz w:val="20"/>
          <w:szCs w:val="21"/>
        </w:rPr>
        <w:t xml:space="preserve"> of aviation</w:t>
      </w:r>
      <w:r w:rsidR="00281315">
        <w:rPr>
          <w:rFonts w:ascii="Century Gothic" w:hAnsi="Century Gothic" w:cstheme="minorHAnsi"/>
          <w:sz w:val="20"/>
          <w:szCs w:val="21"/>
        </w:rPr>
        <w:t xml:space="preserve">, </w:t>
      </w:r>
      <w:r w:rsidR="003018A8">
        <w:rPr>
          <w:rFonts w:ascii="Century Gothic" w:hAnsi="Century Gothic" w:cstheme="minorHAnsi"/>
          <w:sz w:val="20"/>
          <w:szCs w:val="21"/>
        </w:rPr>
        <w:t xml:space="preserve">the remaining </w:t>
      </w:r>
      <w:r w:rsidR="00ED6A21">
        <w:rPr>
          <w:rFonts w:ascii="Century Gothic" w:hAnsi="Century Gothic" w:cstheme="minorHAnsi"/>
          <w:sz w:val="20"/>
          <w:szCs w:val="21"/>
        </w:rPr>
        <w:t xml:space="preserve">made up of, </w:t>
      </w:r>
      <w:r w:rsidR="00281315">
        <w:rPr>
          <w:rFonts w:ascii="Century Gothic" w:hAnsi="Century Gothic" w:cstheme="minorHAnsi"/>
          <w:sz w:val="20"/>
          <w:szCs w:val="21"/>
        </w:rPr>
        <w:t xml:space="preserve">e.g., </w:t>
      </w:r>
      <w:r w:rsidRPr="00BA73FE">
        <w:rPr>
          <w:rFonts w:ascii="Century Gothic" w:hAnsi="Century Gothic" w:cstheme="minorHAnsi"/>
          <w:sz w:val="20"/>
          <w:szCs w:val="21"/>
        </w:rPr>
        <w:t>NOX, water vapor, sulphate particles, soot</w:t>
      </w:r>
      <w:r>
        <w:rPr>
          <w:rFonts w:ascii="Century Gothic" w:hAnsi="Century Gothic" w:cstheme="minorHAnsi"/>
          <w:sz w:val="20"/>
          <w:szCs w:val="21"/>
        </w:rPr>
        <w:t xml:space="preserve"> </w:t>
      </w:r>
      <w:r w:rsidRPr="00BA73FE">
        <w:rPr>
          <w:rFonts w:ascii="Century Gothic" w:hAnsi="Century Gothic" w:cstheme="minorHAnsi"/>
          <w:sz w:val="20"/>
          <w:szCs w:val="21"/>
        </w:rPr>
        <w:t xml:space="preserve">particles and </w:t>
      </w:r>
      <w:r w:rsidR="00281315">
        <w:rPr>
          <w:rFonts w:ascii="Century Gothic" w:hAnsi="Century Gothic" w:cstheme="minorHAnsi"/>
          <w:sz w:val="20"/>
          <w:szCs w:val="21"/>
        </w:rPr>
        <w:t xml:space="preserve">contrail </w:t>
      </w:r>
      <w:r w:rsidRPr="00BA73FE">
        <w:rPr>
          <w:rFonts w:ascii="Century Gothic" w:hAnsi="Century Gothic" w:cstheme="minorHAnsi"/>
          <w:sz w:val="20"/>
          <w:szCs w:val="21"/>
        </w:rPr>
        <w:t>formation depending on atmospheric conditions</w:t>
      </w:r>
      <w:r w:rsidR="001E300E">
        <w:rPr>
          <w:rStyle w:val="FootnoteReference"/>
          <w:rFonts w:ascii="Century Gothic" w:hAnsi="Century Gothic" w:cstheme="minorHAnsi"/>
          <w:sz w:val="20"/>
          <w:szCs w:val="21"/>
        </w:rPr>
        <w:footnoteReference w:id="3"/>
      </w:r>
      <w:r w:rsidRPr="00BA73FE">
        <w:rPr>
          <w:rFonts w:ascii="Century Gothic" w:hAnsi="Century Gothic" w:cstheme="minorHAnsi"/>
          <w:sz w:val="20"/>
          <w:szCs w:val="21"/>
        </w:rPr>
        <w:t>.</w:t>
      </w:r>
    </w:p>
    <w:p w14:paraId="7609AA1D" w14:textId="77777777" w:rsidR="001A682D" w:rsidRDefault="00471F7E" w:rsidP="00D22497">
      <w:pPr>
        <w:pStyle w:val="ListParagraph"/>
        <w:numPr>
          <w:ilvl w:val="1"/>
          <w:numId w:val="1"/>
        </w:numPr>
        <w:spacing w:after="120"/>
        <w:ind w:left="426"/>
        <w:contextualSpacing w:val="0"/>
        <w:rPr>
          <w:rFonts w:ascii="Century Gothic" w:hAnsi="Century Gothic" w:cstheme="minorHAnsi"/>
          <w:sz w:val="20"/>
          <w:szCs w:val="21"/>
        </w:rPr>
      </w:pPr>
      <w:r w:rsidRPr="00773DF4">
        <w:rPr>
          <w:rFonts w:ascii="Century Gothic" w:hAnsi="Century Gothic" w:cstheme="minorHAnsi"/>
          <w:sz w:val="20"/>
          <w:szCs w:val="21"/>
        </w:rPr>
        <w:t>Passenger</w:t>
      </w:r>
      <w:r w:rsidRPr="00B05B67">
        <w:rPr>
          <w:rFonts w:ascii="Century Gothic" w:hAnsi="Century Gothic" w:cstheme="minorHAnsi"/>
          <w:sz w:val="20"/>
          <w:szCs w:val="21"/>
        </w:rPr>
        <w:t xml:space="preserve"> traffic represents nearly 90% of global carbon emissions from aviation. Passenger</w:t>
      </w:r>
      <w:r w:rsidR="00CB1250">
        <w:rPr>
          <w:rFonts w:ascii="Century Gothic" w:hAnsi="Century Gothic" w:cstheme="minorHAnsi"/>
          <w:sz w:val="20"/>
          <w:szCs w:val="21"/>
        </w:rPr>
        <w:t>-</w:t>
      </w:r>
      <w:r w:rsidRPr="00B05B67">
        <w:rPr>
          <w:rFonts w:ascii="Century Gothic" w:hAnsi="Century Gothic" w:cstheme="minorHAnsi"/>
          <w:sz w:val="20"/>
          <w:szCs w:val="21"/>
        </w:rPr>
        <w:t>kilometres have increased by a factor of 12 since 1970</w:t>
      </w:r>
      <w:r w:rsidR="000D70ED">
        <w:rPr>
          <w:rFonts w:ascii="Century Gothic" w:hAnsi="Century Gothic" w:cstheme="minorHAnsi"/>
          <w:sz w:val="20"/>
          <w:szCs w:val="21"/>
        </w:rPr>
        <w:t xml:space="preserve">, by more than </w:t>
      </w:r>
      <w:r w:rsidR="007E13E2">
        <w:rPr>
          <w:rFonts w:ascii="Century Gothic" w:hAnsi="Century Gothic" w:cstheme="minorHAnsi"/>
          <w:sz w:val="20"/>
          <w:szCs w:val="21"/>
        </w:rPr>
        <w:t xml:space="preserve">5.5% every year since 2013, </w:t>
      </w:r>
      <w:r w:rsidRPr="00B05B67">
        <w:rPr>
          <w:rFonts w:ascii="Century Gothic" w:hAnsi="Century Gothic" w:cstheme="minorHAnsi"/>
          <w:sz w:val="20"/>
          <w:szCs w:val="21"/>
        </w:rPr>
        <w:t xml:space="preserve">and are forecasted to grow by another </w:t>
      </w:r>
      <w:r w:rsidR="00033190" w:rsidRPr="00B05B67">
        <w:rPr>
          <w:rFonts w:ascii="Century Gothic" w:hAnsi="Century Gothic" w:cstheme="minorHAnsi"/>
          <w:sz w:val="20"/>
          <w:szCs w:val="21"/>
        </w:rPr>
        <w:t>238% by 2050 in a business-as-usual scenario</w:t>
      </w:r>
      <w:r w:rsidR="00773DF4">
        <w:rPr>
          <w:rStyle w:val="FootnoteReference"/>
          <w:rFonts w:ascii="Century Gothic" w:hAnsi="Century Gothic" w:cstheme="minorHAnsi"/>
          <w:sz w:val="20"/>
          <w:szCs w:val="21"/>
        </w:rPr>
        <w:footnoteReference w:id="4"/>
      </w:r>
      <w:r w:rsidR="00033190" w:rsidRPr="00B05B67">
        <w:rPr>
          <w:rFonts w:ascii="Century Gothic" w:hAnsi="Century Gothic" w:cstheme="minorHAnsi"/>
          <w:sz w:val="20"/>
          <w:szCs w:val="21"/>
        </w:rPr>
        <w:t>.</w:t>
      </w:r>
      <w:r w:rsidR="00773DF4" w:rsidRPr="00773DF4">
        <w:rPr>
          <w:rFonts w:ascii="Century Gothic" w:hAnsi="Century Gothic" w:cstheme="minorHAnsi"/>
          <w:sz w:val="20"/>
          <w:szCs w:val="21"/>
        </w:rPr>
        <w:t xml:space="preserve"> </w:t>
      </w:r>
      <w:r w:rsidR="00773DF4">
        <w:rPr>
          <w:rFonts w:ascii="Century Gothic" w:hAnsi="Century Gothic" w:cstheme="minorHAnsi"/>
          <w:sz w:val="20"/>
          <w:szCs w:val="21"/>
        </w:rPr>
        <w:t xml:space="preserve">Growth of aviation passenger numbers is highly </w:t>
      </w:r>
      <w:r w:rsidR="00CB1250">
        <w:rPr>
          <w:rFonts w:ascii="Century Gothic" w:hAnsi="Century Gothic" w:cstheme="minorHAnsi"/>
          <w:sz w:val="20"/>
          <w:szCs w:val="21"/>
        </w:rPr>
        <w:t>correlated with</w:t>
      </w:r>
      <w:r w:rsidR="00773DF4">
        <w:rPr>
          <w:rFonts w:ascii="Century Gothic" w:hAnsi="Century Gothic" w:cstheme="minorHAnsi"/>
          <w:sz w:val="20"/>
          <w:szCs w:val="21"/>
        </w:rPr>
        <w:t xml:space="preserve"> GDP per capita, as Exhibit 1 shows.</w:t>
      </w:r>
      <w:r w:rsidR="00556CB7" w:rsidRPr="00556CB7">
        <w:rPr>
          <w:rFonts w:ascii="Century Gothic" w:hAnsi="Century Gothic" w:cstheme="minorHAnsi"/>
          <w:sz w:val="20"/>
          <w:szCs w:val="21"/>
        </w:rPr>
        <w:t xml:space="preserve"> </w:t>
      </w:r>
      <w:r w:rsidR="00556CB7" w:rsidRPr="00B05B67">
        <w:rPr>
          <w:rFonts w:ascii="Century Gothic" w:hAnsi="Century Gothic" w:cstheme="minorHAnsi"/>
          <w:sz w:val="20"/>
          <w:szCs w:val="21"/>
        </w:rPr>
        <w:t>Asia-Pacific will account for more than half of new passengers by 2036.</w:t>
      </w:r>
    </w:p>
    <w:p w14:paraId="38495EDD" w14:textId="0AFB72E9" w:rsidR="004832F0" w:rsidRDefault="004832F0" w:rsidP="00D22497">
      <w:pPr>
        <w:pStyle w:val="ListParagraph"/>
        <w:numPr>
          <w:ilvl w:val="1"/>
          <w:numId w:val="1"/>
        </w:numPr>
        <w:spacing w:after="120"/>
        <w:ind w:left="426"/>
        <w:contextualSpacing w:val="0"/>
        <w:rPr>
          <w:rFonts w:ascii="Century Gothic" w:hAnsi="Century Gothic" w:cstheme="minorHAnsi"/>
          <w:sz w:val="20"/>
          <w:szCs w:val="21"/>
        </w:rPr>
      </w:pPr>
      <w:r w:rsidRPr="001A682D">
        <w:rPr>
          <w:rFonts w:ascii="Century Gothic" w:hAnsi="Century Gothic" w:cstheme="minorHAnsi"/>
          <w:sz w:val="20"/>
          <w:szCs w:val="21"/>
        </w:rPr>
        <w:t>Freight traffic is forecasted to double by 2036, with belly and dedicated freight volumes rising significantly</w:t>
      </w:r>
      <w:r w:rsidR="00773DF4">
        <w:rPr>
          <w:rStyle w:val="FootnoteReference"/>
          <w:rFonts w:ascii="Century Gothic" w:hAnsi="Century Gothic" w:cstheme="minorHAnsi"/>
          <w:sz w:val="20"/>
          <w:szCs w:val="21"/>
        </w:rPr>
        <w:footnoteReference w:id="5"/>
      </w:r>
      <w:r w:rsidRPr="001A682D">
        <w:rPr>
          <w:rFonts w:ascii="Century Gothic" w:hAnsi="Century Gothic" w:cstheme="minorHAnsi"/>
          <w:sz w:val="20"/>
          <w:szCs w:val="21"/>
        </w:rPr>
        <w:t>.</w:t>
      </w:r>
    </w:p>
    <w:p w14:paraId="73AAF629" w14:textId="57F62A2F" w:rsidR="004C23F9" w:rsidRDefault="004C23F9" w:rsidP="00D22497">
      <w:pPr>
        <w:pStyle w:val="ListParagraph"/>
        <w:numPr>
          <w:ilvl w:val="1"/>
          <w:numId w:val="1"/>
        </w:numPr>
        <w:spacing w:after="120"/>
        <w:ind w:left="426"/>
        <w:contextualSpacing w:val="0"/>
        <w:rPr>
          <w:rFonts w:ascii="Century Gothic" w:hAnsi="Century Gothic" w:cstheme="minorHAnsi"/>
          <w:sz w:val="20"/>
          <w:szCs w:val="21"/>
        </w:rPr>
      </w:pPr>
      <w:r w:rsidRPr="00773DF4">
        <w:rPr>
          <w:rFonts w:ascii="Century Gothic" w:hAnsi="Century Gothic" w:cstheme="minorHAnsi"/>
          <w:sz w:val="20"/>
          <w:szCs w:val="21"/>
        </w:rPr>
        <w:t xml:space="preserve">Domestic </w:t>
      </w:r>
      <w:r w:rsidRPr="00B05B67">
        <w:rPr>
          <w:rFonts w:ascii="Century Gothic" w:hAnsi="Century Gothic" w:cstheme="minorHAnsi"/>
          <w:sz w:val="20"/>
          <w:szCs w:val="21"/>
        </w:rPr>
        <w:t>flights account for the majority of passenger</w:t>
      </w:r>
      <w:r>
        <w:rPr>
          <w:rFonts w:ascii="Century Gothic" w:hAnsi="Century Gothic" w:cstheme="minorHAnsi"/>
          <w:sz w:val="20"/>
          <w:szCs w:val="21"/>
        </w:rPr>
        <w:t>-</w:t>
      </w:r>
      <w:r w:rsidRPr="00B05B67">
        <w:rPr>
          <w:rFonts w:ascii="Century Gothic" w:hAnsi="Century Gothic" w:cstheme="minorHAnsi"/>
          <w:sz w:val="20"/>
          <w:szCs w:val="21"/>
        </w:rPr>
        <w:t>km today, but</w:t>
      </w:r>
      <w:r>
        <w:rPr>
          <w:rFonts w:ascii="Century Gothic" w:hAnsi="Century Gothic" w:cstheme="minorHAnsi"/>
          <w:sz w:val="20"/>
          <w:szCs w:val="21"/>
        </w:rPr>
        <w:t>,</w:t>
      </w:r>
      <w:r w:rsidRPr="00B05B67">
        <w:rPr>
          <w:rFonts w:ascii="Century Gothic" w:hAnsi="Century Gothic" w:cstheme="minorHAnsi"/>
          <w:sz w:val="20"/>
          <w:szCs w:val="21"/>
        </w:rPr>
        <w:t xml:space="preserve"> from the 2020s onwards, </w:t>
      </w:r>
      <w:r w:rsidRPr="00CB1250">
        <w:rPr>
          <w:rFonts w:ascii="Century Gothic" w:hAnsi="Century Gothic" w:cstheme="minorHAnsi"/>
          <w:sz w:val="20"/>
          <w:szCs w:val="21"/>
        </w:rPr>
        <w:t>international</w:t>
      </w:r>
      <w:r w:rsidRPr="00B05B67">
        <w:rPr>
          <w:rFonts w:ascii="Century Gothic" w:hAnsi="Century Gothic" w:cstheme="minorHAnsi"/>
          <w:sz w:val="20"/>
          <w:szCs w:val="21"/>
        </w:rPr>
        <w:t xml:space="preserve"> travel </w:t>
      </w:r>
      <w:r>
        <w:rPr>
          <w:rFonts w:ascii="Century Gothic" w:hAnsi="Century Gothic" w:cstheme="minorHAnsi"/>
          <w:sz w:val="20"/>
          <w:szCs w:val="21"/>
        </w:rPr>
        <w:t>is expected to have</w:t>
      </w:r>
      <w:r w:rsidRPr="00B05B67">
        <w:rPr>
          <w:rFonts w:ascii="Century Gothic" w:hAnsi="Century Gothic" w:cstheme="minorHAnsi"/>
          <w:sz w:val="20"/>
          <w:szCs w:val="21"/>
        </w:rPr>
        <w:t xml:space="preserve"> outgrown domestic travel. By 2040, international flights are expected to represent 1.5 times domestic passenger numbers.</w:t>
      </w:r>
    </w:p>
    <w:p w14:paraId="0246CEB6" w14:textId="107B98B7" w:rsidR="000B0C1A" w:rsidRPr="000B0C1A" w:rsidRDefault="00D037BC" w:rsidP="00D22497">
      <w:pPr>
        <w:pStyle w:val="ListParagraph"/>
        <w:numPr>
          <w:ilvl w:val="1"/>
          <w:numId w:val="1"/>
        </w:numPr>
        <w:spacing w:after="120"/>
        <w:ind w:left="426"/>
        <w:contextualSpacing w:val="0"/>
        <w:rPr>
          <w:rFonts w:ascii="Century Gothic" w:hAnsi="Century Gothic" w:cstheme="minorHAnsi"/>
          <w:sz w:val="20"/>
          <w:szCs w:val="21"/>
        </w:rPr>
      </w:pPr>
      <w:r>
        <w:rPr>
          <w:rFonts w:ascii="Century Gothic" w:hAnsi="Century Gothic" w:cstheme="minorHAnsi"/>
          <w:sz w:val="20"/>
          <w:szCs w:val="21"/>
        </w:rPr>
        <w:t xml:space="preserve">Depending on the region/market segment, business </w:t>
      </w:r>
      <w:r w:rsidR="00BA28B4">
        <w:rPr>
          <w:rFonts w:ascii="Century Gothic" w:hAnsi="Century Gothic" w:cstheme="minorHAnsi"/>
          <w:sz w:val="20"/>
          <w:szCs w:val="21"/>
        </w:rPr>
        <w:t xml:space="preserve">travels </w:t>
      </w:r>
      <w:r w:rsidR="000B0C1A">
        <w:rPr>
          <w:rFonts w:ascii="Century Gothic" w:hAnsi="Century Gothic" w:cstheme="minorHAnsi"/>
          <w:sz w:val="20"/>
          <w:szCs w:val="21"/>
        </w:rPr>
        <w:t xml:space="preserve">represent </w:t>
      </w:r>
      <w:r w:rsidR="00BA28B4">
        <w:rPr>
          <w:rFonts w:ascii="Century Gothic" w:hAnsi="Century Gothic" w:cstheme="minorHAnsi"/>
          <w:sz w:val="20"/>
          <w:szCs w:val="21"/>
        </w:rPr>
        <w:t>10-30</w:t>
      </w:r>
      <w:r>
        <w:rPr>
          <w:rFonts w:ascii="Century Gothic" w:hAnsi="Century Gothic" w:cstheme="minorHAnsi"/>
          <w:sz w:val="20"/>
          <w:szCs w:val="21"/>
        </w:rPr>
        <w:t xml:space="preserve">% of </w:t>
      </w:r>
      <w:r w:rsidR="00C14209">
        <w:rPr>
          <w:rFonts w:ascii="Century Gothic" w:hAnsi="Century Gothic" w:cstheme="minorHAnsi"/>
          <w:sz w:val="20"/>
          <w:szCs w:val="21"/>
        </w:rPr>
        <w:t xml:space="preserve">flights vs. </w:t>
      </w:r>
      <w:r w:rsidR="00BA28B4">
        <w:rPr>
          <w:rFonts w:ascii="Century Gothic" w:hAnsi="Century Gothic" w:cstheme="minorHAnsi"/>
          <w:sz w:val="20"/>
          <w:szCs w:val="21"/>
        </w:rPr>
        <w:t>70-90</w:t>
      </w:r>
      <w:r w:rsidR="00C14209">
        <w:rPr>
          <w:rFonts w:ascii="Century Gothic" w:hAnsi="Century Gothic" w:cstheme="minorHAnsi"/>
          <w:sz w:val="20"/>
          <w:szCs w:val="21"/>
        </w:rPr>
        <w:t xml:space="preserve">% for </w:t>
      </w:r>
      <w:r w:rsidR="00BA28B4">
        <w:rPr>
          <w:rFonts w:ascii="Century Gothic" w:hAnsi="Century Gothic" w:cstheme="minorHAnsi"/>
          <w:sz w:val="20"/>
          <w:szCs w:val="21"/>
        </w:rPr>
        <w:t>leisure/</w:t>
      </w:r>
      <w:r w:rsidR="00C14209">
        <w:rPr>
          <w:rFonts w:ascii="Century Gothic" w:hAnsi="Century Gothic" w:cstheme="minorHAnsi"/>
          <w:sz w:val="20"/>
          <w:szCs w:val="21"/>
        </w:rPr>
        <w:t xml:space="preserve">private </w:t>
      </w:r>
      <w:r w:rsidR="00BA28B4">
        <w:rPr>
          <w:rFonts w:ascii="Century Gothic" w:hAnsi="Century Gothic" w:cstheme="minorHAnsi"/>
          <w:sz w:val="20"/>
          <w:szCs w:val="21"/>
        </w:rPr>
        <w:t>travel</w:t>
      </w:r>
      <w:r w:rsidR="00C14209">
        <w:rPr>
          <w:rFonts w:ascii="Century Gothic" w:hAnsi="Century Gothic" w:cstheme="minorHAnsi"/>
          <w:sz w:val="20"/>
          <w:szCs w:val="21"/>
        </w:rPr>
        <w:t>.</w:t>
      </w:r>
      <w:r w:rsidR="00074FB3" w:rsidRPr="000B0C1A">
        <w:rPr>
          <w:rFonts w:ascii="Century Gothic" w:hAnsi="Century Gothic" w:cstheme="minorHAnsi"/>
          <w:sz w:val="20"/>
          <w:szCs w:val="21"/>
        </w:rPr>
        <w:t xml:space="preserve"> </w:t>
      </w:r>
      <w:r w:rsidR="000B0C1A">
        <w:rPr>
          <w:rFonts w:ascii="Century Gothic" w:hAnsi="Century Gothic" w:cstheme="minorHAnsi"/>
          <w:sz w:val="20"/>
          <w:szCs w:val="21"/>
        </w:rPr>
        <w:t xml:space="preserve">However, </w:t>
      </w:r>
      <w:r w:rsidR="00074FB3" w:rsidRPr="000B0C1A">
        <w:rPr>
          <w:rFonts w:ascii="Century Gothic" w:hAnsi="Century Gothic" w:cstheme="minorHAnsi"/>
          <w:sz w:val="20"/>
          <w:szCs w:val="21"/>
        </w:rPr>
        <w:t>they are typically twice as profitable</w:t>
      </w:r>
      <w:r w:rsidR="00887CBA">
        <w:rPr>
          <w:rFonts w:ascii="Century Gothic" w:hAnsi="Century Gothic" w:cstheme="minorHAnsi"/>
          <w:sz w:val="20"/>
          <w:szCs w:val="21"/>
        </w:rPr>
        <w:t xml:space="preserve"> and can sometimes represent up to</w:t>
      </w:r>
      <w:r w:rsidR="00074FB3" w:rsidRPr="000B0C1A">
        <w:rPr>
          <w:rFonts w:ascii="Century Gothic" w:hAnsi="Century Gothic" w:cstheme="minorHAnsi"/>
          <w:sz w:val="20"/>
          <w:szCs w:val="21"/>
        </w:rPr>
        <w:t xml:space="preserve"> 75% of an airline's profits</w:t>
      </w:r>
      <w:r w:rsidR="00887CBA">
        <w:rPr>
          <w:rFonts w:ascii="Century Gothic" w:hAnsi="Century Gothic" w:cstheme="minorHAnsi"/>
          <w:sz w:val="20"/>
          <w:szCs w:val="21"/>
        </w:rPr>
        <w:t>, as b</w:t>
      </w:r>
      <w:r w:rsidR="000B0C1A" w:rsidRPr="000B0C1A">
        <w:rPr>
          <w:rFonts w:ascii="Century Gothic" w:hAnsi="Century Gothic" w:cstheme="minorHAnsi"/>
          <w:sz w:val="20"/>
          <w:szCs w:val="21"/>
        </w:rPr>
        <w:t>usinesses are willing to pay more to book last-minute flights, non-stops or premium-section seats.</w:t>
      </w:r>
    </w:p>
    <w:p w14:paraId="00B28619" w14:textId="4795D0FA" w:rsidR="004C23F9" w:rsidRDefault="004C23F9" w:rsidP="00D22497">
      <w:pPr>
        <w:pStyle w:val="ListParagraph"/>
        <w:numPr>
          <w:ilvl w:val="1"/>
          <w:numId w:val="1"/>
        </w:numPr>
        <w:spacing w:after="120"/>
        <w:ind w:left="426"/>
        <w:contextualSpacing w:val="0"/>
        <w:rPr>
          <w:rFonts w:ascii="Century Gothic" w:hAnsi="Century Gothic" w:cstheme="minorHAnsi"/>
          <w:sz w:val="20"/>
          <w:szCs w:val="21"/>
        </w:rPr>
      </w:pPr>
      <w:r>
        <w:rPr>
          <w:rFonts w:ascii="Century Gothic" w:hAnsi="Century Gothic" w:cstheme="minorHAnsi"/>
          <w:sz w:val="20"/>
          <w:szCs w:val="21"/>
        </w:rPr>
        <w:t xml:space="preserve">Whereas almost 50% of flights are </w:t>
      </w:r>
      <w:r w:rsidRPr="001D5E14">
        <w:rPr>
          <w:rFonts w:ascii="Century Gothic" w:hAnsi="Century Gothic" w:cstheme="minorHAnsi"/>
          <w:sz w:val="20"/>
          <w:szCs w:val="21"/>
        </w:rPr>
        <w:t>sub-500</w:t>
      </w:r>
      <w:r>
        <w:rPr>
          <w:rFonts w:ascii="Century Gothic" w:hAnsi="Century Gothic" w:cstheme="minorHAnsi"/>
          <w:sz w:val="20"/>
          <w:szCs w:val="21"/>
        </w:rPr>
        <w:t xml:space="preserve"> nautical miles, only 15-20% of emissions can be attributed to short-haul travel. </w:t>
      </w:r>
      <w:proofErr w:type="gramStart"/>
      <w:r>
        <w:rPr>
          <w:rFonts w:ascii="Century Gothic" w:hAnsi="Century Gothic" w:cstheme="minorHAnsi"/>
          <w:sz w:val="20"/>
          <w:szCs w:val="21"/>
        </w:rPr>
        <w:t>The majority of</w:t>
      </w:r>
      <w:proofErr w:type="gramEnd"/>
      <w:r>
        <w:rPr>
          <w:rFonts w:ascii="Century Gothic" w:hAnsi="Century Gothic" w:cstheme="minorHAnsi"/>
          <w:sz w:val="20"/>
          <w:szCs w:val="21"/>
        </w:rPr>
        <w:t xml:space="preserve"> emissions is made-up by </w:t>
      </w:r>
      <w:r w:rsidRPr="00CE435E">
        <w:rPr>
          <w:rFonts w:ascii="Century Gothic" w:hAnsi="Century Gothic" w:cstheme="minorHAnsi"/>
          <w:sz w:val="20"/>
          <w:szCs w:val="21"/>
        </w:rPr>
        <w:t>long-haul</w:t>
      </w:r>
      <w:r>
        <w:rPr>
          <w:rFonts w:ascii="Century Gothic" w:hAnsi="Century Gothic" w:cstheme="minorHAnsi"/>
          <w:sz w:val="20"/>
          <w:szCs w:val="21"/>
        </w:rPr>
        <w:t xml:space="preserve"> flights</w:t>
      </w:r>
      <w:bookmarkStart w:id="2" w:name="_Ref16695819"/>
      <w:r>
        <w:rPr>
          <w:rStyle w:val="FootnoteReference"/>
          <w:rFonts w:ascii="Century Gothic" w:hAnsi="Century Gothic" w:cstheme="minorHAnsi"/>
          <w:sz w:val="20"/>
          <w:szCs w:val="21"/>
        </w:rPr>
        <w:footnoteReference w:id="6"/>
      </w:r>
      <w:bookmarkEnd w:id="2"/>
      <w:r>
        <w:rPr>
          <w:rFonts w:ascii="Century Gothic" w:hAnsi="Century Gothic" w:cstheme="minorHAnsi"/>
          <w:sz w:val="20"/>
          <w:szCs w:val="21"/>
        </w:rPr>
        <w:t>. (See Exhibit 2)</w:t>
      </w:r>
    </w:p>
    <w:p w14:paraId="6B741E5F" w14:textId="24D9A01B" w:rsidR="004868D6" w:rsidRDefault="004868D6" w:rsidP="00D22497">
      <w:pPr>
        <w:spacing w:after="120"/>
        <w:ind w:left="66"/>
        <w:rPr>
          <w:rFonts w:ascii="Century Gothic" w:hAnsi="Century Gothic" w:cstheme="minorHAnsi"/>
          <w:sz w:val="20"/>
          <w:szCs w:val="21"/>
        </w:rPr>
      </w:pPr>
    </w:p>
    <w:p w14:paraId="684910E3" w14:textId="77777777" w:rsidR="004868D6" w:rsidRDefault="004868D6" w:rsidP="00D22497">
      <w:pPr>
        <w:spacing w:after="120"/>
        <w:ind w:left="66"/>
        <w:rPr>
          <w:rFonts w:ascii="Century Gothic" w:hAnsi="Century Gothic" w:cstheme="minorHAnsi"/>
          <w:sz w:val="20"/>
          <w:szCs w:val="21"/>
        </w:rPr>
      </w:pPr>
      <w:r w:rsidRPr="00E3238E">
        <w:rPr>
          <w:rFonts w:ascii="Century Gothic" w:hAnsi="Century Gothic" w:cstheme="minorHAnsi"/>
          <w:noProof/>
          <w:sz w:val="20"/>
          <w:szCs w:val="21"/>
          <w:lang w:eastAsia="zh-CN"/>
        </w:rPr>
        <w:lastRenderedPageBreak/>
        <w:drawing>
          <wp:inline distT="0" distB="0" distL="0" distR="0" wp14:anchorId="32F5CFDD" wp14:editId="1B340D3B">
            <wp:extent cx="5731510" cy="3223895"/>
            <wp:effectExtent l="19050" t="19050" r="21590" b="146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223895"/>
                    </a:xfrm>
                    <a:prstGeom prst="rect">
                      <a:avLst/>
                    </a:prstGeom>
                    <a:ln>
                      <a:solidFill>
                        <a:schemeClr val="accent1"/>
                      </a:solidFill>
                    </a:ln>
                  </pic:spPr>
                </pic:pic>
              </a:graphicData>
            </a:graphic>
          </wp:inline>
        </w:drawing>
      </w:r>
    </w:p>
    <w:p w14:paraId="5619B306" w14:textId="2AAAA235" w:rsidR="004868D6" w:rsidRDefault="004868D6" w:rsidP="00D22497">
      <w:pPr>
        <w:spacing w:after="120"/>
        <w:ind w:left="66"/>
        <w:rPr>
          <w:rFonts w:ascii="Century Gothic" w:hAnsi="Century Gothic" w:cstheme="minorHAnsi"/>
          <w:b/>
          <w:color w:val="002060"/>
          <w:sz w:val="18"/>
          <w:szCs w:val="21"/>
        </w:rPr>
      </w:pPr>
      <w:r w:rsidRPr="00C434DC">
        <w:rPr>
          <w:rFonts w:ascii="Century Gothic" w:hAnsi="Century Gothic" w:cstheme="minorHAnsi"/>
          <w:b/>
          <w:color w:val="002060"/>
          <w:sz w:val="18"/>
          <w:szCs w:val="21"/>
        </w:rPr>
        <w:t>Exhibit 1</w:t>
      </w:r>
    </w:p>
    <w:p w14:paraId="6F1D8638" w14:textId="77777777" w:rsidR="004C23F9" w:rsidRDefault="004C23F9" w:rsidP="00D22497">
      <w:pPr>
        <w:spacing w:after="120"/>
        <w:ind w:left="66"/>
        <w:rPr>
          <w:rFonts w:ascii="Century Gothic" w:hAnsi="Century Gothic" w:cstheme="minorHAnsi"/>
          <w:b/>
          <w:color w:val="002060"/>
          <w:sz w:val="18"/>
          <w:szCs w:val="21"/>
        </w:rPr>
      </w:pPr>
    </w:p>
    <w:p w14:paraId="4BDFEB0C" w14:textId="58AA6904" w:rsidR="004868D6" w:rsidRDefault="004C23F9" w:rsidP="00D22497">
      <w:pPr>
        <w:spacing w:after="120"/>
        <w:ind w:left="66"/>
        <w:rPr>
          <w:rFonts w:ascii="Century Gothic" w:hAnsi="Century Gothic" w:cstheme="minorHAnsi"/>
          <w:sz w:val="20"/>
          <w:szCs w:val="21"/>
        </w:rPr>
      </w:pPr>
      <w:r w:rsidRPr="004C23F9">
        <w:rPr>
          <w:rFonts w:ascii="Century Gothic" w:hAnsi="Century Gothic" w:cstheme="minorHAnsi"/>
          <w:noProof/>
          <w:sz w:val="20"/>
          <w:szCs w:val="21"/>
          <w:lang w:eastAsia="zh-CN"/>
        </w:rPr>
        <w:drawing>
          <wp:inline distT="0" distB="0" distL="0" distR="0" wp14:anchorId="36CA1C07" wp14:editId="1DF3BD1C">
            <wp:extent cx="5731510" cy="3223895"/>
            <wp:effectExtent l="19050" t="19050" r="21590" b="146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223895"/>
                    </a:xfrm>
                    <a:prstGeom prst="rect">
                      <a:avLst/>
                    </a:prstGeom>
                    <a:ln>
                      <a:solidFill>
                        <a:schemeClr val="accent1"/>
                      </a:solidFill>
                    </a:ln>
                  </pic:spPr>
                </pic:pic>
              </a:graphicData>
            </a:graphic>
          </wp:inline>
        </w:drawing>
      </w:r>
    </w:p>
    <w:p w14:paraId="1C8B9945" w14:textId="11852563" w:rsidR="004C23F9" w:rsidRDefault="004C23F9" w:rsidP="00D22497">
      <w:pPr>
        <w:spacing w:after="120"/>
        <w:ind w:left="66"/>
        <w:rPr>
          <w:rFonts w:ascii="Century Gothic" w:hAnsi="Century Gothic" w:cstheme="minorHAnsi"/>
          <w:b/>
          <w:color w:val="002060"/>
          <w:sz w:val="18"/>
          <w:szCs w:val="21"/>
        </w:rPr>
      </w:pPr>
      <w:r w:rsidRPr="00C434DC">
        <w:rPr>
          <w:rFonts w:ascii="Century Gothic" w:hAnsi="Century Gothic" w:cstheme="minorHAnsi"/>
          <w:b/>
          <w:color w:val="002060"/>
          <w:sz w:val="18"/>
          <w:szCs w:val="21"/>
        </w:rPr>
        <w:t xml:space="preserve">Exhibit </w:t>
      </w:r>
      <w:r>
        <w:rPr>
          <w:rFonts w:ascii="Century Gothic" w:hAnsi="Century Gothic" w:cstheme="minorHAnsi"/>
          <w:b/>
          <w:color w:val="002060"/>
          <w:sz w:val="18"/>
          <w:szCs w:val="21"/>
        </w:rPr>
        <w:t>2</w:t>
      </w:r>
    </w:p>
    <w:p w14:paraId="3BF81005" w14:textId="597EF02B" w:rsidR="004C23F9" w:rsidRDefault="004C23F9" w:rsidP="00D22497">
      <w:pPr>
        <w:spacing w:after="120"/>
        <w:ind w:left="66"/>
        <w:rPr>
          <w:rFonts w:ascii="Century Gothic" w:hAnsi="Century Gothic" w:cstheme="minorHAnsi"/>
          <w:b/>
          <w:color w:val="002060"/>
          <w:sz w:val="18"/>
          <w:szCs w:val="21"/>
        </w:rPr>
      </w:pPr>
    </w:p>
    <w:p w14:paraId="75D08A4B" w14:textId="5C5655EE" w:rsidR="004C23F9" w:rsidRDefault="004C23F9" w:rsidP="00D22497">
      <w:pPr>
        <w:spacing w:after="120"/>
        <w:ind w:left="66"/>
        <w:rPr>
          <w:rFonts w:ascii="Century Gothic" w:hAnsi="Century Gothic" w:cstheme="minorHAnsi"/>
          <w:b/>
          <w:color w:val="002060"/>
          <w:sz w:val="18"/>
          <w:szCs w:val="21"/>
        </w:rPr>
      </w:pPr>
    </w:p>
    <w:p w14:paraId="772B80DF" w14:textId="5AFBDD0D" w:rsidR="004C23F9" w:rsidRDefault="004C23F9" w:rsidP="00D22497">
      <w:pPr>
        <w:spacing w:after="120"/>
        <w:ind w:left="66"/>
        <w:rPr>
          <w:rFonts w:ascii="Century Gothic" w:hAnsi="Century Gothic" w:cstheme="minorHAnsi"/>
          <w:b/>
          <w:color w:val="002060"/>
          <w:sz w:val="18"/>
          <w:szCs w:val="21"/>
        </w:rPr>
      </w:pPr>
    </w:p>
    <w:p w14:paraId="0B5C2740" w14:textId="695A6876" w:rsidR="004C23F9" w:rsidRDefault="004C23F9" w:rsidP="00D22497">
      <w:pPr>
        <w:spacing w:after="120"/>
        <w:ind w:left="66"/>
        <w:rPr>
          <w:rFonts w:ascii="Century Gothic" w:hAnsi="Century Gothic" w:cstheme="minorHAnsi"/>
          <w:b/>
          <w:color w:val="002060"/>
          <w:sz w:val="18"/>
          <w:szCs w:val="21"/>
        </w:rPr>
      </w:pPr>
    </w:p>
    <w:p w14:paraId="4C666922" w14:textId="0FDC1745" w:rsidR="004C23F9" w:rsidRDefault="004C23F9" w:rsidP="00D22497">
      <w:pPr>
        <w:spacing w:after="120"/>
        <w:ind w:left="66"/>
        <w:rPr>
          <w:rFonts w:ascii="Century Gothic" w:hAnsi="Century Gothic" w:cstheme="minorHAnsi"/>
          <w:b/>
          <w:color w:val="002060"/>
          <w:sz w:val="18"/>
          <w:szCs w:val="21"/>
        </w:rPr>
      </w:pPr>
    </w:p>
    <w:p w14:paraId="09756459" w14:textId="77777777" w:rsidR="004C23F9" w:rsidRPr="004C23F9" w:rsidRDefault="004C23F9" w:rsidP="00D22497">
      <w:pPr>
        <w:spacing w:after="120"/>
        <w:ind w:left="66"/>
        <w:rPr>
          <w:rFonts w:ascii="Century Gothic" w:hAnsi="Century Gothic" w:cstheme="minorHAnsi"/>
          <w:b/>
          <w:color w:val="002060"/>
          <w:sz w:val="18"/>
          <w:szCs w:val="21"/>
        </w:rPr>
      </w:pPr>
    </w:p>
    <w:p w14:paraId="14B9830A" w14:textId="7AA0D657" w:rsidR="00FA4DB0" w:rsidRDefault="00A41BA4" w:rsidP="00D22497">
      <w:pPr>
        <w:pStyle w:val="ListParagraph"/>
        <w:numPr>
          <w:ilvl w:val="1"/>
          <w:numId w:val="1"/>
        </w:numPr>
        <w:spacing w:after="120"/>
        <w:ind w:left="426"/>
        <w:contextualSpacing w:val="0"/>
        <w:rPr>
          <w:rFonts w:ascii="Century Gothic" w:hAnsi="Century Gothic" w:cstheme="minorHAnsi"/>
          <w:sz w:val="20"/>
          <w:szCs w:val="21"/>
        </w:rPr>
      </w:pPr>
      <w:r>
        <w:rPr>
          <w:rFonts w:ascii="Century Gothic" w:hAnsi="Century Gothic" w:cstheme="minorHAnsi"/>
          <w:sz w:val="20"/>
          <w:szCs w:val="21"/>
        </w:rPr>
        <w:t>There are more than 5,000 airlines in the world having a</w:t>
      </w:r>
      <w:r w:rsidR="00DE70A6">
        <w:rPr>
          <w:rFonts w:ascii="Century Gothic" w:hAnsi="Century Gothic" w:cstheme="minorHAnsi"/>
          <w:sz w:val="20"/>
          <w:szCs w:val="21"/>
        </w:rPr>
        <w:t>n</w:t>
      </w:r>
      <w:r>
        <w:rPr>
          <w:rFonts w:ascii="Century Gothic" w:hAnsi="Century Gothic" w:cstheme="minorHAnsi"/>
          <w:sz w:val="20"/>
          <w:szCs w:val="21"/>
        </w:rPr>
        <w:t xml:space="preserve"> ICAO code, of which roughly 800 operate scheduled services. 290 of these airlines are organised in IATA, making up 82% of passenger traffic. </w:t>
      </w:r>
      <w:r w:rsidR="00FA4DB0">
        <w:rPr>
          <w:rFonts w:ascii="Century Gothic" w:hAnsi="Century Gothic" w:cstheme="minorHAnsi"/>
          <w:sz w:val="20"/>
          <w:szCs w:val="21"/>
        </w:rPr>
        <w:t>The sector is therefore highly fragmented.</w:t>
      </w:r>
    </w:p>
    <w:p w14:paraId="1B114588" w14:textId="523BB090" w:rsidR="00A41BA4" w:rsidRDefault="00FA4DB0" w:rsidP="00AF66CE">
      <w:pPr>
        <w:pStyle w:val="ListParagraph"/>
        <w:numPr>
          <w:ilvl w:val="1"/>
          <w:numId w:val="1"/>
        </w:numPr>
        <w:spacing w:after="120"/>
        <w:ind w:left="426"/>
        <w:contextualSpacing w:val="0"/>
        <w:rPr>
          <w:rFonts w:ascii="Century Gothic" w:hAnsi="Century Gothic" w:cstheme="minorHAnsi"/>
          <w:sz w:val="20"/>
          <w:szCs w:val="21"/>
        </w:rPr>
      </w:pPr>
      <w:r>
        <w:rPr>
          <w:rFonts w:ascii="Century Gothic" w:hAnsi="Century Gothic" w:cstheme="minorHAnsi"/>
          <w:sz w:val="20"/>
          <w:szCs w:val="21"/>
        </w:rPr>
        <w:t xml:space="preserve">At the same time, the biggest players do hold a significant share of the market. </w:t>
      </w:r>
      <w:r w:rsidR="00A41BA4">
        <w:rPr>
          <w:rFonts w:ascii="Century Gothic" w:hAnsi="Century Gothic" w:cstheme="minorHAnsi"/>
          <w:sz w:val="20"/>
          <w:szCs w:val="21"/>
        </w:rPr>
        <w:t>The Top 10 airlines have a 36% market share based on passenger revenue kilometres</w:t>
      </w:r>
      <w:r w:rsidR="0090060C">
        <w:rPr>
          <w:rStyle w:val="FootnoteReference"/>
          <w:rFonts w:ascii="Century Gothic" w:hAnsi="Century Gothic" w:cstheme="minorHAnsi"/>
          <w:sz w:val="20"/>
          <w:szCs w:val="21"/>
        </w:rPr>
        <w:footnoteReference w:id="7"/>
      </w:r>
      <w:r w:rsidR="00A41BA4">
        <w:rPr>
          <w:rFonts w:ascii="Century Gothic" w:hAnsi="Century Gothic" w:cstheme="minorHAnsi"/>
          <w:sz w:val="20"/>
          <w:szCs w:val="21"/>
        </w:rPr>
        <w:t xml:space="preserve">. </w:t>
      </w:r>
      <w:r w:rsidR="0090060C">
        <w:rPr>
          <w:rFonts w:ascii="Century Gothic" w:hAnsi="Century Gothic" w:cstheme="minorHAnsi"/>
          <w:sz w:val="20"/>
          <w:szCs w:val="21"/>
        </w:rPr>
        <w:t>5%</w:t>
      </w:r>
      <w:r w:rsidR="00A41BA4">
        <w:rPr>
          <w:rFonts w:ascii="Century Gothic" w:hAnsi="Century Gothic" w:cstheme="minorHAnsi"/>
          <w:sz w:val="20"/>
          <w:szCs w:val="21"/>
        </w:rPr>
        <w:t xml:space="preserve"> of airports make up more than 90% of international flights.</w:t>
      </w:r>
    </w:p>
    <w:p w14:paraId="56F15D67" w14:textId="4D1C1484" w:rsidR="0050286B" w:rsidRPr="003F77ED" w:rsidRDefault="0050286B" w:rsidP="00AF66CE">
      <w:pPr>
        <w:pStyle w:val="ListParagraph"/>
        <w:numPr>
          <w:ilvl w:val="1"/>
          <w:numId w:val="1"/>
        </w:numPr>
        <w:spacing w:after="120"/>
        <w:ind w:left="426"/>
        <w:contextualSpacing w:val="0"/>
        <w:rPr>
          <w:rFonts w:ascii="Century Gothic" w:hAnsi="Century Gothic" w:cstheme="minorHAnsi"/>
          <w:sz w:val="20"/>
          <w:szCs w:val="21"/>
        </w:rPr>
      </w:pPr>
      <w:r w:rsidRPr="003F77ED">
        <w:rPr>
          <w:rFonts w:ascii="Century Gothic" w:hAnsi="Century Gothic" w:cstheme="minorHAnsi"/>
          <w:sz w:val="20"/>
          <w:szCs w:val="21"/>
        </w:rPr>
        <w:t xml:space="preserve">The top 10 airlines globally (by revenues) are American Airlines, Delta, Lufthansa, United, FedEx, Air France-KLM, Emirates, IAG (British Airways, Iberia…), Southwest Airlines, China Southern Airlines. Among the biggest players, those most active in climate-related discussions and participating in pilot projects are Lufthansa, United, </w:t>
      </w:r>
      <w:r w:rsidR="008E6FF4" w:rsidRPr="003F77ED">
        <w:rPr>
          <w:rFonts w:ascii="Century Gothic" w:hAnsi="Century Gothic" w:cstheme="minorHAnsi"/>
          <w:sz w:val="20"/>
          <w:szCs w:val="21"/>
        </w:rPr>
        <w:t xml:space="preserve">FedEx, </w:t>
      </w:r>
      <w:r w:rsidRPr="003F77ED">
        <w:rPr>
          <w:rFonts w:ascii="Century Gothic" w:hAnsi="Century Gothic" w:cstheme="minorHAnsi"/>
          <w:sz w:val="20"/>
          <w:szCs w:val="21"/>
        </w:rPr>
        <w:t>KLM, IAG. Some smaller airlines are also leading climate efforts, including</w:t>
      </w:r>
      <w:r w:rsidR="008E6FF4" w:rsidRPr="003F77ED">
        <w:rPr>
          <w:rFonts w:ascii="Century Gothic" w:hAnsi="Century Gothic" w:cstheme="minorHAnsi"/>
          <w:sz w:val="20"/>
          <w:szCs w:val="21"/>
        </w:rPr>
        <w:t xml:space="preserve"> Cathay Pacific,</w:t>
      </w:r>
      <w:r w:rsidR="001937CC" w:rsidRPr="003F77ED">
        <w:rPr>
          <w:rFonts w:ascii="Century Gothic" w:hAnsi="Century Gothic" w:cstheme="minorHAnsi"/>
          <w:sz w:val="20"/>
          <w:szCs w:val="21"/>
        </w:rPr>
        <w:t xml:space="preserve"> </w:t>
      </w:r>
      <w:r w:rsidR="008E6FF4" w:rsidRPr="003F77ED">
        <w:rPr>
          <w:rFonts w:ascii="Century Gothic" w:hAnsi="Century Gothic" w:cstheme="minorHAnsi"/>
          <w:sz w:val="20"/>
          <w:szCs w:val="21"/>
        </w:rPr>
        <w:t xml:space="preserve">JetBlue Airways, </w:t>
      </w:r>
      <w:r w:rsidR="001937CC" w:rsidRPr="003F77ED">
        <w:rPr>
          <w:rFonts w:ascii="Century Gothic" w:hAnsi="Century Gothic" w:cstheme="minorHAnsi"/>
          <w:sz w:val="20"/>
          <w:szCs w:val="21"/>
        </w:rPr>
        <w:t>Qantas</w:t>
      </w:r>
      <w:r w:rsidR="008E6FF4" w:rsidRPr="003F77ED">
        <w:rPr>
          <w:rFonts w:ascii="Century Gothic" w:hAnsi="Century Gothic" w:cstheme="minorHAnsi"/>
          <w:sz w:val="20"/>
          <w:szCs w:val="21"/>
        </w:rPr>
        <w:t>, Japan Airlines</w:t>
      </w:r>
      <w:r w:rsidR="001937CC" w:rsidRPr="003F77ED">
        <w:rPr>
          <w:rFonts w:ascii="Century Gothic" w:hAnsi="Century Gothic" w:cstheme="minorHAnsi"/>
          <w:sz w:val="20"/>
          <w:szCs w:val="21"/>
        </w:rPr>
        <w:t xml:space="preserve"> and</w:t>
      </w:r>
      <w:r w:rsidRPr="003F77ED">
        <w:rPr>
          <w:rFonts w:ascii="Century Gothic" w:hAnsi="Century Gothic" w:cstheme="minorHAnsi"/>
          <w:sz w:val="20"/>
          <w:szCs w:val="21"/>
        </w:rPr>
        <w:t xml:space="preserve"> Indian airline SpiceJet, which is much smaller than other potential first movers, but interestingly located in the developing world.</w:t>
      </w:r>
    </w:p>
    <w:p w14:paraId="6845AC58" w14:textId="4E04159E" w:rsidR="0050286B" w:rsidRPr="003F77ED" w:rsidRDefault="0050286B" w:rsidP="00AF66CE">
      <w:pPr>
        <w:pStyle w:val="ListParagraph"/>
        <w:numPr>
          <w:ilvl w:val="1"/>
          <w:numId w:val="1"/>
        </w:numPr>
        <w:spacing w:after="120"/>
        <w:ind w:left="426"/>
        <w:contextualSpacing w:val="0"/>
        <w:rPr>
          <w:rFonts w:ascii="Century Gothic" w:hAnsi="Century Gothic" w:cstheme="minorHAnsi"/>
          <w:sz w:val="20"/>
          <w:szCs w:val="21"/>
        </w:rPr>
      </w:pPr>
      <w:r w:rsidRPr="003F77ED">
        <w:rPr>
          <w:rFonts w:ascii="Century Gothic" w:hAnsi="Century Gothic" w:cstheme="minorHAnsi"/>
          <w:sz w:val="20"/>
          <w:szCs w:val="21"/>
        </w:rPr>
        <w:t xml:space="preserve">The top 15 airports globally (by number of passengers) are Atlanta International, Beijing International, Dubai, Los Angeles, Tokyo Haneda, Chicago O’Hare, London Heathrow, Hong Kong, Shanghai, Paris-Charles de Gaulle, Amsterdam Schiphol, Indira Gandhi Delhi, Guangzhou </w:t>
      </w:r>
      <w:proofErr w:type="spellStart"/>
      <w:r w:rsidRPr="003F77ED">
        <w:rPr>
          <w:rFonts w:ascii="Century Gothic" w:hAnsi="Century Gothic" w:cstheme="minorHAnsi"/>
          <w:sz w:val="20"/>
          <w:szCs w:val="21"/>
        </w:rPr>
        <w:t>Baiyun</w:t>
      </w:r>
      <w:proofErr w:type="spellEnd"/>
      <w:r w:rsidRPr="003F77ED">
        <w:rPr>
          <w:rFonts w:ascii="Century Gothic" w:hAnsi="Century Gothic" w:cstheme="minorHAnsi"/>
          <w:sz w:val="20"/>
          <w:szCs w:val="21"/>
        </w:rPr>
        <w:t>, Frankfurt, Dallas Fort Worth.</w:t>
      </w:r>
      <w:r w:rsidR="00F1215A" w:rsidRPr="003F77ED">
        <w:rPr>
          <w:rFonts w:ascii="Century Gothic" w:hAnsi="Century Gothic" w:cstheme="minorHAnsi"/>
          <w:sz w:val="20"/>
          <w:szCs w:val="21"/>
        </w:rPr>
        <w:t xml:space="preserve"> </w:t>
      </w:r>
      <w:r w:rsidR="008E6FF4" w:rsidRPr="003F77ED">
        <w:rPr>
          <w:rFonts w:ascii="Century Gothic" w:hAnsi="Century Gothic" w:cstheme="minorHAnsi"/>
          <w:sz w:val="20"/>
          <w:szCs w:val="21"/>
        </w:rPr>
        <w:t>Only six airports</w:t>
      </w:r>
      <w:r w:rsidR="00722716" w:rsidRPr="003F77ED">
        <w:rPr>
          <w:rFonts w:ascii="Century Gothic" w:hAnsi="Century Gothic" w:cstheme="minorHAnsi"/>
          <w:sz w:val="20"/>
          <w:szCs w:val="21"/>
        </w:rPr>
        <w:t xml:space="preserve"> offer</w:t>
      </w:r>
      <w:r w:rsidR="008E6FF4" w:rsidRPr="003F77ED">
        <w:rPr>
          <w:rFonts w:ascii="Century Gothic" w:hAnsi="Century Gothic" w:cstheme="minorHAnsi"/>
          <w:sz w:val="20"/>
          <w:szCs w:val="21"/>
        </w:rPr>
        <w:t xml:space="preserve"> </w:t>
      </w:r>
      <w:r w:rsidR="006D54A8" w:rsidRPr="003F77ED">
        <w:rPr>
          <w:rFonts w:ascii="Century Gothic" w:hAnsi="Century Gothic" w:cstheme="minorHAnsi"/>
          <w:sz w:val="20"/>
          <w:szCs w:val="21"/>
        </w:rPr>
        <w:t xml:space="preserve">a </w:t>
      </w:r>
      <w:r w:rsidR="008E6FF4" w:rsidRPr="003F77ED">
        <w:rPr>
          <w:rFonts w:ascii="Century Gothic" w:hAnsi="Century Gothic" w:cstheme="minorHAnsi"/>
          <w:sz w:val="20"/>
          <w:szCs w:val="21"/>
        </w:rPr>
        <w:t xml:space="preserve">regular SAF </w:t>
      </w:r>
      <w:r w:rsidR="006D54A8" w:rsidRPr="003F77ED">
        <w:rPr>
          <w:rFonts w:ascii="Century Gothic" w:hAnsi="Century Gothic" w:cstheme="minorHAnsi"/>
          <w:sz w:val="20"/>
          <w:szCs w:val="21"/>
        </w:rPr>
        <w:t>supply</w:t>
      </w:r>
      <w:r w:rsidR="008E6FF4" w:rsidRPr="003F77ED">
        <w:rPr>
          <w:rFonts w:ascii="Century Gothic" w:hAnsi="Century Gothic" w:cstheme="minorHAnsi"/>
          <w:sz w:val="20"/>
          <w:szCs w:val="21"/>
        </w:rPr>
        <w:t xml:space="preserve"> today. These pioneering airports are Oslo </w:t>
      </w:r>
      <w:proofErr w:type="spellStart"/>
      <w:r w:rsidR="008E6FF4" w:rsidRPr="003F77ED">
        <w:rPr>
          <w:rFonts w:ascii="Century Gothic" w:hAnsi="Century Gothic" w:cstheme="minorHAnsi"/>
          <w:sz w:val="20"/>
          <w:szCs w:val="21"/>
        </w:rPr>
        <w:t>Gardemoen</w:t>
      </w:r>
      <w:proofErr w:type="spellEnd"/>
      <w:r w:rsidR="008E6FF4" w:rsidRPr="003F77ED">
        <w:rPr>
          <w:rFonts w:ascii="Century Gothic" w:hAnsi="Century Gothic" w:cstheme="minorHAnsi"/>
          <w:sz w:val="20"/>
          <w:szCs w:val="21"/>
        </w:rPr>
        <w:t xml:space="preserve">, Bergen, Stockholm Arlanda, Seattle-Tacoma, San Francisco International, and Brisbane. </w:t>
      </w:r>
      <w:r w:rsidR="00F1215A" w:rsidRPr="003F77ED">
        <w:rPr>
          <w:rFonts w:ascii="Century Gothic" w:hAnsi="Century Gothic" w:cstheme="minorHAnsi"/>
          <w:sz w:val="20"/>
          <w:szCs w:val="21"/>
        </w:rPr>
        <w:t xml:space="preserve">Airports Council International Europe, representing over 500 European airports, have committed to achieving net zero carbon emissions for operations under their control (i.e. excluding flights) by 2050. Within ACI Europe, Heathrow, Schiphol and </w:t>
      </w:r>
      <w:proofErr w:type="spellStart"/>
      <w:r w:rsidR="00F1215A" w:rsidRPr="003F77ED">
        <w:rPr>
          <w:rFonts w:ascii="Century Gothic" w:hAnsi="Century Gothic" w:cstheme="minorHAnsi"/>
          <w:sz w:val="20"/>
          <w:szCs w:val="21"/>
        </w:rPr>
        <w:t>Aéroports</w:t>
      </w:r>
      <w:proofErr w:type="spellEnd"/>
      <w:r w:rsidR="00F1215A" w:rsidRPr="003F77ED">
        <w:rPr>
          <w:rFonts w:ascii="Century Gothic" w:hAnsi="Century Gothic" w:cstheme="minorHAnsi"/>
          <w:sz w:val="20"/>
          <w:szCs w:val="21"/>
        </w:rPr>
        <w:t xml:space="preserve"> de Paris are </w:t>
      </w:r>
      <w:r w:rsidR="008E6FF4" w:rsidRPr="003F77ED">
        <w:rPr>
          <w:rFonts w:ascii="Century Gothic" w:hAnsi="Century Gothic" w:cstheme="minorHAnsi"/>
          <w:sz w:val="20"/>
          <w:szCs w:val="21"/>
        </w:rPr>
        <w:t>leading efforts to develop an SAF offer at scale in partnership with airlines.</w:t>
      </w:r>
    </w:p>
    <w:p w14:paraId="170E4C99" w14:textId="1698F17F" w:rsidR="00FA4DB0" w:rsidRDefault="001D5E14" w:rsidP="00D22497">
      <w:pPr>
        <w:pStyle w:val="ListParagraph"/>
        <w:numPr>
          <w:ilvl w:val="1"/>
          <w:numId w:val="1"/>
        </w:numPr>
        <w:spacing w:after="120"/>
        <w:ind w:left="426"/>
        <w:contextualSpacing w:val="0"/>
        <w:rPr>
          <w:rFonts w:ascii="Century Gothic" w:hAnsi="Century Gothic" w:cstheme="minorHAnsi"/>
          <w:sz w:val="20"/>
          <w:szCs w:val="21"/>
        </w:rPr>
      </w:pPr>
      <w:r>
        <w:rPr>
          <w:rFonts w:ascii="Century Gothic" w:hAnsi="Century Gothic" w:cstheme="minorHAnsi"/>
          <w:sz w:val="20"/>
          <w:szCs w:val="21"/>
        </w:rPr>
        <w:t xml:space="preserve">The </w:t>
      </w:r>
      <w:r w:rsidR="008A636D">
        <w:rPr>
          <w:rFonts w:ascii="Century Gothic" w:hAnsi="Century Gothic" w:cstheme="minorHAnsi"/>
          <w:sz w:val="20"/>
          <w:szCs w:val="21"/>
        </w:rPr>
        <w:t>aviation market is an international market, regulated by an international body (ICAO)</w:t>
      </w:r>
      <w:r w:rsidR="00E95FF0">
        <w:rPr>
          <w:rFonts w:ascii="Century Gothic" w:hAnsi="Century Gothic" w:cstheme="minorHAnsi"/>
          <w:sz w:val="20"/>
          <w:szCs w:val="21"/>
        </w:rPr>
        <w:t>, not included in the Paris Agreement</w:t>
      </w:r>
      <w:r w:rsidR="008A636D">
        <w:rPr>
          <w:rFonts w:ascii="Century Gothic" w:hAnsi="Century Gothic" w:cstheme="minorHAnsi"/>
          <w:sz w:val="20"/>
          <w:szCs w:val="21"/>
        </w:rPr>
        <w:t xml:space="preserve"> and historically </w:t>
      </w:r>
      <w:r w:rsidR="00E95FF0">
        <w:rPr>
          <w:rFonts w:ascii="Century Gothic" w:hAnsi="Century Gothic" w:cstheme="minorHAnsi"/>
          <w:sz w:val="20"/>
          <w:szCs w:val="21"/>
        </w:rPr>
        <w:t xml:space="preserve">mostly free from regional/national policy interventions (see </w:t>
      </w:r>
      <w:r w:rsidR="00E95FF0" w:rsidRPr="00895C35">
        <w:rPr>
          <w:rFonts w:ascii="Century Gothic" w:hAnsi="Century Gothic" w:cstheme="minorHAnsi"/>
          <w:sz w:val="20"/>
          <w:szCs w:val="21"/>
        </w:rPr>
        <w:t xml:space="preserve">point </w:t>
      </w:r>
      <w:r w:rsidR="00895C35" w:rsidRPr="00895C35">
        <w:rPr>
          <w:rFonts w:ascii="Century Gothic" w:hAnsi="Century Gothic" w:cstheme="minorHAnsi"/>
          <w:sz w:val="20"/>
          <w:szCs w:val="21"/>
        </w:rPr>
        <w:t>6.6</w:t>
      </w:r>
      <w:r w:rsidR="00E95FF0">
        <w:rPr>
          <w:rFonts w:ascii="Century Gothic" w:hAnsi="Century Gothic" w:cstheme="minorHAnsi"/>
          <w:sz w:val="20"/>
          <w:szCs w:val="21"/>
        </w:rPr>
        <w:t xml:space="preserve"> for exceptions)</w:t>
      </w:r>
      <w:r w:rsidR="00FA4DB0">
        <w:rPr>
          <w:rStyle w:val="FootnoteReference"/>
          <w:rFonts w:ascii="Century Gothic" w:hAnsi="Century Gothic" w:cstheme="minorHAnsi"/>
          <w:sz w:val="20"/>
          <w:szCs w:val="21"/>
        </w:rPr>
        <w:footnoteReference w:id="8"/>
      </w:r>
      <w:r>
        <w:rPr>
          <w:rFonts w:ascii="Century Gothic" w:hAnsi="Century Gothic" w:cstheme="minorHAnsi"/>
          <w:sz w:val="20"/>
          <w:szCs w:val="21"/>
        </w:rPr>
        <w:t>.</w:t>
      </w:r>
    </w:p>
    <w:p w14:paraId="38FB225E" w14:textId="25FDD961" w:rsidR="00FA4DB0" w:rsidRPr="00BE51B8" w:rsidRDefault="00FA4DB0" w:rsidP="00D22497">
      <w:pPr>
        <w:pStyle w:val="ListParagraph"/>
        <w:numPr>
          <w:ilvl w:val="1"/>
          <w:numId w:val="1"/>
        </w:numPr>
        <w:spacing w:after="120"/>
        <w:ind w:left="426"/>
        <w:contextualSpacing w:val="0"/>
        <w:rPr>
          <w:rFonts w:ascii="Century Gothic" w:hAnsi="Century Gothic" w:cstheme="minorHAnsi"/>
          <w:sz w:val="20"/>
          <w:szCs w:val="21"/>
        </w:rPr>
      </w:pPr>
      <w:r w:rsidRPr="00FA4DB0">
        <w:rPr>
          <w:rFonts w:ascii="Century Gothic" w:hAnsi="Century Gothic" w:cstheme="minorHAnsi"/>
          <w:sz w:val="20"/>
          <w:szCs w:val="21"/>
        </w:rPr>
        <w:t xml:space="preserve">Jet-A fuel (kerosene) is a global commodity and needs to be provided at the same </w:t>
      </w:r>
      <w:r w:rsidRPr="00BE51B8">
        <w:rPr>
          <w:rFonts w:ascii="Century Gothic" w:hAnsi="Century Gothic" w:cstheme="minorHAnsi"/>
          <w:sz w:val="20"/>
          <w:szCs w:val="21"/>
        </w:rPr>
        <w:t xml:space="preserve">quality level wherever an aircraft lands. Average spot prices are around 0.5 US$/litre, depending on the size of the </w:t>
      </w:r>
      <w:proofErr w:type="spellStart"/>
      <w:r w:rsidRPr="00BE51B8">
        <w:rPr>
          <w:rFonts w:ascii="Century Gothic" w:hAnsi="Century Gothic" w:cstheme="minorHAnsi"/>
          <w:sz w:val="20"/>
          <w:szCs w:val="21"/>
        </w:rPr>
        <w:t>offtaker</w:t>
      </w:r>
      <w:proofErr w:type="spellEnd"/>
      <w:r w:rsidR="00BE51B8" w:rsidRPr="00BE51B8">
        <w:rPr>
          <w:rStyle w:val="FootnoteReference"/>
          <w:rFonts w:ascii="Century Gothic" w:hAnsi="Century Gothic" w:cstheme="minorHAnsi"/>
          <w:sz w:val="20"/>
          <w:szCs w:val="21"/>
        </w:rPr>
        <w:footnoteReference w:id="9"/>
      </w:r>
      <w:r w:rsidR="00123681" w:rsidRPr="00BE51B8">
        <w:rPr>
          <w:rFonts w:ascii="Century Gothic" w:hAnsi="Century Gothic" w:cstheme="minorHAnsi"/>
          <w:sz w:val="20"/>
          <w:szCs w:val="21"/>
        </w:rPr>
        <w:t>.</w:t>
      </w:r>
    </w:p>
    <w:p w14:paraId="034E9567" w14:textId="23FE1928" w:rsidR="00123681" w:rsidRPr="00BE51B8" w:rsidRDefault="00514684" w:rsidP="00D22497">
      <w:pPr>
        <w:pStyle w:val="ListParagraph"/>
        <w:numPr>
          <w:ilvl w:val="1"/>
          <w:numId w:val="1"/>
        </w:numPr>
        <w:spacing w:after="120"/>
        <w:ind w:left="426"/>
        <w:contextualSpacing w:val="0"/>
        <w:rPr>
          <w:rFonts w:ascii="Century Gothic" w:hAnsi="Century Gothic" w:cstheme="minorHAnsi"/>
          <w:sz w:val="20"/>
          <w:szCs w:val="21"/>
        </w:rPr>
      </w:pPr>
      <w:bookmarkStart w:id="3" w:name="_Hlk17910575"/>
      <w:r w:rsidRPr="00BE51B8">
        <w:rPr>
          <w:rFonts w:ascii="Century Gothic" w:hAnsi="Century Gothic" w:cstheme="minorHAnsi"/>
          <w:sz w:val="20"/>
          <w:szCs w:val="21"/>
        </w:rPr>
        <w:t xml:space="preserve">Jet-A fuel is provided by specialised companies, often subsidiaries of </w:t>
      </w:r>
      <w:r w:rsidR="0023391A" w:rsidRPr="00BE51B8">
        <w:rPr>
          <w:rFonts w:ascii="Century Gothic" w:hAnsi="Century Gothic" w:cstheme="minorHAnsi"/>
          <w:sz w:val="20"/>
          <w:szCs w:val="21"/>
        </w:rPr>
        <w:t xml:space="preserve">larger oil </w:t>
      </w:r>
      <w:r w:rsidR="00876B55" w:rsidRPr="00BE51B8">
        <w:rPr>
          <w:rFonts w:ascii="Century Gothic" w:hAnsi="Century Gothic" w:cstheme="minorHAnsi"/>
          <w:sz w:val="20"/>
          <w:szCs w:val="21"/>
        </w:rPr>
        <w:t>and</w:t>
      </w:r>
      <w:r w:rsidR="0023391A" w:rsidRPr="00BE51B8">
        <w:rPr>
          <w:rFonts w:ascii="Century Gothic" w:hAnsi="Century Gothic" w:cstheme="minorHAnsi"/>
          <w:sz w:val="20"/>
          <w:szCs w:val="21"/>
        </w:rPr>
        <w:t xml:space="preserve"> gas majors such as </w:t>
      </w:r>
      <w:proofErr w:type="spellStart"/>
      <w:r w:rsidR="0023391A" w:rsidRPr="00BE51B8">
        <w:rPr>
          <w:rFonts w:ascii="Century Gothic" w:hAnsi="Century Gothic" w:cstheme="minorHAnsi"/>
          <w:sz w:val="20"/>
          <w:szCs w:val="21"/>
        </w:rPr>
        <w:t>AirBP</w:t>
      </w:r>
      <w:proofErr w:type="spellEnd"/>
      <w:r w:rsidR="0023391A" w:rsidRPr="00BE51B8">
        <w:rPr>
          <w:rFonts w:ascii="Century Gothic" w:hAnsi="Century Gothic" w:cstheme="minorHAnsi"/>
          <w:sz w:val="20"/>
          <w:szCs w:val="21"/>
        </w:rPr>
        <w:t xml:space="preserve">, Shell, or </w:t>
      </w:r>
      <w:r w:rsidR="00876B55" w:rsidRPr="00BE51B8">
        <w:rPr>
          <w:rFonts w:ascii="Century Gothic" w:hAnsi="Century Gothic" w:cstheme="minorHAnsi"/>
          <w:sz w:val="20"/>
          <w:szCs w:val="21"/>
        </w:rPr>
        <w:t>Air Total</w:t>
      </w:r>
      <w:r w:rsidR="0023391A" w:rsidRPr="00BE51B8">
        <w:rPr>
          <w:rFonts w:ascii="Century Gothic" w:hAnsi="Century Gothic" w:cstheme="minorHAnsi"/>
          <w:sz w:val="20"/>
          <w:szCs w:val="21"/>
        </w:rPr>
        <w:t>. The market for jet fuel is among the most profitable for their parent companies</w:t>
      </w:r>
      <w:r w:rsidR="003909CD" w:rsidRPr="00BE51B8">
        <w:rPr>
          <w:rFonts w:ascii="Century Gothic" w:hAnsi="Century Gothic" w:cstheme="minorHAnsi"/>
          <w:sz w:val="20"/>
          <w:szCs w:val="21"/>
        </w:rPr>
        <w:t xml:space="preserve">. </w:t>
      </w:r>
      <w:r w:rsidR="00F91FF6" w:rsidRPr="00BE51B8">
        <w:rPr>
          <w:rFonts w:ascii="Century Gothic" w:hAnsi="Century Gothic" w:cstheme="minorHAnsi"/>
          <w:sz w:val="20"/>
          <w:szCs w:val="21"/>
        </w:rPr>
        <w:t>The market is very consolidated and the top 7 jet fuel providers own 68% of the market</w:t>
      </w:r>
      <w:r w:rsidR="00F91FF6" w:rsidRPr="00BE51B8">
        <w:rPr>
          <w:rStyle w:val="FootnoteReference"/>
          <w:rFonts w:ascii="Century Gothic" w:hAnsi="Century Gothic" w:cstheme="minorHAnsi"/>
          <w:sz w:val="20"/>
          <w:szCs w:val="21"/>
        </w:rPr>
        <w:footnoteReference w:id="10"/>
      </w:r>
      <w:r w:rsidR="00F10D71" w:rsidRPr="00BE51B8">
        <w:rPr>
          <w:rFonts w:ascii="Century Gothic" w:hAnsi="Century Gothic" w:cstheme="minorHAnsi"/>
          <w:sz w:val="20"/>
          <w:szCs w:val="21"/>
        </w:rPr>
        <w:t>.</w:t>
      </w:r>
    </w:p>
    <w:bookmarkEnd w:id="3"/>
    <w:p w14:paraId="418D481D" w14:textId="77777777" w:rsidR="000E1599" w:rsidRPr="00F41965" w:rsidRDefault="000E1599" w:rsidP="00D22497">
      <w:pPr>
        <w:spacing w:after="120"/>
        <w:rPr>
          <w:rFonts w:ascii="Century Gothic" w:hAnsi="Century Gothic" w:cstheme="minorHAnsi"/>
          <w:sz w:val="16"/>
          <w:szCs w:val="21"/>
        </w:rPr>
      </w:pPr>
    </w:p>
    <w:p w14:paraId="56B58D17" w14:textId="05370B8C" w:rsidR="00413A2E" w:rsidRPr="00042C01" w:rsidRDefault="00D9508B" w:rsidP="00D22497">
      <w:pPr>
        <w:pStyle w:val="paragraph"/>
        <w:numPr>
          <w:ilvl w:val="0"/>
          <w:numId w:val="1"/>
        </w:numPr>
        <w:spacing w:before="0" w:beforeAutospacing="0" w:after="120" w:afterAutospacing="0" w:line="259" w:lineRule="auto"/>
        <w:ind w:left="420" w:hanging="420"/>
        <w:textAlignment w:val="baseline"/>
        <w:rPr>
          <w:rStyle w:val="normaltextrun"/>
          <w:rFonts w:ascii="Century Gothic" w:hAnsi="Century Gothic" w:cs="Arial"/>
          <w:b/>
          <w:bCs/>
          <w:color w:val="002060"/>
          <w:sz w:val="22"/>
          <w:szCs w:val="22"/>
        </w:rPr>
      </w:pPr>
      <w:r w:rsidRPr="00042C01">
        <w:rPr>
          <w:rStyle w:val="normaltextrun"/>
          <w:rFonts w:ascii="Century Gothic" w:hAnsi="Century Gothic" w:cs="Arial"/>
          <w:b/>
          <w:bCs/>
          <w:color w:val="002060"/>
          <w:sz w:val="22"/>
          <w:szCs w:val="22"/>
        </w:rPr>
        <w:t xml:space="preserve">PATHWAYS: </w:t>
      </w:r>
      <w:r w:rsidR="000E1599">
        <w:rPr>
          <w:rStyle w:val="normaltextrun"/>
          <w:rFonts w:ascii="Century Gothic" w:hAnsi="Century Gothic" w:cs="Arial"/>
          <w:b/>
          <w:bCs/>
          <w:color w:val="002060"/>
          <w:sz w:val="22"/>
          <w:szCs w:val="22"/>
        </w:rPr>
        <w:t xml:space="preserve">How can </w:t>
      </w:r>
      <w:r w:rsidR="00885BAD">
        <w:rPr>
          <w:rStyle w:val="normaltextrun"/>
          <w:rFonts w:ascii="Century Gothic" w:hAnsi="Century Gothic" w:cs="Arial"/>
          <w:b/>
          <w:bCs/>
          <w:color w:val="002060"/>
          <w:sz w:val="22"/>
          <w:szCs w:val="22"/>
        </w:rPr>
        <w:t>aviation</w:t>
      </w:r>
      <w:r w:rsidR="000E1599">
        <w:rPr>
          <w:rStyle w:val="normaltextrun"/>
          <w:rFonts w:ascii="Century Gothic" w:hAnsi="Century Gothic" w:cs="Arial"/>
          <w:b/>
          <w:bCs/>
          <w:color w:val="002060"/>
          <w:sz w:val="22"/>
          <w:szCs w:val="22"/>
        </w:rPr>
        <w:t xml:space="preserve"> be decarbonised?</w:t>
      </w:r>
    </w:p>
    <w:p w14:paraId="47922E62" w14:textId="787F69D3" w:rsidR="00994970" w:rsidRDefault="00994970" w:rsidP="00D22497">
      <w:pPr>
        <w:pStyle w:val="paragraph"/>
        <w:spacing w:before="0" w:beforeAutospacing="0" w:after="120" w:afterAutospacing="0" w:line="259" w:lineRule="auto"/>
        <w:ind w:left="426"/>
        <w:textAlignment w:val="baseline"/>
        <w:rPr>
          <w:rStyle w:val="normaltextrun"/>
          <w:rFonts w:ascii="Century Gothic" w:hAnsi="Century Gothic" w:cs="Arial"/>
          <w:i/>
          <w:iCs/>
          <w:color w:val="002060"/>
          <w:sz w:val="22"/>
          <w:szCs w:val="22"/>
        </w:rPr>
      </w:pPr>
      <w:r w:rsidRPr="00042C01">
        <w:rPr>
          <w:rStyle w:val="normaltextrun"/>
          <w:rFonts w:ascii="Century Gothic" w:hAnsi="Century Gothic" w:cs="Arial"/>
          <w:i/>
          <w:iCs/>
          <w:color w:val="002060"/>
          <w:sz w:val="22"/>
          <w:szCs w:val="22"/>
        </w:rPr>
        <w:t xml:space="preserve">Decarbonising </w:t>
      </w:r>
      <w:r w:rsidR="00885BAD">
        <w:rPr>
          <w:rStyle w:val="normaltextrun"/>
          <w:rFonts w:ascii="Century Gothic" w:hAnsi="Century Gothic" w:cs="Arial"/>
          <w:i/>
          <w:iCs/>
          <w:color w:val="002060"/>
          <w:sz w:val="22"/>
          <w:szCs w:val="22"/>
        </w:rPr>
        <w:t>aviation</w:t>
      </w:r>
      <w:r w:rsidRPr="00042C01">
        <w:rPr>
          <w:rStyle w:val="normaltextrun"/>
          <w:rFonts w:ascii="Century Gothic" w:hAnsi="Century Gothic" w:cs="Arial"/>
          <w:i/>
          <w:iCs/>
          <w:color w:val="002060"/>
          <w:sz w:val="22"/>
          <w:szCs w:val="22"/>
        </w:rPr>
        <w:t xml:space="preserve"> is technically feasible</w:t>
      </w:r>
      <w:r w:rsidR="000E1599">
        <w:rPr>
          <w:rStyle w:val="normaltextrun"/>
          <w:rFonts w:ascii="Century Gothic" w:hAnsi="Century Gothic" w:cs="Arial"/>
          <w:i/>
          <w:iCs/>
          <w:color w:val="002060"/>
          <w:sz w:val="22"/>
          <w:szCs w:val="22"/>
        </w:rPr>
        <w:t xml:space="preserve">. </w:t>
      </w:r>
      <w:r w:rsidR="004C23F9">
        <w:rPr>
          <w:rStyle w:val="normaltextrun"/>
          <w:rFonts w:ascii="Century Gothic" w:hAnsi="Century Gothic" w:cs="Arial"/>
          <w:i/>
          <w:iCs/>
          <w:color w:val="002060"/>
          <w:sz w:val="22"/>
          <w:szCs w:val="22"/>
        </w:rPr>
        <w:t xml:space="preserve">For long-haul flights, a switch to </w:t>
      </w:r>
      <w:r w:rsidR="00885BAD" w:rsidRPr="00051916">
        <w:rPr>
          <w:rStyle w:val="normaltextrun"/>
          <w:rFonts w:ascii="Century Gothic" w:hAnsi="Century Gothic" w:cs="Arial"/>
          <w:i/>
          <w:iCs/>
          <w:color w:val="002060"/>
          <w:sz w:val="22"/>
          <w:szCs w:val="22"/>
        </w:rPr>
        <w:t xml:space="preserve">sustainable aviation fuels </w:t>
      </w:r>
      <w:r w:rsidR="004C23F9">
        <w:rPr>
          <w:rStyle w:val="normaltextrun"/>
          <w:rFonts w:ascii="Century Gothic" w:hAnsi="Century Gothic" w:cs="Arial"/>
          <w:i/>
          <w:iCs/>
          <w:color w:val="002060"/>
          <w:sz w:val="22"/>
          <w:szCs w:val="22"/>
        </w:rPr>
        <w:t>(biofuels or synthetic fuels) is the only foreseeable technical pathway</w:t>
      </w:r>
      <w:r w:rsidR="00A22B07">
        <w:rPr>
          <w:rStyle w:val="normaltextrun"/>
          <w:rFonts w:ascii="Century Gothic" w:hAnsi="Century Gothic" w:cs="Arial"/>
          <w:i/>
          <w:iCs/>
          <w:color w:val="002060"/>
          <w:sz w:val="22"/>
          <w:szCs w:val="22"/>
        </w:rPr>
        <w:t xml:space="preserve"> and will represent </w:t>
      </w:r>
      <w:r w:rsidR="00A6232F">
        <w:rPr>
          <w:rStyle w:val="normaltextrun"/>
          <w:rFonts w:ascii="Century Gothic" w:hAnsi="Century Gothic" w:cs="Arial"/>
          <w:i/>
          <w:iCs/>
          <w:color w:val="002060"/>
          <w:sz w:val="22"/>
          <w:szCs w:val="22"/>
        </w:rPr>
        <w:t>a significant economic cost.</w:t>
      </w:r>
      <w:r w:rsidR="00A22B07">
        <w:rPr>
          <w:rStyle w:val="normaltextrun"/>
          <w:rFonts w:ascii="Century Gothic" w:hAnsi="Century Gothic" w:cs="Arial"/>
          <w:i/>
          <w:iCs/>
          <w:color w:val="002060"/>
          <w:sz w:val="22"/>
          <w:szCs w:val="22"/>
        </w:rPr>
        <w:t xml:space="preserve"> </w:t>
      </w:r>
      <w:r w:rsidR="00A6232F">
        <w:rPr>
          <w:rStyle w:val="normaltextrun"/>
          <w:rFonts w:ascii="Century Gothic" w:hAnsi="Century Gothic" w:cs="Arial"/>
          <w:i/>
          <w:iCs/>
          <w:color w:val="002060"/>
          <w:sz w:val="22"/>
          <w:szCs w:val="22"/>
        </w:rPr>
        <w:t>However,</w:t>
      </w:r>
      <w:r w:rsidR="00A22B07">
        <w:rPr>
          <w:rStyle w:val="normaltextrun"/>
          <w:rFonts w:ascii="Century Gothic" w:hAnsi="Century Gothic" w:cs="Arial"/>
          <w:i/>
          <w:iCs/>
          <w:color w:val="002060"/>
          <w:sz w:val="22"/>
          <w:szCs w:val="22"/>
        </w:rPr>
        <w:t xml:space="preserve"> electrification (BEV or FCEV) is likely to develop</w:t>
      </w:r>
      <w:r w:rsidR="00BB5AC5">
        <w:rPr>
          <w:rStyle w:val="normaltextrun"/>
          <w:rFonts w:ascii="Century Gothic" w:hAnsi="Century Gothic" w:cs="Arial"/>
          <w:i/>
          <w:iCs/>
          <w:color w:val="002060"/>
          <w:sz w:val="22"/>
          <w:szCs w:val="22"/>
        </w:rPr>
        <w:t xml:space="preserve"> for </w:t>
      </w:r>
      <w:r w:rsidR="00953DE3">
        <w:rPr>
          <w:rStyle w:val="normaltextrun"/>
          <w:rFonts w:ascii="Century Gothic" w:hAnsi="Century Gothic" w:cs="Arial"/>
          <w:i/>
          <w:iCs/>
          <w:color w:val="002060"/>
          <w:sz w:val="22"/>
          <w:szCs w:val="22"/>
        </w:rPr>
        <w:t>short-haul aviation</w:t>
      </w:r>
      <w:r w:rsidR="000E1599">
        <w:rPr>
          <w:rStyle w:val="normaltextrun"/>
          <w:rFonts w:ascii="Century Gothic" w:hAnsi="Century Gothic" w:cs="Arial"/>
          <w:i/>
          <w:iCs/>
          <w:color w:val="002060"/>
          <w:sz w:val="22"/>
          <w:szCs w:val="22"/>
        </w:rPr>
        <w:t xml:space="preserve"> </w:t>
      </w:r>
      <w:r w:rsidR="00A6232F">
        <w:rPr>
          <w:rStyle w:val="normaltextrun"/>
          <w:rFonts w:ascii="Century Gothic" w:hAnsi="Century Gothic" w:cs="Arial"/>
          <w:i/>
          <w:iCs/>
          <w:color w:val="002060"/>
          <w:sz w:val="22"/>
          <w:szCs w:val="22"/>
        </w:rPr>
        <w:t>in the next 5-10 years, providing</w:t>
      </w:r>
      <w:r w:rsidR="00953DE3">
        <w:rPr>
          <w:rStyle w:val="normaltextrun"/>
          <w:rFonts w:ascii="Century Gothic" w:hAnsi="Century Gothic" w:cs="Arial"/>
          <w:i/>
          <w:iCs/>
          <w:color w:val="002060"/>
          <w:sz w:val="22"/>
          <w:szCs w:val="22"/>
        </w:rPr>
        <w:t xml:space="preserve"> a more </w:t>
      </w:r>
      <w:r w:rsidR="00A6232F">
        <w:rPr>
          <w:rStyle w:val="normaltextrun"/>
          <w:rFonts w:ascii="Century Gothic" w:hAnsi="Century Gothic" w:cs="Arial"/>
          <w:i/>
          <w:iCs/>
          <w:color w:val="002060"/>
          <w:sz w:val="22"/>
          <w:szCs w:val="22"/>
        </w:rPr>
        <w:t>economical</w:t>
      </w:r>
      <w:r w:rsidR="00953DE3">
        <w:rPr>
          <w:rStyle w:val="normaltextrun"/>
          <w:rFonts w:ascii="Century Gothic" w:hAnsi="Century Gothic" w:cs="Arial"/>
          <w:i/>
          <w:iCs/>
          <w:color w:val="002060"/>
          <w:sz w:val="22"/>
          <w:szCs w:val="22"/>
        </w:rPr>
        <w:t xml:space="preserve"> alternative to </w:t>
      </w:r>
      <w:r w:rsidR="007E2151">
        <w:rPr>
          <w:rStyle w:val="normaltextrun"/>
          <w:rFonts w:ascii="Century Gothic" w:hAnsi="Century Gothic" w:cs="Arial"/>
          <w:i/>
          <w:iCs/>
          <w:color w:val="002060"/>
          <w:sz w:val="22"/>
          <w:szCs w:val="22"/>
        </w:rPr>
        <w:t xml:space="preserve">conventional </w:t>
      </w:r>
      <w:r w:rsidR="00953DE3">
        <w:rPr>
          <w:rStyle w:val="normaltextrun"/>
          <w:rFonts w:ascii="Century Gothic" w:hAnsi="Century Gothic" w:cs="Arial"/>
          <w:i/>
          <w:iCs/>
          <w:color w:val="002060"/>
          <w:sz w:val="22"/>
          <w:szCs w:val="22"/>
        </w:rPr>
        <w:t>jet fuel</w:t>
      </w:r>
      <w:r w:rsidR="00BB5AC5">
        <w:rPr>
          <w:rStyle w:val="normaltextrun"/>
          <w:rFonts w:ascii="Century Gothic" w:hAnsi="Century Gothic" w:cs="Arial"/>
          <w:i/>
          <w:iCs/>
          <w:color w:val="002060"/>
          <w:sz w:val="22"/>
          <w:szCs w:val="22"/>
        </w:rPr>
        <w:t>.</w:t>
      </w:r>
    </w:p>
    <w:p w14:paraId="4B0BB71E" w14:textId="77777777" w:rsidR="0065084F" w:rsidRPr="00042C01" w:rsidRDefault="0065084F" w:rsidP="00D22497">
      <w:pPr>
        <w:pStyle w:val="paragraph"/>
        <w:spacing w:before="0" w:beforeAutospacing="0" w:after="120" w:afterAutospacing="0" w:line="259" w:lineRule="auto"/>
        <w:ind w:left="426"/>
        <w:textAlignment w:val="baseline"/>
        <w:rPr>
          <w:rStyle w:val="normaltextrun"/>
          <w:rFonts w:ascii="Century Gothic" w:hAnsi="Century Gothic" w:cs="Arial"/>
          <w:i/>
          <w:iCs/>
          <w:color w:val="002060"/>
          <w:sz w:val="22"/>
          <w:szCs w:val="22"/>
        </w:rPr>
      </w:pPr>
    </w:p>
    <w:p w14:paraId="74767BCD" w14:textId="421D0F3D" w:rsidR="00FB3300" w:rsidRDefault="005252AC" w:rsidP="001B60F0">
      <w:pPr>
        <w:pStyle w:val="ListParagraph"/>
        <w:numPr>
          <w:ilvl w:val="1"/>
          <w:numId w:val="1"/>
        </w:numPr>
        <w:spacing w:after="100"/>
        <w:ind w:left="426"/>
        <w:contextualSpacing w:val="0"/>
        <w:rPr>
          <w:rFonts w:ascii="Century Gothic" w:hAnsi="Century Gothic" w:cstheme="minorHAnsi"/>
          <w:sz w:val="20"/>
          <w:szCs w:val="21"/>
        </w:rPr>
      </w:pPr>
      <w:r>
        <w:rPr>
          <w:rFonts w:ascii="Century Gothic" w:hAnsi="Century Gothic" w:cstheme="minorHAnsi"/>
          <w:sz w:val="20"/>
          <w:szCs w:val="21"/>
        </w:rPr>
        <w:t xml:space="preserve">Economic growth generally </w:t>
      </w:r>
      <w:r w:rsidRPr="00FA5A55">
        <w:rPr>
          <w:rFonts w:ascii="Century Gothic" w:hAnsi="Century Gothic" w:cstheme="minorHAnsi"/>
          <w:sz w:val="20"/>
          <w:szCs w:val="21"/>
        </w:rPr>
        <w:t xml:space="preserve">leads to an increase in aviation demand. </w:t>
      </w:r>
      <w:r w:rsidR="00C24F91" w:rsidRPr="00FA5A55">
        <w:rPr>
          <w:rFonts w:ascii="Century Gothic" w:hAnsi="Century Gothic" w:cstheme="minorHAnsi"/>
          <w:sz w:val="20"/>
          <w:szCs w:val="21"/>
        </w:rPr>
        <w:t>Opportunities to curb demand growth are more limited in the transport sector compared to the industrial sector</w:t>
      </w:r>
      <w:r w:rsidR="00A375C0" w:rsidRPr="00FA5A55">
        <w:rPr>
          <w:rFonts w:ascii="Century Gothic" w:hAnsi="Century Gothic" w:cstheme="minorHAnsi"/>
          <w:sz w:val="20"/>
          <w:szCs w:val="21"/>
        </w:rPr>
        <w:t xml:space="preserve"> (where </w:t>
      </w:r>
      <w:r w:rsidR="00943546" w:rsidRPr="00FA5A55">
        <w:rPr>
          <w:rFonts w:ascii="Century Gothic" w:hAnsi="Century Gothic" w:cstheme="minorHAnsi"/>
          <w:sz w:val="20"/>
          <w:szCs w:val="21"/>
        </w:rPr>
        <w:t xml:space="preserve">materials </w:t>
      </w:r>
      <w:r w:rsidR="00A375C0" w:rsidRPr="00FA5A55">
        <w:rPr>
          <w:rFonts w:ascii="Century Gothic" w:hAnsi="Century Gothic" w:cstheme="minorHAnsi"/>
          <w:sz w:val="20"/>
          <w:szCs w:val="21"/>
        </w:rPr>
        <w:t>rec</w:t>
      </w:r>
      <w:r w:rsidR="00A375C0">
        <w:rPr>
          <w:rFonts w:ascii="Century Gothic" w:hAnsi="Century Gothic" w:cstheme="minorHAnsi"/>
          <w:sz w:val="20"/>
          <w:szCs w:val="21"/>
        </w:rPr>
        <w:t>ycling consti</w:t>
      </w:r>
      <w:r w:rsidR="00943546">
        <w:rPr>
          <w:rFonts w:ascii="Century Gothic" w:hAnsi="Century Gothic" w:cstheme="minorHAnsi"/>
          <w:sz w:val="20"/>
          <w:szCs w:val="21"/>
        </w:rPr>
        <w:t>tutes a huge efficiency opportunity)</w:t>
      </w:r>
      <w:r w:rsidR="00C24F91" w:rsidRPr="00C10675">
        <w:rPr>
          <w:rFonts w:ascii="Century Gothic" w:hAnsi="Century Gothic" w:cstheme="minorHAnsi"/>
          <w:sz w:val="20"/>
          <w:szCs w:val="21"/>
        </w:rPr>
        <w:t xml:space="preserve">. Nonetheless, a combination of </w:t>
      </w:r>
      <w:r w:rsidR="00A03087" w:rsidRPr="00C10675">
        <w:rPr>
          <w:rFonts w:ascii="Century Gothic" w:hAnsi="Century Gothic" w:cstheme="minorHAnsi"/>
          <w:sz w:val="20"/>
          <w:szCs w:val="21"/>
        </w:rPr>
        <w:t xml:space="preserve">greater </w:t>
      </w:r>
      <w:r w:rsidR="00736BFC">
        <w:rPr>
          <w:rFonts w:ascii="Century Gothic" w:hAnsi="Century Gothic" w:cstheme="minorHAnsi"/>
          <w:sz w:val="20"/>
          <w:szCs w:val="21"/>
        </w:rPr>
        <w:t xml:space="preserve">energy efficiency, greater </w:t>
      </w:r>
      <w:r w:rsidR="00A03087" w:rsidRPr="00C10675">
        <w:rPr>
          <w:rFonts w:ascii="Century Gothic" w:hAnsi="Century Gothic" w:cstheme="minorHAnsi"/>
          <w:sz w:val="20"/>
          <w:szCs w:val="21"/>
        </w:rPr>
        <w:t>logistics</w:t>
      </w:r>
      <w:r w:rsidR="00A03087">
        <w:rPr>
          <w:rFonts w:ascii="Century Gothic" w:hAnsi="Century Gothic" w:cstheme="minorHAnsi"/>
          <w:sz w:val="20"/>
          <w:szCs w:val="21"/>
        </w:rPr>
        <w:t xml:space="preserve"> </w:t>
      </w:r>
      <w:r w:rsidR="00A03087" w:rsidRPr="00C10675">
        <w:rPr>
          <w:rFonts w:ascii="Century Gothic" w:hAnsi="Century Gothic" w:cstheme="minorHAnsi"/>
          <w:sz w:val="20"/>
          <w:szCs w:val="21"/>
        </w:rPr>
        <w:t xml:space="preserve">and operational efficiency, </w:t>
      </w:r>
      <w:r w:rsidR="00C24F91" w:rsidRPr="00C10675">
        <w:rPr>
          <w:rFonts w:ascii="Century Gothic" w:hAnsi="Century Gothic" w:cstheme="minorHAnsi"/>
          <w:sz w:val="20"/>
          <w:szCs w:val="21"/>
        </w:rPr>
        <w:t>modal shift</w:t>
      </w:r>
      <w:r w:rsidR="00943546">
        <w:rPr>
          <w:rFonts w:ascii="Century Gothic" w:hAnsi="Century Gothic" w:cstheme="minorHAnsi"/>
          <w:sz w:val="20"/>
          <w:szCs w:val="21"/>
        </w:rPr>
        <w:t xml:space="preserve"> to </w:t>
      </w:r>
      <w:r w:rsidR="00FB3300">
        <w:rPr>
          <w:rFonts w:ascii="Century Gothic" w:hAnsi="Century Gothic" w:cstheme="minorHAnsi"/>
          <w:sz w:val="20"/>
          <w:szCs w:val="21"/>
        </w:rPr>
        <w:t>high-speed rail</w:t>
      </w:r>
      <w:r w:rsidR="00C24F91" w:rsidRPr="00C10675">
        <w:rPr>
          <w:rFonts w:ascii="Century Gothic" w:hAnsi="Century Gothic" w:cstheme="minorHAnsi"/>
          <w:sz w:val="20"/>
          <w:szCs w:val="21"/>
        </w:rPr>
        <w:t>, and reduced demand for passenger flights might still deliver up</w:t>
      </w:r>
      <w:r w:rsidR="00C24F91">
        <w:rPr>
          <w:rFonts w:ascii="Century Gothic" w:hAnsi="Century Gothic" w:cstheme="minorHAnsi"/>
          <w:sz w:val="20"/>
          <w:szCs w:val="21"/>
        </w:rPr>
        <w:t xml:space="preserve"> </w:t>
      </w:r>
      <w:r w:rsidR="00C24F91" w:rsidRPr="00C10675">
        <w:rPr>
          <w:rFonts w:ascii="Century Gothic" w:hAnsi="Century Gothic" w:cstheme="minorHAnsi"/>
          <w:sz w:val="20"/>
          <w:szCs w:val="21"/>
        </w:rPr>
        <w:t xml:space="preserve">to </w:t>
      </w:r>
      <w:r w:rsidR="00C24F91" w:rsidRPr="005252AC">
        <w:rPr>
          <w:rFonts w:ascii="Century Gothic" w:hAnsi="Century Gothic" w:cstheme="minorHAnsi"/>
          <w:sz w:val="20"/>
          <w:szCs w:val="21"/>
        </w:rPr>
        <w:t>15% emissions reduction</w:t>
      </w:r>
      <w:r w:rsidR="00C24F91" w:rsidRPr="00332CBD">
        <w:rPr>
          <w:rFonts w:ascii="Century Gothic" w:hAnsi="Century Gothic" w:cstheme="minorHAnsi"/>
          <w:sz w:val="20"/>
          <w:szCs w:val="21"/>
        </w:rPr>
        <w:t xml:space="preserve"> in aviation</w:t>
      </w:r>
      <w:r w:rsidR="00C24F91" w:rsidRPr="00C10675">
        <w:rPr>
          <w:rFonts w:ascii="Century Gothic" w:hAnsi="Century Gothic" w:cstheme="minorHAnsi"/>
          <w:sz w:val="20"/>
          <w:szCs w:val="21"/>
        </w:rPr>
        <w:t xml:space="preserve"> by 2050</w:t>
      </w:r>
      <w:r w:rsidR="006F6C9F">
        <w:rPr>
          <w:rStyle w:val="FootnoteReference"/>
          <w:rFonts w:ascii="Century Gothic" w:hAnsi="Century Gothic" w:cstheme="minorHAnsi"/>
          <w:sz w:val="20"/>
          <w:szCs w:val="21"/>
        </w:rPr>
        <w:footnoteReference w:id="11"/>
      </w:r>
      <w:r>
        <w:rPr>
          <w:rFonts w:ascii="Century Gothic" w:hAnsi="Century Gothic" w:cstheme="minorHAnsi"/>
          <w:sz w:val="20"/>
          <w:szCs w:val="21"/>
        </w:rPr>
        <w:t>.</w:t>
      </w:r>
    </w:p>
    <w:p w14:paraId="7A92FF21" w14:textId="656CDA5E" w:rsidR="00FB3300" w:rsidRPr="00042C01" w:rsidRDefault="00FB3300" w:rsidP="001B60F0">
      <w:pPr>
        <w:pStyle w:val="ListParagraph"/>
        <w:spacing w:after="100"/>
        <w:ind w:left="360"/>
        <w:contextualSpacing w:val="0"/>
        <w:rPr>
          <w:rFonts w:ascii="Century Gothic" w:hAnsi="Century Gothic" w:cstheme="minorHAnsi"/>
          <w:sz w:val="20"/>
          <w:szCs w:val="21"/>
        </w:rPr>
      </w:pPr>
      <w:r>
        <w:rPr>
          <w:rFonts w:ascii="Century Gothic" w:hAnsi="Century Gothic" w:cstheme="minorHAnsi"/>
          <w:sz w:val="20"/>
          <w:szCs w:val="21"/>
        </w:rPr>
        <w:t>A</w:t>
      </w:r>
      <w:r w:rsidRPr="00042C01">
        <w:rPr>
          <w:rFonts w:ascii="Century Gothic" w:hAnsi="Century Gothic" w:cstheme="minorHAnsi"/>
          <w:sz w:val="20"/>
          <w:szCs w:val="21"/>
        </w:rPr>
        <w:t xml:space="preserve">. </w:t>
      </w:r>
      <w:r w:rsidRPr="00042C01">
        <w:rPr>
          <w:rFonts w:ascii="Century Gothic" w:hAnsi="Century Gothic" w:cstheme="minorHAnsi"/>
          <w:sz w:val="20"/>
          <w:szCs w:val="21"/>
          <w:u w:val="single"/>
        </w:rPr>
        <w:t>Improving energy efficiency</w:t>
      </w:r>
      <w:r w:rsidRPr="00042C01">
        <w:rPr>
          <w:rFonts w:ascii="Century Gothic" w:hAnsi="Century Gothic" w:cstheme="minorHAnsi"/>
          <w:sz w:val="20"/>
          <w:szCs w:val="21"/>
        </w:rPr>
        <w:t xml:space="preserve">. </w:t>
      </w:r>
      <w:r>
        <w:rPr>
          <w:rFonts w:ascii="Century Gothic" w:hAnsi="Century Gothic" w:cstheme="minorHAnsi"/>
          <w:sz w:val="20"/>
          <w:szCs w:val="21"/>
        </w:rPr>
        <w:t>Aviation has historically improved its energy efficiency by 1-1.5% per annum, through a combination of better engine efficiency and improved airframe design</w:t>
      </w:r>
      <w:r>
        <w:rPr>
          <w:rStyle w:val="FootnoteReference"/>
          <w:rFonts w:ascii="Century Gothic" w:hAnsi="Century Gothic" w:cstheme="minorHAnsi"/>
          <w:sz w:val="20"/>
          <w:szCs w:val="21"/>
        </w:rPr>
        <w:footnoteReference w:id="12"/>
      </w:r>
      <w:r>
        <w:rPr>
          <w:rFonts w:ascii="Century Gothic" w:hAnsi="Century Gothic" w:cstheme="minorHAnsi"/>
          <w:sz w:val="20"/>
          <w:szCs w:val="21"/>
        </w:rPr>
        <w:t xml:space="preserve">. </w:t>
      </w:r>
      <w:r w:rsidR="001B60F0">
        <w:rPr>
          <w:rFonts w:ascii="Century Gothic" w:hAnsi="Century Gothic" w:cstheme="minorHAnsi"/>
          <w:sz w:val="20"/>
          <w:szCs w:val="21"/>
        </w:rPr>
        <w:t>Overall, i</w:t>
      </w:r>
      <w:r w:rsidR="001B60F0" w:rsidRPr="001B60F0">
        <w:rPr>
          <w:rFonts w:ascii="Century Gothic" w:hAnsi="Century Gothic" w:cstheme="minorHAnsi"/>
          <w:sz w:val="20"/>
          <w:szCs w:val="21"/>
        </w:rPr>
        <w:t xml:space="preserve">mproved efficiency has led to a 50% decrease in fuel costs for airlines </w:t>
      </w:r>
      <w:r w:rsidR="001B60F0">
        <w:rPr>
          <w:rFonts w:ascii="Century Gothic" w:hAnsi="Century Gothic" w:cstheme="minorHAnsi"/>
          <w:sz w:val="20"/>
          <w:szCs w:val="21"/>
        </w:rPr>
        <w:t>since 1968</w:t>
      </w:r>
      <w:r w:rsidR="001B60F0" w:rsidRPr="001B60F0">
        <w:rPr>
          <w:rFonts w:ascii="Century Gothic" w:hAnsi="Century Gothic" w:cstheme="minorHAnsi"/>
          <w:sz w:val="20"/>
          <w:szCs w:val="21"/>
        </w:rPr>
        <w:t>.</w:t>
      </w:r>
      <w:r w:rsidR="001B60F0">
        <w:rPr>
          <w:rFonts w:ascii="Century Gothic" w:hAnsi="Century Gothic" w:cstheme="minorHAnsi"/>
          <w:sz w:val="20"/>
          <w:szCs w:val="21"/>
        </w:rPr>
        <w:t xml:space="preserve"> </w:t>
      </w:r>
      <w:r>
        <w:rPr>
          <w:rFonts w:ascii="Century Gothic" w:hAnsi="Century Gothic" w:cstheme="minorHAnsi"/>
          <w:sz w:val="20"/>
          <w:szCs w:val="21"/>
        </w:rPr>
        <w:t xml:space="preserve">Further improvements are limited by thermodynamics of engines and aerodynamics and can likely only lead to </w:t>
      </w:r>
      <w:r w:rsidRPr="001B60F0">
        <w:rPr>
          <w:rFonts w:ascii="Century Gothic" w:hAnsi="Century Gothic" w:cstheme="minorHAnsi"/>
          <w:sz w:val="20"/>
          <w:szCs w:val="21"/>
        </w:rPr>
        <w:t>another 30-40% carbon impact reduction by 2030, according to IATA</w:t>
      </w:r>
      <w:r w:rsidR="001B60F0">
        <w:rPr>
          <w:rFonts w:ascii="Century Gothic" w:hAnsi="Century Gothic" w:cstheme="minorHAnsi"/>
          <w:sz w:val="20"/>
          <w:szCs w:val="21"/>
        </w:rPr>
        <w:t>’</w:t>
      </w:r>
      <w:r w:rsidRPr="001B60F0">
        <w:rPr>
          <w:rFonts w:ascii="Century Gothic" w:hAnsi="Century Gothic" w:cstheme="minorHAnsi"/>
          <w:sz w:val="20"/>
          <w:szCs w:val="21"/>
        </w:rPr>
        <w:t>s technology roadmap.</w:t>
      </w:r>
      <w:r w:rsidR="007E0DE1" w:rsidRPr="001B60F0">
        <w:rPr>
          <w:rFonts w:ascii="Century Gothic" w:hAnsi="Century Gothic" w:cstheme="minorHAnsi"/>
          <w:sz w:val="20"/>
          <w:szCs w:val="21"/>
        </w:rPr>
        <w:t xml:space="preserve"> </w:t>
      </w:r>
    </w:p>
    <w:p w14:paraId="2D30BF06" w14:textId="77777777" w:rsidR="006F6C9F" w:rsidRDefault="00E51023" w:rsidP="001B60F0">
      <w:pPr>
        <w:pStyle w:val="ListParagraph"/>
        <w:spacing w:after="100"/>
        <w:ind w:left="360"/>
        <w:contextualSpacing w:val="0"/>
        <w:rPr>
          <w:rFonts w:ascii="Century Gothic" w:hAnsi="Century Gothic" w:cstheme="minorHAnsi"/>
          <w:sz w:val="20"/>
          <w:szCs w:val="21"/>
        </w:rPr>
      </w:pPr>
      <w:r>
        <w:rPr>
          <w:rFonts w:ascii="Century Gothic" w:hAnsi="Century Gothic" w:cstheme="minorHAnsi"/>
          <w:sz w:val="20"/>
          <w:szCs w:val="21"/>
        </w:rPr>
        <w:t xml:space="preserve">B. </w:t>
      </w:r>
      <w:r w:rsidRPr="00E51023">
        <w:rPr>
          <w:rFonts w:ascii="Century Gothic" w:hAnsi="Century Gothic" w:cstheme="minorHAnsi"/>
          <w:sz w:val="20"/>
          <w:szCs w:val="21"/>
          <w:u w:val="single"/>
        </w:rPr>
        <w:t>Improved logistics and operations</w:t>
      </w:r>
      <w:r w:rsidR="006F6C9F">
        <w:rPr>
          <w:rFonts w:ascii="Century Gothic" w:hAnsi="Century Gothic" w:cstheme="minorHAnsi"/>
          <w:sz w:val="20"/>
          <w:szCs w:val="21"/>
        </w:rPr>
        <w:t>.</w:t>
      </w:r>
      <w:r w:rsidRPr="00E51023">
        <w:rPr>
          <w:rFonts w:ascii="Century Gothic" w:hAnsi="Century Gothic" w:cstheme="minorHAnsi"/>
          <w:sz w:val="20"/>
          <w:szCs w:val="21"/>
        </w:rPr>
        <w:t xml:space="preserve"> </w:t>
      </w:r>
      <w:r>
        <w:rPr>
          <w:rFonts w:ascii="Century Gothic" w:hAnsi="Century Gothic" w:cstheme="minorHAnsi"/>
          <w:sz w:val="20"/>
          <w:szCs w:val="21"/>
        </w:rPr>
        <w:t>B</w:t>
      </w:r>
      <w:r w:rsidRPr="00E51023">
        <w:rPr>
          <w:rFonts w:ascii="Century Gothic" w:hAnsi="Century Gothic" w:cstheme="minorHAnsi"/>
          <w:sz w:val="20"/>
          <w:szCs w:val="21"/>
        </w:rPr>
        <w:t>etter air traffic management (ATM) could deliver approximately 52Mt of CO2 savings by 2030 (compared to 2010 levels) if applied in Europe (via the Single European Sky ATM Research Program, SESAR) and in the United States (via the Next Generation Air Transportation System) only</w:t>
      </w:r>
      <w:r w:rsidR="006F6C9F">
        <w:rPr>
          <w:rFonts w:ascii="Century Gothic" w:hAnsi="Century Gothic" w:cstheme="minorHAnsi"/>
          <w:sz w:val="20"/>
          <w:szCs w:val="21"/>
        </w:rPr>
        <w:t>.</w:t>
      </w:r>
    </w:p>
    <w:p w14:paraId="56FA4F71" w14:textId="6BF495A4" w:rsidR="00736BFC" w:rsidRPr="00E51023" w:rsidRDefault="00AF5B20" w:rsidP="001B60F0">
      <w:pPr>
        <w:pStyle w:val="ListParagraph"/>
        <w:spacing w:after="100"/>
        <w:ind w:left="360"/>
        <w:contextualSpacing w:val="0"/>
        <w:rPr>
          <w:rFonts w:ascii="Century Gothic" w:hAnsi="Century Gothic" w:cstheme="minorHAnsi"/>
          <w:sz w:val="20"/>
          <w:szCs w:val="21"/>
        </w:rPr>
      </w:pPr>
      <w:r>
        <w:rPr>
          <w:rFonts w:ascii="Century Gothic" w:hAnsi="Century Gothic" w:cstheme="minorHAnsi"/>
          <w:sz w:val="20"/>
          <w:szCs w:val="21"/>
        </w:rPr>
        <w:t xml:space="preserve">C. </w:t>
      </w:r>
      <w:r w:rsidRPr="00AF5B20">
        <w:rPr>
          <w:rFonts w:ascii="Century Gothic" w:hAnsi="Century Gothic" w:cstheme="minorHAnsi"/>
          <w:sz w:val="20"/>
          <w:szCs w:val="21"/>
          <w:u w:val="single"/>
        </w:rPr>
        <w:t>Modal shift</w:t>
      </w:r>
      <w:r>
        <w:rPr>
          <w:rFonts w:ascii="Century Gothic" w:hAnsi="Century Gothic" w:cstheme="minorHAnsi"/>
          <w:sz w:val="20"/>
          <w:szCs w:val="21"/>
        </w:rPr>
        <w:t>. T</w:t>
      </w:r>
      <w:r w:rsidR="00736BFC" w:rsidRPr="00E51023">
        <w:rPr>
          <w:rFonts w:ascii="Century Gothic" w:hAnsi="Century Gothic" w:cstheme="minorHAnsi"/>
          <w:sz w:val="20"/>
          <w:szCs w:val="21"/>
        </w:rPr>
        <w:t xml:space="preserve">here is a significant potential to shift from short-haul domestic and intra-regional air travel to high speed rail, which would yield an average of 80% reduction in energy per </w:t>
      </w:r>
      <w:r w:rsidRPr="00E51023">
        <w:rPr>
          <w:rFonts w:ascii="Century Gothic" w:hAnsi="Century Gothic" w:cstheme="minorHAnsi"/>
          <w:sz w:val="20"/>
          <w:szCs w:val="21"/>
        </w:rPr>
        <w:t>kilometre</w:t>
      </w:r>
      <w:r w:rsidR="00736BFC" w:rsidRPr="00E51023">
        <w:rPr>
          <w:rFonts w:ascii="Century Gothic" w:hAnsi="Century Gothic" w:cstheme="minorHAnsi"/>
          <w:sz w:val="20"/>
          <w:szCs w:val="21"/>
        </w:rPr>
        <w:t xml:space="preserve"> travelled. Successful examples of modal shift between aviation and high-speed rail include the Eurostar between the UK and the continent, or the Shinkansen in Japan. </w:t>
      </w:r>
      <w:r>
        <w:rPr>
          <w:rFonts w:ascii="Century Gothic" w:hAnsi="Century Gothic" w:cstheme="minorHAnsi"/>
          <w:sz w:val="20"/>
          <w:szCs w:val="21"/>
        </w:rPr>
        <w:t>H</w:t>
      </w:r>
      <w:r w:rsidR="00736BFC" w:rsidRPr="00E51023">
        <w:rPr>
          <w:rFonts w:ascii="Century Gothic" w:hAnsi="Century Gothic" w:cstheme="minorHAnsi"/>
          <w:sz w:val="20"/>
          <w:szCs w:val="21"/>
        </w:rPr>
        <w:t xml:space="preserve">owever, significant investment in the rail infrastructure is required for such shift to occur. </w:t>
      </w:r>
      <w:r>
        <w:rPr>
          <w:rFonts w:ascii="Century Gothic" w:hAnsi="Century Gothic" w:cstheme="minorHAnsi"/>
          <w:sz w:val="20"/>
          <w:szCs w:val="21"/>
        </w:rPr>
        <w:t>Moreover, only</w:t>
      </w:r>
      <w:r w:rsidR="00736BFC" w:rsidRPr="00E51023">
        <w:rPr>
          <w:rFonts w:ascii="Century Gothic" w:hAnsi="Century Gothic" w:cstheme="minorHAnsi"/>
          <w:sz w:val="20"/>
          <w:szCs w:val="21"/>
        </w:rPr>
        <w:t xml:space="preserve"> short-haul passenger traffic</w:t>
      </w:r>
      <w:r>
        <w:rPr>
          <w:rFonts w:ascii="Century Gothic" w:hAnsi="Century Gothic" w:cstheme="minorHAnsi"/>
          <w:sz w:val="20"/>
          <w:szCs w:val="21"/>
        </w:rPr>
        <w:t xml:space="preserve"> c</w:t>
      </w:r>
      <w:r w:rsidR="00736BFC" w:rsidRPr="00E51023">
        <w:rPr>
          <w:rFonts w:ascii="Century Gothic" w:hAnsi="Century Gothic" w:cstheme="minorHAnsi"/>
          <w:sz w:val="20"/>
          <w:szCs w:val="21"/>
        </w:rPr>
        <w:t xml:space="preserve">ould </w:t>
      </w:r>
      <w:r>
        <w:rPr>
          <w:rFonts w:ascii="Century Gothic" w:hAnsi="Century Gothic" w:cstheme="minorHAnsi"/>
          <w:sz w:val="20"/>
          <w:szCs w:val="21"/>
        </w:rPr>
        <w:t xml:space="preserve">possibly </w:t>
      </w:r>
      <w:r w:rsidR="00736BFC" w:rsidRPr="00E51023">
        <w:rPr>
          <w:rFonts w:ascii="Century Gothic" w:hAnsi="Century Gothic" w:cstheme="minorHAnsi"/>
          <w:sz w:val="20"/>
          <w:szCs w:val="21"/>
        </w:rPr>
        <w:t>be eliminated</w:t>
      </w:r>
      <w:r>
        <w:rPr>
          <w:rFonts w:ascii="Century Gothic" w:hAnsi="Century Gothic" w:cstheme="minorHAnsi"/>
          <w:sz w:val="20"/>
          <w:szCs w:val="21"/>
        </w:rPr>
        <w:t>, limiting total impact on CO2 emissions from the sector.</w:t>
      </w:r>
    </w:p>
    <w:p w14:paraId="65335327" w14:textId="0D966647" w:rsidR="00C24F91" w:rsidRPr="007E0DE1" w:rsidRDefault="00AF5B20" w:rsidP="00D22497">
      <w:pPr>
        <w:pStyle w:val="ListParagraph"/>
        <w:spacing w:after="120"/>
        <w:ind w:left="360"/>
        <w:contextualSpacing w:val="0"/>
        <w:rPr>
          <w:rFonts w:ascii="Century Gothic" w:hAnsi="Century Gothic" w:cstheme="minorHAnsi"/>
          <w:sz w:val="20"/>
          <w:szCs w:val="21"/>
        </w:rPr>
      </w:pPr>
      <w:r>
        <w:rPr>
          <w:rFonts w:ascii="Century Gothic" w:hAnsi="Century Gothic" w:cstheme="minorHAnsi"/>
          <w:sz w:val="20"/>
          <w:szCs w:val="21"/>
        </w:rPr>
        <w:t>D</w:t>
      </w:r>
      <w:r w:rsidR="007E0DE1">
        <w:rPr>
          <w:rFonts w:ascii="Century Gothic" w:hAnsi="Century Gothic" w:cstheme="minorHAnsi"/>
          <w:sz w:val="20"/>
          <w:szCs w:val="21"/>
        </w:rPr>
        <w:t xml:space="preserve">. </w:t>
      </w:r>
      <w:r w:rsidRPr="00AF5B20">
        <w:rPr>
          <w:rFonts w:ascii="Century Gothic" w:hAnsi="Century Gothic" w:cstheme="minorHAnsi"/>
          <w:sz w:val="20"/>
          <w:szCs w:val="21"/>
          <w:u w:val="single"/>
        </w:rPr>
        <w:t>Demand reduction</w:t>
      </w:r>
      <w:r>
        <w:rPr>
          <w:rFonts w:ascii="Century Gothic" w:hAnsi="Century Gothic" w:cstheme="minorHAnsi"/>
          <w:sz w:val="20"/>
          <w:szCs w:val="21"/>
        </w:rPr>
        <w:t xml:space="preserve">. </w:t>
      </w:r>
      <w:r w:rsidR="00831192">
        <w:rPr>
          <w:rFonts w:ascii="Century Gothic" w:hAnsi="Century Gothic" w:cstheme="minorHAnsi"/>
          <w:sz w:val="20"/>
          <w:szCs w:val="21"/>
        </w:rPr>
        <w:t xml:space="preserve">The development of videoconferencing may also moderate the growth in business traffic. </w:t>
      </w:r>
      <w:r w:rsidR="00736BFC" w:rsidRPr="00E51023">
        <w:rPr>
          <w:rFonts w:ascii="Century Gothic" w:hAnsi="Century Gothic" w:cstheme="minorHAnsi"/>
          <w:sz w:val="20"/>
          <w:szCs w:val="21"/>
        </w:rPr>
        <w:t xml:space="preserve">Significantly higher prices for air travel </w:t>
      </w:r>
      <w:r>
        <w:rPr>
          <w:rFonts w:ascii="Century Gothic" w:hAnsi="Century Gothic" w:cstheme="minorHAnsi"/>
          <w:sz w:val="20"/>
          <w:szCs w:val="21"/>
        </w:rPr>
        <w:t xml:space="preserve">(potentially arising from use of sustainable aviation fuels) </w:t>
      </w:r>
      <w:r w:rsidR="00736BFC" w:rsidRPr="00E51023">
        <w:rPr>
          <w:rFonts w:ascii="Century Gothic" w:hAnsi="Century Gothic" w:cstheme="minorHAnsi"/>
          <w:sz w:val="20"/>
          <w:szCs w:val="21"/>
        </w:rPr>
        <w:t xml:space="preserve">may </w:t>
      </w:r>
      <w:r w:rsidR="00831192">
        <w:rPr>
          <w:rFonts w:ascii="Century Gothic" w:hAnsi="Century Gothic" w:cstheme="minorHAnsi"/>
          <w:sz w:val="20"/>
          <w:szCs w:val="21"/>
        </w:rPr>
        <w:t xml:space="preserve">also </w:t>
      </w:r>
      <w:r w:rsidR="00736BFC" w:rsidRPr="00E51023">
        <w:rPr>
          <w:rFonts w:ascii="Century Gothic" w:hAnsi="Century Gothic" w:cstheme="minorHAnsi"/>
          <w:sz w:val="20"/>
          <w:szCs w:val="21"/>
        </w:rPr>
        <w:t xml:space="preserve">somewhat moderate the growth of leisure traffic – and probably to a lesser extent of business traffic. </w:t>
      </w:r>
      <w:r>
        <w:rPr>
          <w:rFonts w:ascii="Century Gothic" w:hAnsi="Century Gothic" w:cstheme="minorHAnsi"/>
          <w:sz w:val="20"/>
          <w:szCs w:val="21"/>
        </w:rPr>
        <w:t>Moreover, r</w:t>
      </w:r>
      <w:r w:rsidR="00C24F91" w:rsidRPr="007E0DE1">
        <w:rPr>
          <w:rFonts w:ascii="Century Gothic" w:hAnsi="Century Gothic" w:cstheme="minorHAnsi"/>
          <w:sz w:val="20"/>
          <w:szCs w:val="21"/>
        </w:rPr>
        <w:t>ecent consumer movements outright condemning aviation have already led to passenger reductions, e.g., 3% domestically in Sweden in 2018 vs 2017</w:t>
      </w:r>
      <w:r w:rsidR="005252AC" w:rsidRPr="00AF5B20">
        <w:rPr>
          <w:rFonts w:ascii="Century Gothic" w:hAnsi="Century Gothic" w:cstheme="minorHAnsi"/>
          <w:sz w:val="20"/>
          <w:szCs w:val="21"/>
          <w:vertAlign w:val="superscript"/>
        </w:rPr>
        <w:footnoteReference w:id="13"/>
      </w:r>
      <w:r w:rsidR="00C24F91" w:rsidRPr="007E0DE1">
        <w:rPr>
          <w:rFonts w:ascii="Century Gothic" w:hAnsi="Century Gothic" w:cstheme="minorHAnsi"/>
          <w:sz w:val="20"/>
          <w:szCs w:val="21"/>
        </w:rPr>
        <w:t>.</w:t>
      </w:r>
    </w:p>
    <w:p w14:paraId="627ECD07" w14:textId="612987B6" w:rsidR="00B149E2" w:rsidRPr="00E33920" w:rsidRDefault="00B149E2" w:rsidP="00D22497">
      <w:pPr>
        <w:pStyle w:val="ListParagraph"/>
        <w:numPr>
          <w:ilvl w:val="1"/>
          <w:numId w:val="1"/>
        </w:numPr>
        <w:spacing w:after="120"/>
        <w:ind w:left="426"/>
        <w:contextualSpacing w:val="0"/>
        <w:rPr>
          <w:rFonts w:ascii="Century Gothic" w:hAnsi="Century Gothic" w:cstheme="minorHAnsi"/>
          <w:sz w:val="20"/>
          <w:szCs w:val="20"/>
        </w:rPr>
      </w:pPr>
      <w:r w:rsidRPr="00E33920">
        <w:rPr>
          <w:rFonts w:ascii="Century Gothic" w:hAnsi="Century Gothic" w:cstheme="minorHAnsi"/>
          <w:sz w:val="20"/>
          <w:szCs w:val="20"/>
        </w:rPr>
        <w:t>Whereas</w:t>
      </w:r>
      <w:r w:rsidRPr="00FA5A55">
        <w:rPr>
          <w:rFonts w:ascii="Century Gothic" w:hAnsi="Century Gothic" w:cstheme="minorHAnsi"/>
          <w:sz w:val="20"/>
          <w:szCs w:val="20"/>
        </w:rPr>
        <w:t xml:space="preserve"> the electrification of</w:t>
      </w:r>
      <w:r w:rsidRPr="00E33920">
        <w:rPr>
          <w:rFonts w:ascii="Century Gothic" w:hAnsi="Century Gothic" w:cstheme="minorHAnsi"/>
          <w:sz w:val="20"/>
          <w:szCs w:val="20"/>
        </w:rPr>
        <w:t xml:space="preserve"> road transport is well on its way, the same process in aviation faces a technological hurdle: fuel density. Batteries only contain 1/40th of the energy that jet fuel contains per kg and hydrogen only contains 1/3 per litre. </w:t>
      </w:r>
      <w:r w:rsidR="00445E7C" w:rsidRPr="00E33920">
        <w:rPr>
          <w:rFonts w:ascii="Century Gothic" w:hAnsi="Century Gothic" w:cstheme="minorHAnsi"/>
          <w:sz w:val="20"/>
          <w:szCs w:val="20"/>
        </w:rPr>
        <w:t xml:space="preserve">Although BEV and FCEV planes </w:t>
      </w:r>
      <w:r w:rsidRPr="00E33920">
        <w:rPr>
          <w:rFonts w:ascii="Century Gothic" w:hAnsi="Century Gothic" w:cstheme="minorHAnsi"/>
          <w:sz w:val="20"/>
          <w:szCs w:val="20"/>
        </w:rPr>
        <w:t>could provide unique advantages (better economics</w:t>
      </w:r>
      <w:r w:rsidRPr="00E33920">
        <w:rPr>
          <w:rFonts w:ascii="Century Gothic" w:hAnsi="Century Gothic"/>
          <w:sz w:val="20"/>
          <w:szCs w:val="20"/>
          <w:vertAlign w:val="superscript"/>
        </w:rPr>
        <w:footnoteReference w:id="14"/>
      </w:r>
      <w:r w:rsidRPr="00E33920">
        <w:rPr>
          <w:rFonts w:ascii="Century Gothic" w:hAnsi="Century Gothic" w:cstheme="minorHAnsi"/>
          <w:sz w:val="20"/>
          <w:szCs w:val="20"/>
        </w:rPr>
        <w:t>,</w:t>
      </w:r>
      <w:r w:rsidR="00445E7C" w:rsidRPr="00E33920">
        <w:rPr>
          <w:rFonts w:ascii="Century Gothic" w:hAnsi="Century Gothic" w:cstheme="minorHAnsi"/>
          <w:sz w:val="20"/>
          <w:szCs w:val="20"/>
        </w:rPr>
        <w:t xml:space="preserve"> no CO2 emissions</w:t>
      </w:r>
      <w:r w:rsidR="00E33920" w:rsidRPr="00E33920">
        <w:rPr>
          <w:rFonts w:ascii="Century Gothic" w:hAnsi="Century Gothic" w:cstheme="minorHAnsi"/>
          <w:sz w:val="20"/>
          <w:szCs w:val="20"/>
        </w:rPr>
        <w:t xml:space="preserve"> at point of use,</w:t>
      </w:r>
      <w:r w:rsidRPr="00E33920">
        <w:rPr>
          <w:rFonts w:ascii="Century Gothic" w:hAnsi="Century Gothic" w:cstheme="minorHAnsi"/>
          <w:sz w:val="20"/>
          <w:szCs w:val="20"/>
        </w:rPr>
        <w:t xml:space="preserve"> no non-CO2 emissions</w:t>
      </w:r>
      <w:r w:rsidR="00E33920" w:rsidRPr="00E33920">
        <w:rPr>
          <w:rFonts w:ascii="Century Gothic" w:hAnsi="Century Gothic" w:cstheme="minorHAnsi"/>
          <w:sz w:val="20"/>
          <w:szCs w:val="20"/>
        </w:rPr>
        <w:t xml:space="preserve"> either</w:t>
      </w:r>
      <w:r w:rsidRPr="00E33920">
        <w:rPr>
          <w:rFonts w:ascii="Century Gothic" w:hAnsi="Century Gothic" w:cstheme="minorHAnsi"/>
          <w:sz w:val="20"/>
          <w:szCs w:val="20"/>
        </w:rPr>
        <w:t>, etc.)</w:t>
      </w:r>
      <w:r w:rsidR="00E33920" w:rsidRPr="00E33920">
        <w:rPr>
          <w:rFonts w:ascii="Century Gothic" w:hAnsi="Century Gothic" w:cstheme="minorHAnsi"/>
          <w:sz w:val="20"/>
          <w:szCs w:val="20"/>
        </w:rPr>
        <w:t>, fuel density means that only short-haul flights could be electrified at this stage (unless there is a fundamental breakthrough in battery chemistry)</w:t>
      </w:r>
      <w:r w:rsidRPr="00E33920">
        <w:rPr>
          <w:rFonts w:ascii="Century Gothic" w:hAnsi="Century Gothic" w:cstheme="minorHAnsi"/>
          <w:sz w:val="20"/>
          <w:szCs w:val="20"/>
        </w:rPr>
        <w:t xml:space="preserve">. There are more than 170 projects on electrifying aviation </w:t>
      </w:r>
      <w:r w:rsidR="00E33920" w:rsidRPr="00E33920">
        <w:rPr>
          <w:rFonts w:ascii="Century Gothic" w:hAnsi="Century Gothic" w:cstheme="minorHAnsi"/>
          <w:sz w:val="20"/>
          <w:szCs w:val="20"/>
        </w:rPr>
        <w:t>under development</w:t>
      </w:r>
      <w:r w:rsidRPr="00E33920">
        <w:rPr>
          <w:rFonts w:ascii="Century Gothic" w:hAnsi="Century Gothic" w:cstheme="minorHAnsi"/>
          <w:sz w:val="20"/>
          <w:szCs w:val="20"/>
        </w:rPr>
        <w:t>, usually targeting up to 500NM range and &lt;20-seat aircraft with market entries</w:t>
      </w:r>
      <w:r w:rsidR="00E33920" w:rsidRPr="00E33920">
        <w:rPr>
          <w:rFonts w:ascii="Century Gothic" w:hAnsi="Century Gothic" w:cstheme="minorHAnsi"/>
          <w:sz w:val="20"/>
          <w:szCs w:val="20"/>
        </w:rPr>
        <w:t xml:space="preserve"> planned</w:t>
      </w:r>
      <w:r w:rsidRPr="00E33920">
        <w:rPr>
          <w:rFonts w:ascii="Century Gothic" w:hAnsi="Century Gothic" w:cstheme="minorHAnsi"/>
          <w:sz w:val="20"/>
          <w:szCs w:val="20"/>
        </w:rPr>
        <w:t xml:space="preserve"> around 2023</w:t>
      </w:r>
      <w:bookmarkStart w:id="4" w:name="_Ref16675363"/>
      <w:r w:rsidR="00E33920" w:rsidRPr="00E33920">
        <w:rPr>
          <w:rFonts w:ascii="Century Gothic" w:hAnsi="Century Gothic"/>
          <w:sz w:val="20"/>
          <w:szCs w:val="20"/>
          <w:vertAlign w:val="superscript"/>
        </w:rPr>
        <w:footnoteReference w:id="15"/>
      </w:r>
      <w:bookmarkEnd w:id="4"/>
      <w:r w:rsidRPr="00E33920">
        <w:rPr>
          <w:rFonts w:ascii="Century Gothic" w:hAnsi="Century Gothic" w:cstheme="minorHAnsi"/>
          <w:sz w:val="20"/>
          <w:szCs w:val="20"/>
        </w:rPr>
        <w:t>.</w:t>
      </w:r>
    </w:p>
    <w:p w14:paraId="745CA75E" w14:textId="24010FF5" w:rsidR="003C3C88" w:rsidRDefault="00831192" w:rsidP="00D22497">
      <w:pPr>
        <w:pStyle w:val="ListParagraph"/>
        <w:numPr>
          <w:ilvl w:val="1"/>
          <w:numId w:val="1"/>
        </w:numPr>
        <w:spacing w:after="120"/>
        <w:ind w:left="426"/>
        <w:contextualSpacing w:val="0"/>
        <w:rPr>
          <w:rFonts w:ascii="Century Gothic" w:hAnsi="Century Gothic" w:cstheme="minorHAnsi"/>
          <w:sz w:val="20"/>
          <w:szCs w:val="21"/>
        </w:rPr>
      </w:pPr>
      <w:r>
        <w:rPr>
          <w:rFonts w:ascii="Century Gothic" w:hAnsi="Century Gothic" w:cstheme="minorHAnsi"/>
          <w:sz w:val="20"/>
          <w:szCs w:val="21"/>
        </w:rPr>
        <w:t xml:space="preserve">To fully </w:t>
      </w:r>
      <w:r w:rsidRPr="00FA5A55">
        <w:rPr>
          <w:rFonts w:ascii="Century Gothic" w:hAnsi="Century Gothic" w:cstheme="minorHAnsi"/>
          <w:sz w:val="20"/>
          <w:szCs w:val="21"/>
        </w:rPr>
        <w:t>decarbonise long-haul aviation</w:t>
      </w:r>
      <w:r>
        <w:rPr>
          <w:rFonts w:ascii="Century Gothic" w:hAnsi="Century Gothic" w:cstheme="minorHAnsi"/>
          <w:sz w:val="20"/>
          <w:szCs w:val="21"/>
        </w:rPr>
        <w:t xml:space="preserve">, however, </w:t>
      </w:r>
      <w:r w:rsidR="003C3C88">
        <w:rPr>
          <w:rFonts w:ascii="Century Gothic" w:hAnsi="Century Gothic" w:cstheme="minorHAnsi"/>
          <w:sz w:val="20"/>
          <w:szCs w:val="21"/>
        </w:rPr>
        <w:t xml:space="preserve">the only technically feasible solution is to switch to </w:t>
      </w:r>
      <w:r w:rsidR="00953DE3" w:rsidRPr="00831192">
        <w:rPr>
          <w:rFonts w:ascii="Century Gothic" w:hAnsi="Century Gothic" w:cstheme="minorHAnsi"/>
          <w:sz w:val="20"/>
          <w:szCs w:val="21"/>
        </w:rPr>
        <w:t>sustainable aviation fuels</w:t>
      </w:r>
      <w:r w:rsidR="00E13888">
        <w:rPr>
          <w:rFonts w:ascii="Century Gothic" w:hAnsi="Century Gothic" w:cstheme="minorHAnsi"/>
          <w:sz w:val="20"/>
          <w:szCs w:val="21"/>
        </w:rPr>
        <w:t xml:space="preserve"> (SAF)</w:t>
      </w:r>
      <w:r w:rsidR="00953DE3" w:rsidRPr="00831192">
        <w:rPr>
          <w:rFonts w:ascii="Century Gothic" w:hAnsi="Century Gothic" w:cstheme="minorHAnsi"/>
          <w:sz w:val="20"/>
          <w:szCs w:val="21"/>
        </w:rPr>
        <w:t>.</w:t>
      </w:r>
      <w:r w:rsidR="00591907" w:rsidRPr="007E0DE1">
        <w:rPr>
          <w:rFonts w:ascii="Century Gothic" w:hAnsi="Century Gothic" w:cstheme="minorHAnsi"/>
          <w:sz w:val="20"/>
          <w:szCs w:val="21"/>
        </w:rPr>
        <w:t xml:space="preserve"> </w:t>
      </w:r>
      <w:r w:rsidR="00B3367C" w:rsidRPr="007E0DE1">
        <w:rPr>
          <w:rFonts w:ascii="Century Gothic" w:hAnsi="Century Gothic" w:cstheme="minorHAnsi"/>
          <w:sz w:val="20"/>
          <w:szCs w:val="21"/>
        </w:rPr>
        <w:t xml:space="preserve">It is technologically possible (and </w:t>
      </w:r>
      <w:r w:rsidR="003C3C88">
        <w:rPr>
          <w:rFonts w:ascii="Century Gothic" w:hAnsi="Century Gothic" w:cstheme="minorHAnsi"/>
          <w:sz w:val="20"/>
          <w:szCs w:val="21"/>
        </w:rPr>
        <w:t xml:space="preserve">already </w:t>
      </w:r>
      <w:r w:rsidR="00B3367C" w:rsidRPr="007E0DE1">
        <w:rPr>
          <w:rFonts w:ascii="Century Gothic" w:hAnsi="Century Gothic" w:cstheme="minorHAnsi"/>
          <w:sz w:val="20"/>
          <w:szCs w:val="21"/>
        </w:rPr>
        <w:t>done today) to produce the chemical equivalent to jet fuel</w:t>
      </w:r>
      <w:r w:rsidR="006A7E40" w:rsidRPr="007E0DE1">
        <w:rPr>
          <w:rFonts w:ascii="Century Gothic" w:hAnsi="Century Gothic" w:cstheme="minorHAnsi"/>
          <w:sz w:val="20"/>
          <w:szCs w:val="21"/>
        </w:rPr>
        <w:t>:</w:t>
      </w:r>
    </w:p>
    <w:p w14:paraId="624EB9D9" w14:textId="36ADC0A9" w:rsidR="003C3C88" w:rsidRDefault="006A7E40" w:rsidP="00D22497">
      <w:pPr>
        <w:pStyle w:val="ListParagraph"/>
        <w:numPr>
          <w:ilvl w:val="0"/>
          <w:numId w:val="38"/>
        </w:numPr>
        <w:spacing w:after="120"/>
        <w:ind w:left="1145" w:hanging="357"/>
        <w:contextualSpacing w:val="0"/>
        <w:rPr>
          <w:rFonts w:ascii="Century Gothic" w:hAnsi="Century Gothic" w:cstheme="minorHAnsi"/>
          <w:sz w:val="20"/>
          <w:szCs w:val="21"/>
        </w:rPr>
      </w:pPr>
      <w:r w:rsidRPr="003C3C88">
        <w:rPr>
          <w:rFonts w:ascii="Century Gothic" w:hAnsi="Century Gothic" w:cstheme="minorHAnsi"/>
          <w:sz w:val="20"/>
          <w:szCs w:val="21"/>
        </w:rPr>
        <w:t xml:space="preserve">One option is to </w:t>
      </w:r>
      <w:r w:rsidR="001978DE" w:rsidRPr="003C3C88">
        <w:rPr>
          <w:rFonts w:ascii="Century Gothic" w:hAnsi="Century Gothic" w:cstheme="minorHAnsi"/>
          <w:sz w:val="20"/>
          <w:szCs w:val="21"/>
        </w:rPr>
        <w:t xml:space="preserve">turn biomass to </w:t>
      </w:r>
      <w:r w:rsidR="00A73F5D">
        <w:rPr>
          <w:rFonts w:ascii="Century Gothic" w:hAnsi="Century Gothic" w:cstheme="minorHAnsi"/>
          <w:sz w:val="20"/>
          <w:szCs w:val="21"/>
        </w:rPr>
        <w:t>bio</w:t>
      </w:r>
      <w:r w:rsidR="001978DE" w:rsidRPr="003C3C88">
        <w:rPr>
          <w:rFonts w:ascii="Century Gothic" w:hAnsi="Century Gothic" w:cstheme="minorHAnsi"/>
          <w:sz w:val="20"/>
          <w:szCs w:val="21"/>
        </w:rPr>
        <w:t xml:space="preserve">fuels </w:t>
      </w:r>
      <w:r w:rsidR="00A73F5D">
        <w:rPr>
          <w:rFonts w:ascii="Century Gothic" w:hAnsi="Century Gothic" w:cstheme="minorHAnsi"/>
          <w:sz w:val="20"/>
          <w:szCs w:val="21"/>
        </w:rPr>
        <w:t xml:space="preserve">– </w:t>
      </w:r>
      <w:r w:rsidR="001978DE" w:rsidRPr="003C3C88">
        <w:rPr>
          <w:rFonts w:ascii="Century Gothic" w:hAnsi="Century Gothic" w:cstheme="minorHAnsi"/>
          <w:sz w:val="20"/>
          <w:szCs w:val="21"/>
        </w:rPr>
        <w:t>five production pathways</w:t>
      </w:r>
      <w:r w:rsidR="00A73F5D">
        <w:rPr>
          <w:rFonts w:ascii="Century Gothic" w:hAnsi="Century Gothic" w:cstheme="minorHAnsi"/>
          <w:sz w:val="20"/>
          <w:szCs w:val="21"/>
        </w:rPr>
        <w:t xml:space="preserve"> are currently certified for aviation</w:t>
      </w:r>
      <w:r w:rsidR="00A73F5D">
        <w:rPr>
          <w:rStyle w:val="FootnoteReference"/>
          <w:rFonts w:ascii="Century Gothic" w:hAnsi="Century Gothic" w:cstheme="minorHAnsi"/>
          <w:sz w:val="20"/>
          <w:szCs w:val="21"/>
        </w:rPr>
        <w:footnoteReference w:id="16"/>
      </w:r>
      <w:r w:rsidR="00A73F5D">
        <w:rPr>
          <w:rFonts w:ascii="Century Gothic" w:hAnsi="Century Gothic" w:cstheme="minorHAnsi"/>
          <w:sz w:val="20"/>
          <w:szCs w:val="21"/>
        </w:rPr>
        <w:t xml:space="preserve"> and many others are under development</w:t>
      </w:r>
      <w:r w:rsidR="003C3C88">
        <w:rPr>
          <w:rFonts w:ascii="Century Gothic" w:hAnsi="Century Gothic" w:cstheme="minorHAnsi"/>
          <w:sz w:val="20"/>
          <w:szCs w:val="21"/>
        </w:rPr>
        <w:t>.</w:t>
      </w:r>
    </w:p>
    <w:p w14:paraId="34D156F6" w14:textId="77777777" w:rsidR="00F90E78" w:rsidRDefault="00CF1805" w:rsidP="00D22497">
      <w:pPr>
        <w:pStyle w:val="ListParagraph"/>
        <w:numPr>
          <w:ilvl w:val="0"/>
          <w:numId w:val="38"/>
        </w:numPr>
        <w:spacing w:after="120"/>
        <w:ind w:left="1145" w:hanging="357"/>
        <w:contextualSpacing w:val="0"/>
        <w:rPr>
          <w:rFonts w:ascii="Century Gothic" w:hAnsi="Century Gothic" w:cstheme="minorHAnsi"/>
          <w:sz w:val="20"/>
          <w:szCs w:val="21"/>
        </w:rPr>
      </w:pPr>
      <w:r>
        <w:rPr>
          <w:rFonts w:ascii="Century Gothic" w:hAnsi="Century Gothic" w:cstheme="minorHAnsi"/>
          <w:sz w:val="20"/>
          <w:szCs w:val="21"/>
        </w:rPr>
        <w:t>The second option is to produce synthetic fuels</w:t>
      </w:r>
      <w:r w:rsidR="00A73F5D">
        <w:rPr>
          <w:rFonts w:ascii="Century Gothic" w:hAnsi="Century Gothic" w:cstheme="minorHAnsi"/>
          <w:sz w:val="20"/>
          <w:szCs w:val="21"/>
        </w:rPr>
        <w:t xml:space="preserve"> or “</w:t>
      </w:r>
      <w:proofErr w:type="spellStart"/>
      <w:r w:rsidR="00A73F5D">
        <w:rPr>
          <w:rFonts w:ascii="Century Gothic" w:hAnsi="Century Gothic" w:cstheme="minorHAnsi"/>
          <w:sz w:val="20"/>
          <w:szCs w:val="21"/>
        </w:rPr>
        <w:t>synfuels</w:t>
      </w:r>
      <w:proofErr w:type="spellEnd"/>
      <w:r w:rsidR="00A73F5D">
        <w:rPr>
          <w:rFonts w:ascii="Century Gothic" w:hAnsi="Century Gothic" w:cstheme="minorHAnsi"/>
          <w:sz w:val="20"/>
          <w:szCs w:val="21"/>
        </w:rPr>
        <w:t>”</w:t>
      </w:r>
      <w:r>
        <w:rPr>
          <w:rFonts w:ascii="Century Gothic" w:hAnsi="Century Gothic" w:cstheme="minorHAnsi"/>
          <w:sz w:val="20"/>
          <w:szCs w:val="21"/>
        </w:rPr>
        <w:t xml:space="preserve">, which </w:t>
      </w:r>
      <w:r w:rsidR="00F90E78">
        <w:rPr>
          <w:rFonts w:ascii="Century Gothic" w:hAnsi="Century Gothic" w:cstheme="minorHAnsi"/>
          <w:sz w:val="20"/>
          <w:szCs w:val="21"/>
        </w:rPr>
        <w:t>is produced from a combination of</w:t>
      </w:r>
      <w:r>
        <w:rPr>
          <w:rFonts w:ascii="Century Gothic" w:hAnsi="Century Gothic" w:cstheme="minorHAnsi"/>
          <w:sz w:val="20"/>
          <w:szCs w:val="21"/>
        </w:rPr>
        <w:t xml:space="preserve"> CO2 </w:t>
      </w:r>
      <w:r w:rsidR="00146878">
        <w:rPr>
          <w:rFonts w:ascii="Century Gothic" w:hAnsi="Century Gothic" w:cstheme="minorHAnsi"/>
          <w:sz w:val="20"/>
          <w:szCs w:val="21"/>
        </w:rPr>
        <w:t>(</w:t>
      </w:r>
      <w:r w:rsidR="00F90E78">
        <w:rPr>
          <w:rFonts w:ascii="Century Gothic" w:hAnsi="Century Gothic" w:cstheme="minorHAnsi"/>
          <w:sz w:val="20"/>
          <w:szCs w:val="21"/>
        </w:rPr>
        <w:t xml:space="preserve">coming from </w:t>
      </w:r>
      <w:r w:rsidR="00FD580B">
        <w:rPr>
          <w:rFonts w:ascii="Century Gothic" w:hAnsi="Century Gothic" w:cstheme="minorHAnsi"/>
          <w:sz w:val="20"/>
          <w:szCs w:val="21"/>
        </w:rPr>
        <w:t xml:space="preserve">direct </w:t>
      </w:r>
      <w:r w:rsidR="00146878">
        <w:rPr>
          <w:rFonts w:ascii="Century Gothic" w:hAnsi="Century Gothic" w:cstheme="minorHAnsi"/>
          <w:sz w:val="20"/>
          <w:szCs w:val="21"/>
        </w:rPr>
        <w:t>air</w:t>
      </w:r>
      <w:r w:rsidR="00FD580B">
        <w:rPr>
          <w:rFonts w:ascii="Century Gothic" w:hAnsi="Century Gothic" w:cstheme="minorHAnsi"/>
          <w:sz w:val="20"/>
          <w:szCs w:val="21"/>
        </w:rPr>
        <w:t xml:space="preserve"> capture</w:t>
      </w:r>
      <w:r w:rsidR="00146878">
        <w:rPr>
          <w:rFonts w:ascii="Century Gothic" w:hAnsi="Century Gothic" w:cstheme="minorHAnsi"/>
          <w:sz w:val="20"/>
          <w:szCs w:val="21"/>
        </w:rPr>
        <w:t xml:space="preserve"> or capture from </w:t>
      </w:r>
      <w:r w:rsidR="00FD580B">
        <w:rPr>
          <w:rFonts w:ascii="Century Gothic" w:hAnsi="Century Gothic" w:cstheme="minorHAnsi"/>
          <w:sz w:val="20"/>
          <w:szCs w:val="21"/>
        </w:rPr>
        <w:t>flue</w:t>
      </w:r>
      <w:r w:rsidR="00146878">
        <w:rPr>
          <w:rFonts w:ascii="Century Gothic" w:hAnsi="Century Gothic" w:cstheme="minorHAnsi"/>
          <w:sz w:val="20"/>
          <w:szCs w:val="21"/>
        </w:rPr>
        <w:t xml:space="preserve"> gases) and hydrogen</w:t>
      </w:r>
      <w:r w:rsidR="00C55EA4">
        <w:rPr>
          <w:rFonts w:ascii="Century Gothic" w:hAnsi="Century Gothic" w:cstheme="minorHAnsi"/>
          <w:sz w:val="20"/>
          <w:szCs w:val="21"/>
        </w:rPr>
        <w:t xml:space="preserve"> (potentially from </w:t>
      </w:r>
      <w:r w:rsidR="00F90E78">
        <w:rPr>
          <w:rFonts w:ascii="Century Gothic" w:hAnsi="Century Gothic" w:cstheme="minorHAnsi"/>
          <w:sz w:val="20"/>
          <w:szCs w:val="21"/>
        </w:rPr>
        <w:t>electrolysis of renewable power</w:t>
      </w:r>
      <w:r w:rsidR="00C55EA4">
        <w:rPr>
          <w:rFonts w:ascii="Century Gothic" w:hAnsi="Century Gothic" w:cstheme="minorHAnsi"/>
          <w:sz w:val="20"/>
          <w:szCs w:val="21"/>
        </w:rPr>
        <w:t>)</w:t>
      </w:r>
      <w:r w:rsidR="00F90E78">
        <w:rPr>
          <w:rFonts w:ascii="Century Gothic" w:hAnsi="Century Gothic" w:cstheme="minorHAnsi"/>
          <w:sz w:val="20"/>
          <w:szCs w:val="21"/>
        </w:rPr>
        <w:t>.</w:t>
      </w:r>
    </w:p>
    <w:p w14:paraId="0AF1D8ED" w14:textId="77777777" w:rsidR="00E13888" w:rsidRDefault="00C55EA4" w:rsidP="00D22497">
      <w:pPr>
        <w:pStyle w:val="ListParagraph"/>
        <w:numPr>
          <w:ilvl w:val="0"/>
          <w:numId w:val="38"/>
        </w:numPr>
        <w:spacing w:after="120"/>
        <w:ind w:left="1145" w:hanging="357"/>
        <w:contextualSpacing w:val="0"/>
        <w:rPr>
          <w:rFonts w:ascii="Century Gothic" w:hAnsi="Century Gothic" w:cstheme="minorHAnsi"/>
          <w:sz w:val="20"/>
          <w:szCs w:val="21"/>
        </w:rPr>
      </w:pPr>
      <w:r w:rsidRPr="00E62F25">
        <w:rPr>
          <w:rFonts w:ascii="Century Gothic" w:hAnsi="Century Gothic" w:cstheme="minorHAnsi"/>
          <w:sz w:val="20"/>
          <w:szCs w:val="21"/>
        </w:rPr>
        <w:t xml:space="preserve">These fuels would still </w:t>
      </w:r>
      <w:r w:rsidR="00E13888">
        <w:rPr>
          <w:rFonts w:ascii="Century Gothic" w:hAnsi="Century Gothic" w:cstheme="minorHAnsi"/>
          <w:sz w:val="20"/>
          <w:szCs w:val="21"/>
        </w:rPr>
        <w:t>emit GHG</w:t>
      </w:r>
      <w:r w:rsidRPr="00E62F25">
        <w:rPr>
          <w:rFonts w:ascii="Century Gothic" w:hAnsi="Century Gothic" w:cstheme="minorHAnsi"/>
          <w:sz w:val="20"/>
          <w:szCs w:val="21"/>
        </w:rPr>
        <w:t xml:space="preserve"> </w:t>
      </w:r>
      <w:r w:rsidR="00E13888">
        <w:rPr>
          <w:rFonts w:ascii="Century Gothic" w:hAnsi="Century Gothic" w:cstheme="minorHAnsi"/>
          <w:sz w:val="20"/>
          <w:szCs w:val="21"/>
        </w:rPr>
        <w:t>when used</w:t>
      </w:r>
      <w:r w:rsidRPr="00E62F25">
        <w:rPr>
          <w:rFonts w:ascii="Century Gothic" w:hAnsi="Century Gothic" w:cstheme="minorHAnsi"/>
          <w:sz w:val="20"/>
          <w:szCs w:val="21"/>
        </w:rPr>
        <w:t xml:space="preserve">, but could </w:t>
      </w:r>
      <w:r w:rsidR="00E13888">
        <w:rPr>
          <w:rFonts w:ascii="Century Gothic" w:hAnsi="Century Gothic" w:cstheme="minorHAnsi"/>
          <w:sz w:val="20"/>
          <w:szCs w:val="21"/>
        </w:rPr>
        <w:t xml:space="preserve">in principle </w:t>
      </w:r>
      <w:r w:rsidRPr="00E62F25">
        <w:rPr>
          <w:rFonts w:ascii="Century Gothic" w:hAnsi="Century Gothic" w:cstheme="minorHAnsi"/>
          <w:sz w:val="20"/>
          <w:szCs w:val="21"/>
        </w:rPr>
        <w:t xml:space="preserve">be </w:t>
      </w:r>
      <w:r w:rsidR="0082158A" w:rsidRPr="00E62F25">
        <w:rPr>
          <w:rFonts w:ascii="Century Gothic" w:hAnsi="Century Gothic" w:cstheme="minorHAnsi"/>
          <w:sz w:val="20"/>
          <w:szCs w:val="21"/>
        </w:rPr>
        <w:t xml:space="preserve">close to </w:t>
      </w:r>
      <w:r w:rsidRPr="00E62F25">
        <w:rPr>
          <w:rFonts w:ascii="Century Gothic" w:hAnsi="Century Gothic" w:cstheme="minorHAnsi"/>
          <w:sz w:val="20"/>
          <w:szCs w:val="21"/>
        </w:rPr>
        <w:t xml:space="preserve">net-zero </w:t>
      </w:r>
      <w:r w:rsidR="00E13888">
        <w:rPr>
          <w:rFonts w:ascii="Century Gothic" w:hAnsi="Century Gothic" w:cstheme="minorHAnsi"/>
          <w:sz w:val="20"/>
          <w:szCs w:val="21"/>
        </w:rPr>
        <w:t xml:space="preserve">emissions over their lifecycle </w:t>
      </w:r>
      <w:r w:rsidR="0082158A" w:rsidRPr="00E62F25">
        <w:rPr>
          <w:rFonts w:ascii="Century Gothic" w:hAnsi="Century Gothic" w:cstheme="minorHAnsi"/>
          <w:sz w:val="20"/>
          <w:szCs w:val="21"/>
        </w:rPr>
        <w:t xml:space="preserve">(lifecycle assessments </w:t>
      </w:r>
      <w:r w:rsidR="00E13888">
        <w:rPr>
          <w:rFonts w:ascii="Century Gothic" w:hAnsi="Century Gothic" w:cstheme="minorHAnsi"/>
          <w:sz w:val="20"/>
          <w:szCs w:val="21"/>
        </w:rPr>
        <w:t xml:space="preserve">of existing SAF </w:t>
      </w:r>
      <w:r w:rsidR="0082158A" w:rsidRPr="00E62F25">
        <w:rPr>
          <w:rFonts w:ascii="Century Gothic" w:hAnsi="Century Gothic" w:cstheme="minorHAnsi"/>
          <w:sz w:val="20"/>
          <w:szCs w:val="21"/>
        </w:rPr>
        <w:t xml:space="preserve">indicate </w:t>
      </w:r>
      <w:r w:rsidR="001F47ED" w:rsidRPr="00E62F25">
        <w:rPr>
          <w:rFonts w:ascii="Century Gothic" w:hAnsi="Century Gothic" w:cstheme="minorHAnsi"/>
          <w:sz w:val="20"/>
          <w:szCs w:val="21"/>
        </w:rPr>
        <w:t>on average 80% emission reduction</w:t>
      </w:r>
      <w:r w:rsidR="00E62F25" w:rsidRPr="00E62F25">
        <w:rPr>
          <w:rFonts w:ascii="Century Gothic" w:hAnsi="Century Gothic" w:cstheme="minorHAnsi"/>
          <w:sz w:val="20"/>
          <w:szCs w:val="21"/>
        </w:rPr>
        <w:t>)</w:t>
      </w:r>
      <w:r w:rsidR="00E13888" w:rsidRPr="00E62F25">
        <w:rPr>
          <w:rStyle w:val="FootnoteReference"/>
          <w:rFonts w:ascii="Century Gothic" w:hAnsi="Century Gothic" w:cstheme="minorHAnsi"/>
          <w:sz w:val="20"/>
          <w:szCs w:val="21"/>
        </w:rPr>
        <w:footnoteReference w:id="17"/>
      </w:r>
      <w:r w:rsidR="00E62F25" w:rsidRPr="00E62F25">
        <w:rPr>
          <w:rFonts w:ascii="Century Gothic" w:hAnsi="Century Gothic" w:cstheme="minorHAnsi"/>
          <w:sz w:val="20"/>
          <w:szCs w:val="21"/>
        </w:rPr>
        <w:t>.</w:t>
      </w:r>
    </w:p>
    <w:p w14:paraId="320CFDEE" w14:textId="2DA3B5D3" w:rsidR="007B014C" w:rsidRDefault="00E13888" w:rsidP="00D22497">
      <w:pPr>
        <w:pStyle w:val="ListParagraph"/>
        <w:numPr>
          <w:ilvl w:val="0"/>
          <w:numId w:val="38"/>
        </w:numPr>
        <w:spacing w:after="120"/>
        <w:ind w:left="1145" w:hanging="357"/>
        <w:contextualSpacing w:val="0"/>
        <w:rPr>
          <w:rFonts w:ascii="Century Gothic" w:hAnsi="Century Gothic" w:cstheme="minorHAnsi"/>
          <w:sz w:val="20"/>
          <w:szCs w:val="21"/>
        </w:rPr>
      </w:pPr>
      <w:r>
        <w:rPr>
          <w:rFonts w:ascii="Century Gothic" w:hAnsi="Century Gothic" w:cstheme="minorHAnsi"/>
          <w:sz w:val="20"/>
          <w:szCs w:val="21"/>
        </w:rPr>
        <w:t>The major</w:t>
      </w:r>
      <w:r w:rsidR="00C55EA4">
        <w:rPr>
          <w:rFonts w:ascii="Century Gothic" w:hAnsi="Century Gothic" w:cstheme="minorHAnsi"/>
          <w:sz w:val="20"/>
          <w:szCs w:val="21"/>
        </w:rPr>
        <w:t xml:space="preserve"> advantage</w:t>
      </w:r>
      <w:r>
        <w:rPr>
          <w:rFonts w:ascii="Century Gothic" w:hAnsi="Century Gothic" w:cstheme="minorHAnsi"/>
          <w:sz w:val="20"/>
          <w:szCs w:val="21"/>
        </w:rPr>
        <w:t xml:space="preserve"> of SAF</w:t>
      </w:r>
      <w:r w:rsidR="00C55EA4">
        <w:rPr>
          <w:rFonts w:ascii="Century Gothic" w:hAnsi="Century Gothic" w:cstheme="minorHAnsi"/>
          <w:sz w:val="20"/>
          <w:szCs w:val="21"/>
        </w:rPr>
        <w:t xml:space="preserve"> is their “drop-in” capability</w:t>
      </w:r>
      <w:r>
        <w:rPr>
          <w:rFonts w:ascii="Century Gothic" w:hAnsi="Century Gothic" w:cstheme="minorHAnsi"/>
          <w:sz w:val="20"/>
          <w:szCs w:val="21"/>
        </w:rPr>
        <w:t>: they can be used in existing engines and in existing infrastructure, without a need for new investments</w:t>
      </w:r>
      <w:r w:rsidR="00C55EA4">
        <w:rPr>
          <w:rFonts w:ascii="Century Gothic" w:hAnsi="Century Gothic" w:cstheme="minorHAnsi"/>
          <w:sz w:val="20"/>
          <w:szCs w:val="21"/>
        </w:rPr>
        <w:t>.</w:t>
      </w:r>
      <w:r w:rsidR="005E28C3">
        <w:rPr>
          <w:rFonts w:ascii="Century Gothic" w:hAnsi="Century Gothic" w:cstheme="minorHAnsi"/>
          <w:sz w:val="20"/>
          <w:szCs w:val="21"/>
        </w:rPr>
        <w:t xml:space="preserve"> </w:t>
      </w:r>
      <w:r w:rsidR="00C239E5">
        <w:rPr>
          <w:rFonts w:ascii="Century Gothic" w:hAnsi="Century Gothic" w:cstheme="minorHAnsi"/>
          <w:sz w:val="20"/>
          <w:szCs w:val="21"/>
        </w:rPr>
        <w:t>Moreover, a</w:t>
      </w:r>
      <w:r w:rsidR="00FA2573">
        <w:rPr>
          <w:rFonts w:ascii="Century Gothic" w:hAnsi="Century Gothic" w:cstheme="minorHAnsi"/>
          <w:sz w:val="20"/>
          <w:szCs w:val="21"/>
        </w:rPr>
        <w:t>ll certified fuels can be blended with fossil jet fuel</w:t>
      </w:r>
      <w:r w:rsidR="00A3194A">
        <w:rPr>
          <w:rFonts w:ascii="Century Gothic" w:hAnsi="Century Gothic" w:cstheme="minorHAnsi"/>
          <w:sz w:val="20"/>
          <w:szCs w:val="21"/>
        </w:rPr>
        <w:t xml:space="preserve">. The ASTM has presently certified blending up to </w:t>
      </w:r>
      <w:r w:rsidR="00FA2573">
        <w:rPr>
          <w:rFonts w:ascii="Century Gothic" w:hAnsi="Century Gothic" w:cstheme="minorHAnsi"/>
          <w:sz w:val="20"/>
          <w:szCs w:val="21"/>
        </w:rPr>
        <w:t>50%. Blends up to 100% have been demonstrated</w:t>
      </w:r>
      <w:r w:rsidR="00A3194A">
        <w:rPr>
          <w:rFonts w:ascii="Century Gothic" w:hAnsi="Century Gothic" w:cstheme="minorHAnsi"/>
          <w:sz w:val="20"/>
          <w:szCs w:val="21"/>
        </w:rPr>
        <w:t xml:space="preserve"> by constructors,</w:t>
      </w:r>
      <w:r w:rsidR="00485F8A">
        <w:rPr>
          <w:rFonts w:ascii="Century Gothic" w:hAnsi="Century Gothic" w:cstheme="minorHAnsi"/>
          <w:sz w:val="20"/>
          <w:szCs w:val="21"/>
        </w:rPr>
        <w:t xml:space="preserve"> but are not </w:t>
      </w:r>
      <w:r w:rsidR="00A3194A">
        <w:rPr>
          <w:rFonts w:ascii="Century Gothic" w:hAnsi="Century Gothic" w:cstheme="minorHAnsi"/>
          <w:sz w:val="20"/>
          <w:szCs w:val="21"/>
        </w:rPr>
        <w:t xml:space="preserve">yet certified by ASTM and </w:t>
      </w:r>
      <w:r w:rsidR="00485F8A">
        <w:rPr>
          <w:rFonts w:ascii="Century Gothic" w:hAnsi="Century Gothic" w:cstheme="minorHAnsi"/>
          <w:sz w:val="20"/>
          <w:szCs w:val="21"/>
        </w:rPr>
        <w:t>commercially available</w:t>
      </w:r>
      <w:r w:rsidR="00A3194A">
        <w:rPr>
          <w:rStyle w:val="FootnoteReference"/>
          <w:rFonts w:ascii="Century Gothic" w:hAnsi="Century Gothic" w:cstheme="minorHAnsi"/>
          <w:sz w:val="20"/>
          <w:szCs w:val="21"/>
        </w:rPr>
        <w:footnoteReference w:id="18"/>
      </w:r>
      <w:r w:rsidR="00485F8A">
        <w:rPr>
          <w:rFonts w:ascii="Century Gothic" w:hAnsi="Century Gothic" w:cstheme="minorHAnsi"/>
          <w:sz w:val="20"/>
          <w:szCs w:val="21"/>
        </w:rPr>
        <w:t>.</w:t>
      </w:r>
      <w:r w:rsidR="0088257F">
        <w:rPr>
          <w:rFonts w:ascii="Century Gothic" w:hAnsi="Century Gothic" w:cstheme="minorHAnsi"/>
          <w:sz w:val="20"/>
          <w:szCs w:val="21"/>
        </w:rPr>
        <w:t xml:space="preserve"> This means that there are </w:t>
      </w:r>
      <w:r w:rsidR="0088257F" w:rsidRPr="0065084F">
        <w:rPr>
          <w:rFonts w:ascii="Century Gothic" w:hAnsi="Century Gothic" w:cstheme="minorHAnsi"/>
          <w:sz w:val="20"/>
          <w:szCs w:val="21"/>
        </w:rPr>
        <w:t>neither technical barriers</w:t>
      </w:r>
      <w:r w:rsidR="00287887" w:rsidRPr="0065084F">
        <w:rPr>
          <w:rFonts w:ascii="Century Gothic" w:hAnsi="Century Gothic" w:cstheme="minorHAnsi"/>
          <w:sz w:val="20"/>
          <w:szCs w:val="21"/>
        </w:rPr>
        <w:t xml:space="preserve"> (the airframe manufacturers</w:t>
      </w:r>
      <w:r w:rsidR="00296105" w:rsidRPr="0065084F">
        <w:rPr>
          <w:rFonts w:ascii="Century Gothic" w:hAnsi="Century Gothic" w:cstheme="minorHAnsi"/>
          <w:sz w:val="20"/>
          <w:szCs w:val="21"/>
        </w:rPr>
        <w:t xml:space="preserve"> Boeing and Airbus have supported use of SAF for a long time)</w:t>
      </w:r>
      <w:r w:rsidR="0088257F" w:rsidRPr="0065084F">
        <w:rPr>
          <w:rFonts w:ascii="Century Gothic" w:hAnsi="Century Gothic" w:cstheme="minorHAnsi"/>
          <w:sz w:val="20"/>
          <w:szCs w:val="21"/>
        </w:rPr>
        <w:t>, no legal barriers to immediately increasing the</w:t>
      </w:r>
      <w:r w:rsidR="0088257F">
        <w:rPr>
          <w:rFonts w:ascii="Century Gothic" w:hAnsi="Century Gothic" w:cstheme="minorHAnsi"/>
          <w:sz w:val="20"/>
          <w:szCs w:val="21"/>
        </w:rPr>
        <w:t xml:space="preserve"> use of SAF in the aviation industry.</w:t>
      </w:r>
    </w:p>
    <w:p w14:paraId="69A4A007" w14:textId="77777777" w:rsidR="00F1215A" w:rsidRPr="0065084F" w:rsidRDefault="00F1215A" w:rsidP="00D22497">
      <w:pPr>
        <w:pStyle w:val="ListParagraph"/>
        <w:numPr>
          <w:ilvl w:val="0"/>
          <w:numId w:val="38"/>
        </w:numPr>
        <w:spacing w:after="120"/>
        <w:ind w:left="1145" w:hanging="357"/>
        <w:contextualSpacing w:val="0"/>
        <w:rPr>
          <w:rFonts w:ascii="Century Gothic" w:hAnsi="Century Gothic" w:cstheme="minorHAnsi"/>
          <w:sz w:val="20"/>
          <w:szCs w:val="21"/>
        </w:rPr>
      </w:pPr>
      <w:r w:rsidRPr="0065084F">
        <w:rPr>
          <w:rFonts w:ascii="Century Gothic" w:hAnsi="Century Gothic" w:cstheme="minorHAnsi"/>
          <w:sz w:val="20"/>
          <w:szCs w:val="21"/>
        </w:rPr>
        <w:t>Two types of companies are developing production of SAF:</w:t>
      </w:r>
    </w:p>
    <w:p w14:paraId="61E67CF7" w14:textId="327EAAE4" w:rsidR="00F1215A" w:rsidRPr="0065084F" w:rsidRDefault="00F1215A" w:rsidP="00F1215A">
      <w:pPr>
        <w:pStyle w:val="ListParagraph"/>
        <w:numPr>
          <w:ilvl w:val="1"/>
          <w:numId w:val="38"/>
        </w:numPr>
        <w:spacing w:after="120"/>
        <w:contextualSpacing w:val="0"/>
        <w:rPr>
          <w:rFonts w:ascii="Century Gothic" w:hAnsi="Century Gothic" w:cstheme="minorHAnsi"/>
          <w:sz w:val="20"/>
          <w:szCs w:val="21"/>
        </w:rPr>
      </w:pPr>
      <w:r w:rsidRPr="0065084F">
        <w:rPr>
          <w:rFonts w:ascii="Century Gothic" w:hAnsi="Century Gothic" w:cstheme="minorHAnsi"/>
          <w:sz w:val="20"/>
          <w:szCs w:val="21"/>
        </w:rPr>
        <w:t>C</w:t>
      </w:r>
      <w:r w:rsidR="00875653" w:rsidRPr="0065084F">
        <w:rPr>
          <w:rFonts w:ascii="Century Gothic" w:hAnsi="Century Gothic" w:cstheme="minorHAnsi"/>
          <w:sz w:val="20"/>
          <w:szCs w:val="21"/>
        </w:rPr>
        <w:t xml:space="preserve">ompanies without an </w:t>
      </w:r>
      <w:r w:rsidR="00B438A8" w:rsidRPr="0065084F">
        <w:rPr>
          <w:rFonts w:ascii="Century Gothic" w:hAnsi="Century Gothic" w:cstheme="minorHAnsi"/>
          <w:sz w:val="20"/>
          <w:szCs w:val="21"/>
        </w:rPr>
        <w:t>aviation</w:t>
      </w:r>
      <w:r w:rsidR="00D00F99" w:rsidRPr="0065084F">
        <w:rPr>
          <w:rFonts w:ascii="Century Gothic" w:hAnsi="Century Gothic" w:cstheme="minorHAnsi"/>
          <w:sz w:val="20"/>
          <w:szCs w:val="21"/>
        </w:rPr>
        <w:t xml:space="preserve"> background</w:t>
      </w:r>
      <w:r w:rsidR="00B438A8" w:rsidRPr="0065084F">
        <w:rPr>
          <w:rFonts w:ascii="Century Gothic" w:hAnsi="Century Gothic" w:cstheme="minorHAnsi"/>
          <w:sz w:val="20"/>
          <w:szCs w:val="21"/>
        </w:rPr>
        <w:t>:</w:t>
      </w:r>
      <w:r w:rsidRPr="0065084F">
        <w:rPr>
          <w:rFonts w:ascii="Century Gothic" w:hAnsi="Century Gothic" w:cstheme="minorHAnsi"/>
          <w:sz w:val="20"/>
          <w:szCs w:val="21"/>
        </w:rPr>
        <w:t xml:space="preserve"> </w:t>
      </w:r>
      <w:r w:rsidR="00D00F99" w:rsidRPr="0065084F">
        <w:rPr>
          <w:rFonts w:ascii="Century Gothic" w:hAnsi="Century Gothic" w:cstheme="minorHAnsi"/>
          <w:sz w:val="20"/>
          <w:szCs w:val="21"/>
        </w:rPr>
        <w:t>SAF from biomass</w:t>
      </w:r>
      <w:r w:rsidRPr="0065084F">
        <w:rPr>
          <w:rFonts w:ascii="Century Gothic" w:hAnsi="Century Gothic" w:cstheme="minorHAnsi"/>
          <w:sz w:val="20"/>
          <w:szCs w:val="21"/>
        </w:rPr>
        <w:t xml:space="preserve"> have been </w:t>
      </w:r>
      <w:r w:rsidR="00A9216A" w:rsidRPr="0065084F">
        <w:rPr>
          <w:rFonts w:ascii="Century Gothic" w:hAnsi="Century Gothic" w:cstheme="minorHAnsi"/>
          <w:sz w:val="20"/>
          <w:szCs w:val="21"/>
        </w:rPr>
        <w:t>produced</w:t>
      </w:r>
      <w:r w:rsidR="00D00F99" w:rsidRPr="0065084F">
        <w:rPr>
          <w:rFonts w:ascii="Century Gothic" w:hAnsi="Century Gothic" w:cstheme="minorHAnsi"/>
          <w:sz w:val="20"/>
          <w:szCs w:val="21"/>
        </w:rPr>
        <w:t xml:space="preserve"> </w:t>
      </w:r>
      <w:r w:rsidRPr="0065084F">
        <w:rPr>
          <w:rFonts w:ascii="Century Gothic" w:hAnsi="Century Gothic" w:cstheme="minorHAnsi"/>
          <w:sz w:val="20"/>
          <w:szCs w:val="21"/>
        </w:rPr>
        <w:t xml:space="preserve">initially </w:t>
      </w:r>
      <w:r w:rsidR="00D00F99" w:rsidRPr="0065084F">
        <w:rPr>
          <w:rFonts w:ascii="Century Gothic" w:hAnsi="Century Gothic" w:cstheme="minorHAnsi"/>
          <w:sz w:val="20"/>
          <w:szCs w:val="21"/>
        </w:rPr>
        <w:t>by specialised companies such as Neste</w:t>
      </w:r>
      <w:r w:rsidR="00A200E1" w:rsidRPr="0065084F">
        <w:rPr>
          <w:rFonts w:ascii="Century Gothic" w:hAnsi="Century Gothic" w:cstheme="minorHAnsi"/>
          <w:sz w:val="20"/>
          <w:szCs w:val="21"/>
        </w:rPr>
        <w:t>, Fulcrum, or World Energy, who not only supply to the aviation industry</w:t>
      </w:r>
      <w:r w:rsidRPr="0065084F">
        <w:rPr>
          <w:rFonts w:ascii="Century Gothic" w:hAnsi="Century Gothic" w:cstheme="minorHAnsi"/>
          <w:sz w:val="20"/>
          <w:szCs w:val="21"/>
        </w:rPr>
        <w:t>,</w:t>
      </w:r>
      <w:r w:rsidR="00A200E1" w:rsidRPr="0065084F">
        <w:rPr>
          <w:rFonts w:ascii="Century Gothic" w:hAnsi="Century Gothic" w:cstheme="minorHAnsi"/>
          <w:sz w:val="20"/>
          <w:szCs w:val="21"/>
        </w:rPr>
        <w:t xml:space="preserve"> but </w:t>
      </w:r>
      <w:r w:rsidRPr="0065084F">
        <w:rPr>
          <w:rFonts w:ascii="Century Gothic" w:hAnsi="Century Gothic" w:cstheme="minorHAnsi"/>
          <w:sz w:val="20"/>
          <w:szCs w:val="21"/>
        </w:rPr>
        <w:t>also to other sectors like road transport</w:t>
      </w:r>
      <w:r w:rsidR="00A200E1" w:rsidRPr="0065084F">
        <w:rPr>
          <w:rFonts w:ascii="Century Gothic" w:hAnsi="Century Gothic" w:cstheme="minorHAnsi"/>
          <w:sz w:val="20"/>
          <w:szCs w:val="21"/>
        </w:rPr>
        <w:t>.</w:t>
      </w:r>
      <w:r w:rsidRPr="0065084F">
        <w:rPr>
          <w:rFonts w:ascii="Century Gothic" w:hAnsi="Century Gothic" w:cstheme="minorHAnsi"/>
          <w:sz w:val="20"/>
          <w:szCs w:val="21"/>
        </w:rPr>
        <w:t xml:space="preserve"> Synfuels are similarly produced by specialised new entrants, either using CO2 captured on the back of industrial plants (e.g. Sunfire) or </w:t>
      </w:r>
      <w:r w:rsidR="00996E5C" w:rsidRPr="0065084F">
        <w:rPr>
          <w:rFonts w:ascii="Century Gothic" w:hAnsi="Century Gothic" w:cstheme="minorHAnsi"/>
          <w:sz w:val="20"/>
          <w:szCs w:val="21"/>
        </w:rPr>
        <w:t>using CO2 from Direct Air Capture</w:t>
      </w:r>
      <w:r w:rsidRPr="0065084F">
        <w:rPr>
          <w:rFonts w:ascii="Century Gothic" w:hAnsi="Century Gothic" w:cstheme="minorHAnsi"/>
          <w:sz w:val="20"/>
          <w:szCs w:val="21"/>
        </w:rPr>
        <w:t xml:space="preserve"> </w:t>
      </w:r>
      <w:r w:rsidR="00996E5C" w:rsidRPr="0065084F">
        <w:rPr>
          <w:rFonts w:ascii="Century Gothic" w:hAnsi="Century Gothic" w:cstheme="minorHAnsi"/>
          <w:sz w:val="20"/>
          <w:szCs w:val="21"/>
        </w:rPr>
        <w:t>(</w:t>
      </w:r>
      <w:r w:rsidRPr="0065084F">
        <w:rPr>
          <w:rFonts w:ascii="Century Gothic" w:hAnsi="Century Gothic" w:cstheme="minorHAnsi"/>
          <w:sz w:val="20"/>
          <w:szCs w:val="21"/>
        </w:rPr>
        <w:t xml:space="preserve">e.g., </w:t>
      </w:r>
      <w:proofErr w:type="spellStart"/>
      <w:r w:rsidRPr="0065084F">
        <w:rPr>
          <w:rFonts w:ascii="Century Gothic" w:hAnsi="Century Gothic" w:cstheme="minorHAnsi"/>
          <w:sz w:val="20"/>
          <w:szCs w:val="21"/>
        </w:rPr>
        <w:t>CarbonEngineering</w:t>
      </w:r>
      <w:proofErr w:type="spellEnd"/>
      <w:r w:rsidRPr="0065084F">
        <w:rPr>
          <w:rFonts w:ascii="Century Gothic" w:hAnsi="Century Gothic" w:cstheme="minorHAnsi"/>
          <w:sz w:val="20"/>
          <w:szCs w:val="21"/>
        </w:rPr>
        <w:t xml:space="preserve"> or </w:t>
      </w:r>
      <w:proofErr w:type="spellStart"/>
      <w:r w:rsidRPr="0065084F">
        <w:rPr>
          <w:rFonts w:ascii="Century Gothic" w:hAnsi="Century Gothic" w:cstheme="minorHAnsi"/>
          <w:sz w:val="20"/>
          <w:szCs w:val="21"/>
        </w:rPr>
        <w:t>Climeworks</w:t>
      </w:r>
      <w:proofErr w:type="spellEnd"/>
      <w:r w:rsidR="00996E5C" w:rsidRPr="0065084F">
        <w:rPr>
          <w:rFonts w:ascii="Century Gothic" w:hAnsi="Century Gothic" w:cstheme="minorHAnsi"/>
          <w:sz w:val="20"/>
          <w:szCs w:val="21"/>
        </w:rPr>
        <w:t>).</w:t>
      </w:r>
    </w:p>
    <w:p w14:paraId="55964147" w14:textId="77777777" w:rsidR="00F1215A" w:rsidRPr="0065084F" w:rsidRDefault="00F1215A" w:rsidP="00F1215A">
      <w:pPr>
        <w:pStyle w:val="ListParagraph"/>
        <w:numPr>
          <w:ilvl w:val="1"/>
          <w:numId w:val="38"/>
        </w:numPr>
        <w:spacing w:after="120"/>
        <w:contextualSpacing w:val="0"/>
        <w:rPr>
          <w:rFonts w:ascii="Century Gothic" w:hAnsi="Century Gothic" w:cstheme="minorHAnsi"/>
          <w:sz w:val="20"/>
          <w:szCs w:val="21"/>
        </w:rPr>
      </w:pPr>
      <w:r w:rsidRPr="0065084F">
        <w:rPr>
          <w:rFonts w:ascii="Century Gothic" w:hAnsi="Century Gothic" w:cstheme="minorHAnsi"/>
          <w:sz w:val="20"/>
          <w:szCs w:val="21"/>
        </w:rPr>
        <w:t>Conventional</w:t>
      </w:r>
      <w:r w:rsidR="00A200E1" w:rsidRPr="0065084F">
        <w:rPr>
          <w:rFonts w:ascii="Century Gothic" w:hAnsi="Century Gothic" w:cstheme="minorHAnsi"/>
          <w:sz w:val="20"/>
          <w:szCs w:val="21"/>
        </w:rPr>
        <w:t xml:space="preserve"> jet-fuel suppliers</w:t>
      </w:r>
      <w:r w:rsidRPr="0065084F">
        <w:rPr>
          <w:rFonts w:ascii="Century Gothic" w:hAnsi="Century Gothic" w:cstheme="minorHAnsi"/>
          <w:sz w:val="20"/>
          <w:szCs w:val="21"/>
        </w:rPr>
        <w:t>: Conventional jet-fuel suppliers</w:t>
      </w:r>
      <w:r w:rsidR="00A200E1" w:rsidRPr="0065084F">
        <w:rPr>
          <w:rFonts w:ascii="Century Gothic" w:hAnsi="Century Gothic" w:cstheme="minorHAnsi"/>
          <w:sz w:val="20"/>
          <w:szCs w:val="21"/>
        </w:rPr>
        <w:t xml:space="preserve"> mentioned in 1.1</w:t>
      </w:r>
      <w:r w:rsidRPr="0065084F">
        <w:rPr>
          <w:rFonts w:ascii="Century Gothic" w:hAnsi="Century Gothic" w:cstheme="minorHAnsi"/>
          <w:sz w:val="20"/>
          <w:szCs w:val="21"/>
        </w:rPr>
        <w:t>4</w:t>
      </w:r>
      <w:r w:rsidR="00A200E1" w:rsidRPr="0065084F">
        <w:rPr>
          <w:rFonts w:ascii="Century Gothic" w:hAnsi="Century Gothic" w:cstheme="minorHAnsi"/>
          <w:sz w:val="20"/>
          <w:szCs w:val="21"/>
        </w:rPr>
        <w:t xml:space="preserve"> have </w:t>
      </w:r>
      <w:r w:rsidRPr="0065084F">
        <w:rPr>
          <w:rFonts w:ascii="Century Gothic" w:hAnsi="Century Gothic" w:cstheme="minorHAnsi"/>
          <w:sz w:val="20"/>
          <w:szCs w:val="21"/>
        </w:rPr>
        <w:t xml:space="preserve">developed their own SAFs, </w:t>
      </w:r>
      <w:r w:rsidR="00A200E1" w:rsidRPr="0065084F">
        <w:rPr>
          <w:rFonts w:ascii="Century Gothic" w:hAnsi="Century Gothic" w:cstheme="minorHAnsi"/>
          <w:sz w:val="20"/>
          <w:szCs w:val="21"/>
        </w:rPr>
        <w:t>set up partnerships or acquired licenses to provide SAF.</w:t>
      </w:r>
    </w:p>
    <w:p w14:paraId="29C6C4BC" w14:textId="6D7B5FBB" w:rsidR="00961243" w:rsidRPr="0065084F" w:rsidRDefault="00F1215A" w:rsidP="00F1215A">
      <w:pPr>
        <w:pStyle w:val="ListParagraph"/>
        <w:numPr>
          <w:ilvl w:val="1"/>
          <w:numId w:val="38"/>
        </w:numPr>
        <w:spacing w:after="120"/>
        <w:contextualSpacing w:val="0"/>
        <w:rPr>
          <w:rFonts w:ascii="Century Gothic" w:hAnsi="Century Gothic" w:cstheme="minorHAnsi"/>
          <w:sz w:val="20"/>
          <w:szCs w:val="21"/>
        </w:rPr>
      </w:pPr>
      <w:r w:rsidRPr="0065084F">
        <w:rPr>
          <w:rFonts w:ascii="Century Gothic" w:hAnsi="Century Gothic" w:cstheme="minorHAnsi"/>
          <w:sz w:val="20"/>
          <w:szCs w:val="21"/>
        </w:rPr>
        <w:t xml:space="preserve">Partnerships between new entrants and conventional suppliers </w:t>
      </w:r>
      <w:proofErr w:type="gramStart"/>
      <w:r w:rsidRPr="0065084F">
        <w:rPr>
          <w:rFonts w:ascii="Century Gothic" w:hAnsi="Century Gothic" w:cstheme="minorHAnsi"/>
          <w:sz w:val="20"/>
          <w:szCs w:val="21"/>
        </w:rPr>
        <w:t xml:space="preserve">are seen </w:t>
      </w:r>
      <w:r w:rsidR="00A9216A" w:rsidRPr="0065084F">
        <w:rPr>
          <w:rFonts w:ascii="Century Gothic" w:hAnsi="Century Gothic" w:cstheme="minorHAnsi"/>
          <w:sz w:val="20"/>
          <w:szCs w:val="21"/>
        </w:rPr>
        <w:t>as</w:t>
      </w:r>
      <w:proofErr w:type="gramEnd"/>
      <w:r w:rsidR="00A9216A" w:rsidRPr="0065084F">
        <w:rPr>
          <w:rFonts w:ascii="Century Gothic" w:hAnsi="Century Gothic" w:cstheme="minorHAnsi"/>
          <w:sz w:val="20"/>
          <w:szCs w:val="21"/>
        </w:rPr>
        <w:t xml:space="preserve"> </w:t>
      </w:r>
      <w:r w:rsidR="00264E20" w:rsidRPr="0065084F">
        <w:rPr>
          <w:rFonts w:ascii="Century Gothic" w:hAnsi="Century Gothic" w:cstheme="minorHAnsi"/>
          <w:sz w:val="20"/>
          <w:szCs w:val="21"/>
        </w:rPr>
        <w:t>a mutually beneficial</w:t>
      </w:r>
      <w:r w:rsidR="00E141A3" w:rsidRPr="0065084F">
        <w:rPr>
          <w:rFonts w:ascii="Century Gothic" w:hAnsi="Century Gothic" w:cstheme="minorHAnsi"/>
          <w:sz w:val="20"/>
          <w:szCs w:val="21"/>
        </w:rPr>
        <w:t xml:space="preserve">, as </w:t>
      </w:r>
      <w:r w:rsidRPr="0065084F">
        <w:rPr>
          <w:rFonts w:ascii="Century Gothic" w:hAnsi="Century Gothic" w:cstheme="minorHAnsi"/>
          <w:sz w:val="20"/>
          <w:szCs w:val="21"/>
        </w:rPr>
        <w:t>the conventional jet-fuel supplier</w:t>
      </w:r>
      <w:r w:rsidR="00E141A3" w:rsidRPr="0065084F">
        <w:rPr>
          <w:rFonts w:ascii="Century Gothic" w:hAnsi="Century Gothic" w:cstheme="minorHAnsi"/>
          <w:sz w:val="20"/>
          <w:szCs w:val="21"/>
        </w:rPr>
        <w:t xml:space="preserve"> provides existing infrastructure and relationships with airports, whereas the former provides </w:t>
      </w:r>
      <w:r w:rsidRPr="0065084F">
        <w:rPr>
          <w:rFonts w:ascii="Century Gothic" w:hAnsi="Century Gothic" w:cstheme="minorHAnsi"/>
          <w:sz w:val="20"/>
          <w:szCs w:val="21"/>
        </w:rPr>
        <w:t xml:space="preserve">new </w:t>
      </w:r>
      <w:r w:rsidR="00E141A3" w:rsidRPr="0065084F">
        <w:rPr>
          <w:rFonts w:ascii="Century Gothic" w:hAnsi="Century Gothic" w:cstheme="minorHAnsi"/>
          <w:sz w:val="20"/>
          <w:szCs w:val="21"/>
        </w:rPr>
        <w:t xml:space="preserve">production </w:t>
      </w:r>
      <w:r w:rsidRPr="0065084F">
        <w:rPr>
          <w:rFonts w:ascii="Century Gothic" w:hAnsi="Century Gothic" w:cstheme="minorHAnsi"/>
          <w:sz w:val="20"/>
          <w:szCs w:val="21"/>
        </w:rPr>
        <w:t xml:space="preserve">routes </w:t>
      </w:r>
      <w:r w:rsidR="00E141A3" w:rsidRPr="0065084F">
        <w:rPr>
          <w:rFonts w:ascii="Century Gothic" w:hAnsi="Century Gothic" w:cstheme="minorHAnsi"/>
          <w:sz w:val="20"/>
          <w:szCs w:val="21"/>
        </w:rPr>
        <w:t>know-how.</w:t>
      </w:r>
      <w:r w:rsidR="00B438A8" w:rsidRPr="0065084F">
        <w:rPr>
          <w:rFonts w:ascii="Century Gothic" w:hAnsi="Century Gothic" w:cstheme="minorHAnsi"/>
          <w:sz w:val="20"/>
          <w:szCs w:val="21"/>
        </w:rPr>
        <w:t xml:space="preserve"> </w:t>
      </w:r>
    </w:p>
    <w:p w14:paraId="6C9F1B70" w14:textId="1939F1FA" w:rsidR="007207C6" w:rsidRPr="00D73B1E" w:rsidRDefault="00E33920" w:rsidP="00D22497">
      <w:pPr>
        <w:pStyle w:val="ListParagraph"/>
        <w:numPr>
          <w:ilvl w:val="1"/>
          <w:numId w:val="1"/>
        </w:numPr>
        <w:spacing w:after="120"/>
        <w:ind w:left="426"/>
        <w:contextualSpacing w:val="0"/>
        <w:rPr>
          <w:rFonts w:ascii="Century Gothic" w:hAnsi="Century Gothic" w:cstheme="minorHAnsi"/>
          <w:sz w:val="20"/>
          <w:szCs w:val="21"/>
        </w:rPr>
      </w:pPr>
      <w:r>
        <w:rPr>
          <w:rFonts w:ascii="Century Gothic" w:hAnsi="Century Gothic" w:cstheme="minorHAnsi"/>
          <w:sz w:val="20"/>
          <w:szCs w:val="21"/>
        </w:rPr>
        <w:t xml:space="preserve">The </w:t>
      </w:r>
      <w:r w:rsidR="004832A2">
        <w:rPr>
          <w:rFonts w:ascii="Century Gothic" w:hAnsi="Century Gothic" w:cstheme="minorHAnsi"/>
          <w:sz w:val="20"/>
          <w:szCs w:val="21"/>
        </w:rPr>
        <w:t xml:space="preserve">aviation market </w:t>
      </w:r>
      <w:r>
        <w:rPr>
          <w:rFonts w:ascii="Century Gothic" w:hAnsi="Century Gothic" w:cstheme="minorHAnsi"/>
          <w:sz w:val="20"/>
          <w:szCs w:val="21"/>
        </w:rPr>
        <w:t xml:space="preserve">will therefore probably be split </w:t>
      </w:r>
      <w:r w:rsidR="004832A2">
        <w:rPr>
          <w:rFonts w:ascii="Century Gothic" w:hAnsi="Century Gothic" w:cstheme="minorHAnsi"/>
          <w:sz w:val="20"/>
          <w:szCs w:val="21"/>
        </w:rPr>
        <w:t>into</w:t>
      </w:r>
      <w:r>
        <w:rPr>
          <w:rFonts w:ascii="Century Gothic" w:hAnsi="Century Gothic" w:cstheme="minorHAnsi"/>
          <w:sz w:val="20"/>
          <w:szCs w:val="21"/>
        </w:rPr>
        <w:t xml:space="preserve"> different</w:t>
      </w:r>
      <w:r w:rsidR="004832A2">
        <w:rPr>
          <w:rFonts w:ascii="Century Gothic" w:hAnsi="Century Gothic" w:cstheme="minorHAnsi"/>
          <w:sz w:val="20"/>
          <w:szCs w:val="21"/>
        </w:rPr>
        <w:t xml:space="preserve"> segments </w:t>
      </w:r>
      <w:r>
        <w:rPr>
          <w:rFonts w:ascii="Century Gothic" w:hAnsi="Century Gothic" w:cstheme="minorHAnsi"/>
          <w:sz w:val="20"/>
          <w:szCs w:val="21"/>
        </w:rPr>
        <w:t>with different decarbonisation pathways depending on</w:t>
      </w:r>
      <w:r w:rsidR="004832A2">
        <w:rPr>
          <w:rFonts w:ascii="Century Gothic" w:hAnsi="Century Gothic" w:cstheme="minorHAnsi"/>
          <w:sz w:val="20"/>
          <w:szCs w:val="21"/>
        </w:rPr>
        <w:t xml:space="preserve"> range and aircraft size. </w:t>
      </w:r>
      <w:r w:rsidR="00A7746B">
        <w:rPr>
          <w:rFonts w:ascii="Century Gothic" w:hAnsi="Century Gothic" w:cstheme="minorHAnsi"/>
          <w:sz w:val="20"/>
          <w:szCs w:val="21"/>
        </w:rPr>
        <w:t>Under the assumption that electrified aircraft can deliver on their cost savings promises</w:t>
      </w:r>
      <w:r w:rsidR="00A04250">
        <w:rPr>
          <w:rFonts w:ascii="Century Gothic" w:hAnsi="Century Gothic" w:cstheme="minorHAnsi"/>
          <w:sz w:val="20"/>
          <w:szCs w:val="21"/>
        </w:rPr>
        <w:t xml:space="preserve"> (becoming cheaper than SAF, but also cheaper than conventional jet fuel)</w:t>
      </w:r>
      <w:r w:rsidR="00A7746B">
        <w:rPr>
          <w:rFonts w:ascii="Century Gothic" w:hAnsi="Century Gothic" w:cstheme="minorHAnsi"/>
          <w:sz w:val="20"/>
          <w:szCs w:val="21"/>
        </w:rPr>
        <w:t>, e</w:t>
      </w:r>
      <w:r w:rsidR="004832A2">
        <w:rPr>
          <w:rFonts w:ascii="Century Gothic" w:hAnsi="Century Gothic" w:cstheme="minorHAnsi"/>
          <w:sz w:val="20"/>
          <w:szCs w:val="21"/>
        </w:rPr>
        <w:t>verything that can</w:t>
      </w:r>
      <w:r w:rsidR="002978AB">
        <w:rPr>
          <w:rFonts w:ascii="Century Gothic" w:hAnsi="Century Gothic" w:cstheme="minorHAnsi"/>
          <w:sz w:val="20"/>
          <w:szCs w:val="21"/>
        </w:rPr>
        <w:t xml:space="preserve"> be</w:t>
      </w:r>
      <w:r w:rsidR="004832A2">
        <w:rPr>
          <w:rFonts w:ascii="Century Gothic" w:hAnsi="Century Gothic" w:cstheme="minorHAnsi"/>
          <w:sz w:val="20"/>
          <w:szCs w:val="21"/>
        </w:rPr>
        <w:t xml:space="preserve">, will be electrified, starting with </w:t>
      </w:r>
      <w:r w:rsidR="00A5480E">
        <w:rPr>
          <w:rFonts w:ascii="Century Gothic" w:hAnsi="Century Gothic" w:cstheme="minorHAnsi"/>
          <w:sz w:val="20"/>
          <w:szCs w:val="21"/>
        </w:rPr>
        <w:t xml:space="preserve">sub-500NM travel from 2025 with new aircraft. As technology improves, higher ranges or larger aircrafts </w:t>
      </w:r>
      <w:r w:rsidR="00A04250">
        <w:rPr>
          <w:rFonts w:ascii="Century Gothic" w:hAnsi="Century Gothic" w:cstheme="minorHAnsi"/>
          <w:sz w:val="20"/>
          <w:szCs w:val="21"/>
        </w:rPr>
        <w:t>could be</w:t>
      </w:r>
      <w:r w:rsidR="00A5480E">
        <w:rPr>
          <w:rFonts w:ascii="Century Gothic" w:hAnsi="Century Gothic" w:cstheme="minorHAnsi"/>
          <w:sz w:val="20"/>
          <w:szCs w:val="21"/>
        </w:rPr>
        <w:t xml:space="preserve"> unlocked for electrification</w:t>
      </w:r>
      <w:r w:rsidR="007B014C">
        <w:rPr>
          <w:rFonts w:ascii="Century Gothic" w:hAnsi="Century Gothic" w:cstheme="minorHAnsi"/>
          <w:sz w:val="20"/>
          <w:szCs w:val="21"/>
        </w:rPr>
        <w:t xml:space="preserve"> (see Exhibit 3).</w:t>
      </w:r>
    </w:p>
    <w:p w14:paraId="6B39C1B8" w14:textId="759256AF" w:rsidR="00EB14DE" w:rsidRDefault="005A07CB" w:rsidP="00D22497">
      <w:pPr>
        <w:spacing w:after="120"/>
        <w:rPr>
          <w:rFonts w:ascii="Century Gothic" w:hAnsi="Century Gothic" w:cstheme="minorHAnsi"/>
          <w:sz w:val="20"/>
          <w:szCs w:val="21"/>
        </w:rPr>
      </w:pPr>
      <w:r w:rsidRPr="005A07CB">
        <w:rPr>
          <w:rFonts w:ascii="Century Gothic" w:hAnsi="Century Gothic" w:cstheme="minorHAnsi"/>
          <w:noProof/>
          <w:sz w:val="20"/>
          <w:szCs w:val="21"/>
          <w:lang w:eastAsia="zh-CN"/>
        </w:rPr>
        <w:drawing>
          <wp:inline distT="0" distB="0" distL="0" distR="0" wp14:anchorId="1511DB22" wp14:editId="1ED32C2A">
            <wp:extent cx="5731510" cy="3223895"/>
            <wp:effectExtent l="19050" t="19050" r="21590" b="146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223895"/>
                    </a:xfrm>
                    <a:prstGeom prst="rect">
                      <a:avLst/>
                    </a:prstGeom>
                    <a:ln>
                      <a:solidFill>
                        <a:schemeClr val="accent1"/>
                      </a:solidFill>
                    </a:ln>
                  </pic:spPr>
                </pic:pic>
              </a:graphicData>
            </a:graphic>
          </wp:inline>
        </w:drawing>
      </w:r>
    </w:p>
    <w:p w14:paraId="7AEA774B" w14:textId="720C1897" w:rsidR="005A07CB" w:rsidRDefault="005A07CB" w:rsidP="00D22497">
      <w:pPr>
        <w:spacing w:after="120"/>
        <w:ind w:left="66"/>
        <w:rPr>
          <w:rFonts w:ascii="Century Gothic" w:hAnsi="Century Gothic" w:cstheme="minorHAnsi"/>
          <w:b/>
          <w:color w:val="002060"/>
          <w:sz w:val="18"/>
          <w:szCs w:val="21"/>
        </w:rPr>
      </w:pPr>
      <w:r w:rsidRPr="00C434DC">
        <w:rPr>
          <w:rFonts w:ascii="Century Gothic" w:hAnsi="Century Gothic" w:cstheme="minorHAnsi"/>
          <w:b/>
          <w:color w:val="002060"/>
          <w:sz w:val="18"/>
          <w:szCs w:val="21"/>
        </w:rPr>
        <w:t xml:space="preserve">Exhibit </w:t>
      </w:r>
      <w:r>
        <w:rPr>
          <w:rFonts w:ascii="Century Gothic" w:hAnsi="Century Gothic" w:cstheme="minorHAnsi"/>
          <w:b/>
          <w:color w:val="002060"/>
          <w:sz w:val="18"/>
          <w:szCs w:val="21"/>
        </w:rPr>
        <w:t>3</w:t>
      </w:r>
    </w:p>
    <w:p w14:paraId="0A14619A" w14:textId="77777777" w:rsidR="005A07CB" w:rsidRDefault="005A07CB" w:rsidP="00D22497">
      <w:pPr>
        <w:spacing w:after="120"/>
        <w:rPr>
          <w:rFonts w:ascii="Century Gothic" w:hAnsi="Century Gothic" w:cstheme="minorHAnsi"/>
          <w:sz w:val="20"/>
          <w:szCs w:val="21"/>
        </w:rPr>
      </w:pPr>
    </w:p>
    <w:p w14:paraId="12B971FD" w14:textId="35F9E3F9" w:rsidR="00D520DA" w:rsidRPr="007C0A69" w:rsidRDefault="00BF54C3" w:rsidP="00D22497">
      <w:pPr>
        <w:pStyle w:val="ListParagraph"/>
        <w:numPr>
          <w:ilvl w:val="1"/>
          <w:numId w:val="1"/>
        </w:numPr>
        <w:spacing w:after="120"/>
        <w:ind w:left="426"/>
        <w:contextualSpacing w:val="0"/>
        <w:rPr>
          <w:rFonts w:ascii="Century Gothic" w:hAnsi="Century Gothic" w:cstheme="minorHAnsi"/>
          <w:sz w:val="20"/>
          <w:szCs w:val="21"/>
        </w:rPr>
      </w:pPr>
      <w:r w:rsidRPr="00BF54C3">
        <w:rPr>
          <w:rFonts w:ascii="Century Gothic" w:hAnsi="Century Gothic" w:cstheme="minorHAnsi"/>
          <w:sz w:val="20"/>
          <w:szCs w:val="21"/>
        </w:rPr>
        <w:t>In parallel,</w:t>
      </w:r>
      <w:r>
        <w:rPr>
          <w:rFonts w:ascii="Century Gothic" w:hAnsi="Century Gothic" w:cstheme="minorHAnsi"/>
          <w:b/>
          <w:sz w:val="20"/>
          <w:szCs w:val="21"/>
        </w:rPr>
        <w:t xml:space="preserve"> c</w:t>
      </w:r>
      <w:r w:rsidR="00D520DA" w:rsidRPr="007C0A69">
        <w:rPr>
          <w:rFonts w:ascii="Century Gothic" w:hAnsi="Century Gothic" w:cstheme="minorHAnsi"/>
          <w:b/>
          <w:sz w:val="20"/>
          <w:szCs w:val="21"/>
        </w:rPr>
        <w:t>arbon offsets</w:t>
      </w:r>
      <w:r w:rsidR="00D520DA" w:rsidRPr="007C0A69">
        <w:rPr>
          <w:rFonts w:ascii="Century Gothic" w:hAnsi="Century Gothic" w:cstheme="minorHAnsi"/>
          <w:sz w:val="20"/>
          <w:szCs w:val="21"/>
        </w:rPr>
        <w:t xml:space="preserve"> are lauded by industry </w:t>
      </w:r>
      <w:r w:rsidR="00521F39">
        <w:rPr>
          <w:rFonts w:ascii="Century Gothic" w:hAnsi="Century Gothic" w:cstheme="minorHAnsi"/>
          <w:sz w:val="20"/>
          <w:szCs w:val="21"/>
        </w:rPr>
        <w:t>as a market-based decarbonisation measure</w:t>
      </w:r>
      <w:r w:rsidR="00AB1CCA" w:rsidRPr="007C0A69">
        <w:rPr>
          <w:rFonts w:ascii="Century Gothic" w:hAnsi="Century Gothic" w:cstheme="minorHAnsi"/>
          <w:sz w:val="20"/>
          <w:szCs w:val="21"/>
        </w:rPr>
        <w:t>. Under CORSIA (Carbon</w:t>
      </w:r>
      <w:r w:rsidR="007C0A69" w:rsidRPr="007C0A69">
        <w:rPr>
          <w:rFonts w:ascii="Century Gothic" w:hAnsi="Century Gothic" w:cstheme="minorHAnsi"/>
          <w:sz w:val="20"/>
          <w:szCs w:val="21"/>
        </w:rPr>
        <w:t xml:space="preserve"> </w:t>
      </w:r>
      <w:r w:rsidR="00AB1CCA" w:rsidRPr="007C0A69">
        <w:rPr>
          <w:rFonts w:ascii="Century Gothic" w:hAnsi="Century Gothic" w:cstheme="minorHAnsi"/>
          <w:sz w:val="20"/>
          <w:szCs w:val="21"/>
        </w:rPr>
        <w:t>Offsetting and Reduction Scheme for International Aviation), aircraft operators of</w:t>
      </w:r>
      <w:r w:rsidR="007C0A69" w:rsidRPr="007C0A69">
        <w:rPr>
          <w:rFonts w:ascii="Century Gothic" w:hAnsi="Century Gothic" w:cstheme="minorHAnsi"/>
          <w:sz w:val="20"/>
          <w:szCs w:val="21"/>
        </w:rPr>
        <w:t xml:space="preserve"> I</w:t>
      </w:r>
      <w:r w:rsidR="00AB1CCA" w:rsidRPr="007C0A69">
        <w:rPr>
          <w:rFonts w:ascii="Century Gothic" w:hAnsi="Century Gothic" w:cstheme="minorHAnsi"/>
          <w:sz w:val="20"/>
          <w:szCs w:val="21"/>
        </w:rPr>
        <w:t>CAO</w:t>
      </w:r>
      <w:r>
        <w:rPr>
          <w:rFonts w:ascii="Century Gothic" w:hAnsi="Century Gothic" w:cstheme="minorHAnsi"/>
          <w:sz w:val="20"/>
          <w:szCs w:val="21"/>
        </w:rPr>
        <w:t xml:space="preserve"> </w:t>
      </w:r>
      <w:r w:rsidR="00AB1CCA" w:rsidRPr="007C0A69">
        <w:rPr>
          <w:rFonts w:ascii="Century Gothic" w:hAnsi="Century Gothic" w:cstheme="minorHAnsi"/>
          <w:sz w:val="20"/>
          <w:szCs w:val="21"/>
        </w:rPr>
        <w:t>member states will be required to offset CO2 emission units based on their</w:t>
      </w:r>
      <w:r w:rsidR="007C0A69" w:rsidRPr="007C0A69">
        <w:rPr>
          <w:rFonts w:ascii="Century Gothic" w:hAnsi="Century Gothic" w:cstheme="minorHAnsi"/>
          <w:sz w:val="20"/>
          <w:szCs w:val="21"/>
        </w:rPr>
        <w:t xml:space="preserve"> </w:t>
      </w:r>
      <w:r w:rsidR="00AB1CCA" w:rsidRPr="007C0A69">
        <w:rPr>
          <w:rFonts w:ascii="Century Gothic" w:hAnsi="Century Gothic" w:cstheme="minorHAnsi"/>
          <w:sz w:val="20"/>
          <w:szCs w:val="21"/>
        </w:rPr>
        <w:t xml:space="preserve">annual fuel consumption. </w:t>
      </w:r>
      <w:r w:rsidR="00AB1CCA" w:rsidRPr="00BF54C3">
        <w:rPr>
          <w:rFonts w:ascii="Century Gothic" w:hAnsi="Century Gothic" w:cstheme="minorHAnsi"/>
          <w:sz w:val="20"/>
          <w:szCs w:val="21"/>
        </w:rPr>
        <w:t>This initial use of</w:t>
      </w:r>
      <w:r w:rsidR="007C0A69" w:rsidRPr="00BF54C3">
        <w:rPr>
          <w:rFonts w:ascii="Century Gothic" w:hAnsi="Century Gothic" w:cstheme="minorHAnsi"/>
          <w:sz w:val="20"/>
          <w:szCs w:val="21"/>
        </w:rPr>
        <w:t xml:space="preserve"> </w:t>
      </w:r>
      <w:r w:rsidR="00AB1CCA" w:rsidRPr="00BF54C3">
        <w:rPr>
          <w:rFonts w:ascii="Century Gothic" w:hAnsi="Century Gothic" w:cstheme="minorHAnsi"/>
          <w:sz w:val="20"/>
          <w:szCs w:val="21"/>
        </w:rPr>
        <w:t xml:space="preserve">offsets can be justified given that the aviation industry faces </w:t>
      </w:r>
      <w:r w:rsidR="00AB1CCA" w:rsidRPr="00BF54C3">
        <w:rPr>
          <w:rFonts w:ascii="Century Gothic" w:hAnsi="Century Gothic" w:cstheme="minorHAnsi"/>
          <w:bCs/>
          <w:sz w:val="20"/>
          <w:szCs w:val="21"/>
        </w:rPr>
        <w:t>high mitigation costs per</w:t>
      </w:r>
      <w:r w:rsidR="007C0A69" w:rsidRPr="00BF54C3">
        <w:rPr>
          <w:rFonts w:ascii="Century Gothic" w:hAnsi="Century Gothic" w:cstheme="minorHAnsi"/>
          <w:bCs/>
          <w:sz w:val="20"/>
          <w:szCs w:val="21"/>
        </w:rPr>
        <w:t xml:space="preserve"> </w:t>
      </w:r>
      <w:r w:rsidR="00AB1CCA" w:rsidRPr="00BF54C3">
        <w:rPr>
          <w:rFonts w:ascii="Century Gothic" w:hAnsi="Century Gothic" w:cstheme="minorHAnsi"/>
          <w:bCs/>
          <w:sz w:val="20"/>
          <w:szCs w:val="21"/>
        </w:rPr>
        <w:t xml:space="preserve">tonne of CO2 </w:t>
      </w:r>
      <w:r w:rsidR="00AB1CCA" w:rsidRPr="00BF54C3">
        <w:rPr>
          <w:rFonts w:ascii="Century Gothic" w:hAnsi="Century Gothic" w:cstheme="minorHAnsi"/>
          <w:sz w:val="20"/>
          <w:szCs w:val="21"/>
        </w:rPr>
        <w:t>(US$150-US$230 depending on premium cost of alternative</w:t>
      </w:r>
      <w:r w:rsidR="007C0A69" w:rsidRPr="00BF54C3">
        <w:rPr>
          <w:rFonts w:ascii="Century Gothic" w:hAnsi="Century Gothic" w:cstheme="minorHAnsi"/>
          <w:sz w:val="20"/>
          <w:szCs w:val="21"/>
        </w:rPr>
        <w:t xml:space="preserve"> </w:t>
      </w:r>
      <w:r w:rsidR="00AB1CCA" w:rsidRPr="00BF54C3">
        <w:rPr>
          <w:rFonts w:ascii="Century Gothic" w:hAnsi="Century Gothic" w:cstheme="minorHAnsi"/>
          <w:sz w:val="20"/>
          <w:szCs w:val="21"/>
        </w:rPr>
        <w:t>hydrocarbons)</w:t>
      </w:r>
      <w:r w:rsidR="00F10BF9">
        <w:rPr>
          <w:rFonts w:ascii="Century Gothic" w:hAnsi="Century Gothic" w:cstheme="minorHAnsi"/>
          <w:sz w:val="20"/>
          <w:szCs w:val="21"/>
        </w:rPr>
        <w:t xml:space="preserve">, whereas some </w:t>
      </w:r>
      <w:r w:rsidR="004225A1">
        <w:rPr>
          <w:rFonts w:ascii="Century Gothic" w:hAnsi="Century Gothic" w:cstheme="minorHAnsi"/>
          <w:sz w:val="20"/>
          <w:szCs w:val="21"/>
        </w:rPr>
        <w:t>offsetting companies charg</w:t>
      </w:r>
      <w:r w:rsidR="004C3137">
        <w:rPr>
          <w:rFonts w:ascii="Century Gothic" w:hAnsi="Century Gothic" w:cstheme="minorHAnsi"/>
          <w:sz w:val="20"/>
          <w:szCs w:val="21"/>
        </w:rPr>
        <w:t>e as</w:t>
      </w:r>
      <w:r w:rsidR="004225A1">
        <w:rPr>
          <w:rFonts w:ascii="Century Gothic" w:hAnsi="Century Gothic" w:cstheme="minorHAnsi"/>
          <w:sz w:val="20"/>
          <w:szCs w:val="21"/>
        </w:rPr>
        <w:t xml:space="preserve"> little as US$10</w:t>
      </w:r>
      <w:r w:rsidR="00F10BF9">
        <w:rPr>
          <w:rFonts w:ascii="Century Gothic" w:hAnsi="Century Gothic" w:cstheme="minorHAnsi"/>
          <w:sz w:val="20"/>
          <w:szCs w:val="21"/>
        </w:rPr>
        <w:t>-25</w:t>
      </w:r>
      <w:r w:rsidR="006A75A2">
        <w:rPr>
          <w:rFonts w:ascii="Century Gothic" w:hAnsi="Century Gothic" w:cstheme="minorHAnsi"/>
          <w:sz w:val="20"/>
          <w:szCs w:val="21"/>
        </w:rPr>
        <w:t xml:space="preserve"> per </w:t>
      </w:r>
      <w:r w:rsidR="004225A1">
        <w:rPr>
          <w:rFonts w:ascii="Century Gothic" w:hAnsi="Century Gothic" w:cstheme="minorHAnsi"/>
          <w:sz w:val="20"/>
          <w:szCs w:val="21"/>
        </w:rPr>
        <w:t xml:space="preserve">tonne of CO2. </w:t>
      </w:r>
      <w:r w:rsidR="00AB1CCA" w:rsidRPr="00BF54C3">
        <w:rPr>
          <w:rFonts w:ascii="Century Gothic" w:hAnsi="Century Gothic" w:cstheme="minorHAnsi"/>
          <w:sz w:val="20"/>
          <w:szCs w:val="21"/>
        </w:rPr>
        <w:t>However,</w:t>
      </w:r>
      <w:r w:rsidR="000671EC">
        <w:rPr>
          <w:rFonts w:ascii="Century Gothic" w:hAnsi="Century Gothic" w:cstheme="minorHAnsi"/>
          <w:sz w:val="20"/>
          <w:szCs w:val="21"/>
        </w:rPr>
        <w:t xml:space="preserve"> offsets</w:t>
      </w:r>
      <w:r w:rsidR="00AB1CCA" w:rsidRPr="00BF54C3">
        <w:rPr>
          <w:rFonts w:ascii="Century Gothic" w:hAnsi="Century Gothic" w:cstheme="minorHAnsi"/>
          <w:sz w:val="20"/>
          <w:szCs w:val="21"/>
        </w:rPr>
        <w:t xml:space="preserve"> should only</w:t>
      </w:r>
      <w:r w:rsidR="007C0A69" w:rsidRPr="00BF54C3">
        <w:rPr>
          <w:rFonts w:ascii="Century Gothic" w:hAnsi="Century Gothic" w:cstheme="minorHAnsi"/>
          <w:sz w:val="20"/>
          <w:szCs w:val="21"/>
        </w:rPr>
        <w:t xml:space="preserve"> </w:t>
      </w:r>
      <w:r w:rsidR="00AB1CCA" w:rsidRPr="00BF54C3">
        <w:rPr>
          <w:rFonts w:ascii="Century Gothic" w:hAnsi="Century Gothic" w:cstheme="minorHAnsi"/>
          <w:sz w:val="20"/>
          <w:szCs w:val="21"/>
        </w:rPr>
        <w:t>be transitional if the world is to reach the target of net</w:t>
      </w:r>
      <w:r w:rsidR="00AB1CCA" w:rsidRPr="007C0A69">
        <w:rPr>
          <w:rFonts w:ascii="Century Gothic" w:hAnsi="Century Gothic" w:cstheme="minorHAnsi"/>
          <w:sz w:val="20"/>
          <w:szCs w:val="21"/>
        </w:rPr>
        <w:t>-zero carbon emissions from the</w:t>
      </w:r>
      <w:r w:rsidR="007C0A69" w:rsidRPr="007C0A69">
        <w:rPr>
          <w:rFonts w:ascii="Century Gothic" w:hAnsi="Century Gothic" w:cstheme="minorHAnsi"/>
          <w:sz w:val="20"/>
          <w:szCs w:val="21"/>
        </w:rPr>
        <w:t xml:space="preserve"> </w:t>
      </w:r>
      <w:r w:rsidR="00AB1CCA" w:rsidRPr="007C0A69">
        <w:rPr>
          <w:rFonts w:ascii="Century Gothic" w:hAnsi="Century Gothic" w:cstheme="minorHAnsi"/>
          <w:sz w:val="20"/>
          <w:szCs w:val="21"/>
        </w:rPr>
        <w:t xml:space="preserve">energy </w:t>
      </w:r>
      <w:r w:rsidR="00AB1CCA" w:rsidRPr="007C0A69">
        <w:rPr>
          <w:rFonts w:ascii="Century Gothic" w:hAnsi="Century Gothic" w:cstheme="minorHAnsi"/>
          <w:sz w:val="20"/>
          <w:szCs w:val="21"/>
        </w:rPr>
        <w:t>and industrial systems by mid-century.</w:t>
      </w:r>
      <w:r w:rsidRPr="007C0A69">
        <w:rPr>
          <w:rFonts w:ascii="Century Gothic" w:hAnsi="Century Gothic" w:cstheme="minorHAnsi"/>
          <w:sz w:val="20"/>
          <w:szCs w:val="21"/>
        </w:rPr>
        <w:t xml:space="preserve"> </w:t>
      </w:r>
    </w:p>
    <w:p w14:paraId="2AB7EB4E" w14:textId="795593F7" w:rsidR="00E200D0" w:rsidRDefault="00E200D0" w:rsidP="00D22497">
      <w:pPr>
        <w:spacing w:after="120"/>
      </w:pPr>
    </w:p>
    <w:p w14:paraId="7206D7E7" w14:textId="2E7F61B5" w:rsidR="00314B9C" w:rsidRPr="00042C01" w:rsidRDefault="002028F6" w:rsidP="00D22497">
      <w:pPr>
        <w:pStyle w:val="paragraph"/>
        <w:numPr>
          <w:ilvl w:val="0"/>
          <w:numId w:val="1"/>
        </w:numPr>
        <w:spacing w:before="0" w:beforeAutospacing="0" w:after="120" w:afterAutospacing="0" w:line="259" w:lineRule="auto"/>
        <w:textAlignment w:val="baseline"/>
        <w:rPr>
          <w:rStyle w:val="normaltextrun"/>
          <w:rFonts w:ascii="Century Gothic" w:hAnsi="Century Gothic" w:cs="Arial"/>
          <w:b/>
          <w:bCs/>
          <w:color w:val="002060"/>
          <w:sz w:val="22"/>
          <w:szCs w:val="22"/>
        </w:rPr>
      </w:pPr>
      <w:r w:rsidRPr="00042C01">
        <w:rPr>
          <w:rStyle w:val="normaltextrun"/>
          <w:rFonts w:ascii="Century Gothic" w:hAnsi="Century Gothic" w:cs="Arial"/>
          <w:b/>
          <w:bCs/>
          <w:color w:val="002060"/>
          <w:sz w:val="22"/>
          <w:szCs w:val="22"/>
        </w:rPr>
        <w:t xml:space="preserve">STATUS: </w:t>
      </w:r>
      <w:r w:rsidR="000403E4" w:rsidRPr="00042C01">
        <w:rPr>
          <w:rStyle w:val="normaltextrun"/>
          <w:rFonts w:ascii="Century Gothic" w:hAnsi="Century Gothic" w:cs="Arial"/>
          <w:b/>
          <w:bCs/>
          <w:color w:val="002060"/>
          <w:sz w:val="22"/>
          <w:szCs w:val="22"/>
        </w:rPr>
        <w:t>What is preventing the</w:t>
      </w:r>
      <w:r w:rsidR="00314B9C" w:rsidRPr="00042C01">
        <w:rPr>
          <w:rStyle w:val="normaltextrun"/>
          <w:rFonts w:ascii="Century Gothic" w:hAnsi="Century Gothic" w:cs="Arial"/>
          <w:b/>
          <w:bCs/>
          <w:color w:val="002060"/>
          <w:sz w:val="22"/>
          <w:szCs w:val="22"/>
        </w:rPr>
        <w:t xml:space="preserve"> decarbonis</w:t>
      </w:r>
      <w:r w:rsidR="000403E4" w:rsidRPr="00042C01">
        <w:rPr>
          <w:rStyle w:val="normaltextrun"/>
          <w:rFonts w:ascii="Century Gothic" w:hAnsi="Century Gothic" w:cs="Arial"/>
          <w:b/>
          <w:bCs/>
          <w:color w:val="002060"/>
          <w:sz w:val="22"/>
          <w:szCs w:val="22"/>
        </w:rPr>
        <w:t xml:space="preserve">ation of </w:t>
      </w:r>
      <w:r w:rsidR="00B11A64">
        <w:rPr>
          <w:rStyle w:val="normaltextrun"/>
          <w:rFonts w:ascii="Century Gothic" w:hAnsi="Century Gothic" w:cs="Arial"/>
          <w:b/>
          <w:bCs/>
          <w:color w:val="002060"/>
          <w:sz w:val="22"/>
          <w:szCs w:val="22"/>
        </w:rPr>
        <w:t>aviation</w:t>
      </w:r>
      <w:r w:rsidR="00314B9C" w:rsidRPr="00042C01">
        <w:rPr>
          <w:rStyle w:val="normaltextrun"/>
          <w:rFonts w:ascii="Century Gothic" w:hAnsi="Century Gothic" w:cs="Arial"/>
          <w:b/>
          <w:bCs/>
          <w:color w:val="002060"/>
          <w:sz w:val="22"/>
          <w:szCs w:val="22"/>
        </w:rPr>
        <w:t>?</w:t>
      </w:r>
    </w:p>
    <w:p w14:paraId="1F63A727" w14:textId="25F08839" w:rsidR="00711BD5" w:rsidRPr="00042C01" w:rsidRDefault="00B7322B" w:rsidP="00D22497">
      <w:pPr>
        <w:pStyle w:val="paragraph"/>
        <w:spacing w:before="0" w:beforeAutospacing="0" w:after="120" w:afterAutospacing="0" w:line="259" w:lineRule="auto"/>
        <w:ind w:left="426"/>
        <w:textAlignment w:val="baseline"/>
        <w:rPr>
          <w:rStyle w:val="normaltextrun"/>
          <w:rFonts w:ascii="Century Gothic" w:hAnsi="Century Gothic" w:cs="Arial"/>
          <w:i/>
          <w:iCs/>
          <w:color w:val="002060"/>
          <w:sz w:val="22"/>
          <w:szCs w:val="22"/>
        </w:rPr>
      </w:pPr>
      <w:r>
        <w:rPr>
          <w:rStyle w:val="normaltextrun"/>
          <w:rFonts w:ascii="Century Gothic" w:hAnsi="Century Gothic" w:cs="Arial"/>
          <w:i/>
          <w:iCs/>
          <w:color w:val="002060"/>
          <w:sz w:val="22"/>
          <w:szCs w:val="22"/>
        </w:rPr>
        <w:t xml:space="preserve">Given the international nature of </w:t>
      </w:r>
      <w:r w:rsidR="00B11A64">
        <w:rPr>
          <w:rStyle w:val="normaltextrun"/>
          <w:rFonts w:ascii="Century Gothic" w:hAnsi="Century Gothic" w:cs="Arial"/>
          <w:i/>
          <w:iCs/>
          <w:color w:val="002060"/>
          <w:sz w:val="22"/>
          <w:szCs w:val="22"/>
        </w:rPr>
        <w:t>aviation</w:t>
      </w:r>
      <w:r>
        <w:rPr>
          <w:rStyle w:val="normaltextrun"/>
          <w:rFonts w:ascii="Century Gothic" w:hAnsi="Century Gothic" w:cs="Arial"/>
          <w:i/>
          <w:iCs/>
          <w:color w:val="002060"/>
          <w:sz w:val="22"/>
          <w:szCs w:val="22"/>
        </w:rPr>
        <w:t xml:space="preserve"> and</w:t>
      </w:r>
      <w:r w:rsidR="00711BD5" w:rsidRPr="00042C01">
        <w:rPr>
          <w:rStyle w:val="normaltextrun"/>
          <w:rFonts w:ascii="Century Gothic" w:hAnsi="Century Gothic" w:cs="Arial"/>
          <w:i/>
          <w:iCs/>
          <w:color w:val="002060"/>
          <w:sz w:val="22"/>
          <w:szCs w:val="22"/>
        </w:rPr>
        <w:t xml:space="preserve"> the cost differential</w:t>
      </w:r>
      <w:r>
        <w:rPr>
          <w:rStyle w:val="normaltextrun"/>
          <w:rFonts w:ascii="Century Gothic" w:hAnsi="Century Gothic" w:cs="Arial"/>
          <w:i/>
          <w:iCs/>
          <w:color w:val="002060"/>
          <w:sz w:val="22"/>
          <w:szCs w:val="22"/>
        </w:rPr>
        <w:t xml:space="preserve"> between </w:t>
      </w:r>
      <w:r w:rsidR="00857B0C">
        <w:rPr>
          <w:rStyle w:val="normaltextrun"/>
          <w:rFonts w:ascii="Century Gothic" w:hAnsi="Century Gothic" w:cs="Arial"/>
          <w:i/>
          <w:iCs/>
          <w:color w:val="002060"/>
          <w:sz w:val="22"/>
          <w:szCs w:val="22"/>
        </w:rPr>
        <w:t>SAF and conventional</w:t>
      </w:r>
      <w:r>
        <w:rPr>
          <w:rStyle w:val="normaltextrun"/>
          <w:rFonts w:ascii="Century Gothic" w:hAnsi="Century Gothic" w:cs="Arial"/>
          <w:i/>
          <w:iCs/>
          <w:color w:val="002060"/>
          <w:sz w:val="22"/>
          <w:szCs w:val="22"/>
        </w:rPr>
        <w:t xml:space="preserve"> </w:t>
      </w:r>
      <w:r w:rsidR="00B11A64">
        <w:rPr>
          <w:rStyle w:val="normaltextrun"/>
          <w:rFonts w:ascii="Century Gothic" w:hAnsi="Century Gothic" w:cs="Arial"/>
          <w:i/>
          <w:iCs/>
          <w:color w:val="002060"/>
          <w:sz w:val="22"/>
          <w:szCs w:val="22"/>
        </w:rPr>
        <w:t>jet fuel,</w:t>
      </w:r>
      <w:r>
        <w:rPr>
          <w:rStyle w:val="normaltextrun"/>
          <w:rFonts w:ascii="Century Gothic" w:hAnsi="Century Gothic" w:cs="Arial"/>
          <w:i/>
          <w:iCs/>
          <w:color w:val="002060"/>
          <w:sz w:val="22"/>
          <w:szCs w:val="22"/>
        </w:rPr>
        <w:t xml:space="preserve"> it is</w:t>
      </w:r>
      <w:r w:rsidR="00711BD5" w:rsidRPr="00042C01">
        <w:rPr>
          <w:rStyle w:val="normaltextrun"/>
          <w:rFonts w:ascii="Century Gothic" w:hAnsi="Century Gothic" w:cs="Arial"/>
          <w:i/>
          <w:iCs/>
          <w:color w:val="002060"/>
          <w:sz w:val="22"/>
          <w:szCs w:val="22"/>
        </w:rPr>
        <w:t xml:space="preserve"> impossible for any given player </w:t>
      </w:r>
      <w:r w:rsidR="00064C9E" w:rsidRPr="00042C01">
        <w:rPr>
          <w:rStyle w:val="normaltextrun"/>
          <w:rFonts w:ascii="Century Gothic" w:hAnsi="Century Gothic" w:cs="Arial"/>
          <w:i/>
          <w:iCs/>
          <w:color w:val="002060"/>
          <w:sz w:val="22"/>
          <w:szCs w:val="22"/>
        </w:rPr>
        <w:t xml:space="preserve">to </w:t>
      </w:r>
      <w:r w:rsidR="001E6982">
        <w:rPr>
          <w:rStyle w:val="normaltextrun"/>
          <w:rFonts w:ascii="Century Gothic" w:hAnsi="Century Gothic" w:cs="Arial"/>
          <w:i/>
          <w:iCs/>
          <w:color w:val="002060"/>
          <w:sz w:val="22"/>
          <w:szCs w:val="22"/>
        </w:rPr>
        <w:t>accelerate</w:t>
      </w:r>
      <w:r>
        <w:rPr>
          <w:rStyle w:val="normaltextrun"/>
          <w:rFonts w:ascii="Century Gothic" w:hAnsi="Century Gothic" w:cs="Arial"/>
          <w:i/>
          <w:iCs/>
          <w:color w:val="002060"/>
          <w:sz w:val="22"/>
          <w:szCs w:val="22"/>
        </w:rPr>
        <w:t xml:space="preserve"> decarbonisation</w:t>
      </w:r>
      <w:r w:rsidR="003A59A8">
        <w:rPr>
          <w:rStyle w:val="normaltextrun"/>
          <w:rFonts w:ascii="Century Gothic" w:hAnsi="Century Gothic" w:cs="Arial"/>
          <w:i/>
          <w:iCs/>
          <w:color w:val="002060"/>
          <w:sz w:val="22"/>
          <w:szCs w:val="22"/>
        </w:rPr>
        <w:t xml:space="preserve"> </w:t>
      </w:r>
      <w:r w:rsidR="00E05D75">
        <w:rPr>
          <w:rStyle w:val="normaltextrun"/>
          <w:rFonts w:ascii="Century Gothic" w:hAnsi="Century Gothic" w:cs="Arial"/>
          <w:i/>
          <w:iCs/>
          <w:color w:val="002060"/>
          <w:sz w:val="22"/>
          <w:szCs w:val="22"/>
        </w:rPr>
        <w:t>wit</w:t>
      </w:r>
      <w:r>
        <w:rPr>
          <w:rStyle w:val="normaltextrun"/>
          <w:rFonts w:ascii="Century Gothic" w:hAnsi="Century Gothic" w:cs="Arial"/>
          <w:i/>
          <w:iCs/>
          <w:color w:val="002060"/>
          <w:sz w:val="22"/>
          <w:szCs w:val="22"/>
        </w:rPr>
        <w:t xml:space="preserve">hout losing to competitors, unless </w:t>
      </w:r>
      <w:r w:rsidR="001E6982">
        <w:rPr>
          <w:rStyle w:val="normaltextrun"/>
          <w:rFonts w:ascii="Century Gothic" w:hAnsi="Century Gothic" w:cs="Arial"/>
          <w:i/>
          <w:iCs/>
          <w:color w:val="002060"/>
          <w:sz w:val="22"/>
          <w:szCs w:val="22"/>
        </w:rPr>
        <w:t>policy</w:t>
      </w:r>
      <w:r>
        <w:rPr>
          <w:rStyle w:val="normaltextrun"/>
          <w:rFonts w:ascii="Century Gothic" w:hAnsi="Century Gothic" w:cs="Arial"/>
          <w:i/>
          <w:iCs/>
          <w:color w:val="002060"/>
          <w:sz w:val="22"/>
          <w:szCs w:val="22"/>
        </w:rPr>
        <w:t xml:space="preserve"> measures create a level playing field </w:t>
      </w:r>
      <w:r w:rsidR="0041447B" w:rsidRPr="00042C01">
        <w:rPr>
          <w:rStyle w:val="normaltextrun"/>
          <w:rFonts w:ascii="Century Gothic" w:hAnsi="Century Gothic" w:cs="Arial"/>
          <w:i/>
          <w:iCs/>
          <w:color w:val="002060"/>
          <w:sz w:val="22"/>
          <w:szCs w:val="22"/>
        </w:rPr>
        <w:t>and/or</w:t>
      </w:r>
      <w:r w:rsidR="001E6982">
        <w:rPr>
          <w:rStyle w:val="normaltextrun"/>
          <w:rFonts w:ascii="Century Gothic" w:hAnsi="Century Gothic" w:cs="Arial"/>
          <w:i/>
          <w:iCs/>
          <w:color w:val="002060"/>
          <w:sz w:val="22"/>
          <w:szCs w:val="22"/>
        </w:rPr>
        <w:t xml:space="preserve"> the industry develops</w:t>
      </w:r>
      <w:r w:rsidR="0041447B" w:rsidRPr="00042C01">
        <w:rPr>
          <w:rStyle w:val="normaltextrun"/>
          <w:rFonts w:ascii="Century Gothic" w:hAnsi="Century Gothic" w:cs="Arial"/>
          <w:i/>
          <w:iCs/>
          <w:color w:val="002060"/>
          <w:sz w:val="22"/>
          <w:szCs w:val="22"/>
        </w:rPr>
        <w:t xml:space="preserve"> </w:t>
      </w:r>
      <w:r w:rsidR="00711BD5" w:rsidRPr="00042C01">
        <w:rPr>
          <w:rStyle w:val="normaltextrun"/>
          <w:rFonts w:ascii="Century Gothic" w:hAnsi="Century Gothic" w:cs="Arial"/>
          <w:i/>
          <w:iCs/>
          <w:color w:val="002060"/>
          <w:sz w:val="22"/>
          <w:szCs w:val="22"/>
        </w:rPr>
        <w:t>a differentiated market</w:t>
      </w:r>
      <w:r>
        <w:rPr>
          <w:rStyle w:val="normaltextrun"/>
          <w:rFonts w:ascii="Century Gothic" w:hAnsi="Century Gothic" w:cs="Arial"/>
          <w:i/>
          <w:iCs/>
          <w:color w:val="002060"/>
          <w:sz w:val="22"/>
          <w:szCs w:val="22"/>
        </w:rPr>
        <w:t xml:space="preserve"> for zero-carbon </w:t>
      </w:r>
      <w:r w:rsidR="00E05D75">
        <w:rPr>
          <w:rStyle w:val="normaltextrun"/>
          <w:rFonts w:ascii="Century Gothic" w:hAnsi="Century Gothic" w:cs="Arial"/>
          <w:i/>
          <w:iCs/>
          <w:color w:val="002060"/>
          <w:sz w:val="22"/>
          <w:szCs w:val="22"/>
        </w:rPr>
        <w:t>aviation</w:t>
      </w:r>
      <w:r>
        <w:rPr>
          <w:rStyle w:val="normaltextrun"/>
          <w:rFonts w:ascii="Century Gothic" w:hAnsi="Century Gothic" w:cs="Arial"/>
          <w:i/>
          <w:iCs/>
          <w:color w:val="002060"/>
          <w:sz w:val="22"/>
          <w:szCs w:val="22"/>
        </w:rPr>
        <w:t>.</w:t>
      </w:r>
      <w:r w:rsidR="00E05D75">
        <w:rPr>
          <w:rStyle w:val="normaltextrun"/>
          <w:rFonts w:ascii="Century Gothic" w:hAnsi="Century Gothic" w:cs="Arial"/>
          <w:i/>
          <w:iCs/>
          <w:color w:val="002060"/>
          <w:sz w:val="22"/>
          <w:szCs w:val="22"/>
        </w:rPr>
        <w:t xml:space="preserve"> </w:t>
      </w:r>
      <w:r w:rsidR="004137A0">
        <w:rPr>
          <w:rStyle w:val="normaltextrun"/>
          <w:rFonts w:ascii="Century Gothic" w:hAnsi="Century Gothic" w:cs="Arial"/>
          <w:i/>
          <w:iCs/>
          <w:color w:val="002060"/>
          <w:sz w:val="22"/>
          <w:szCs w:val="22"/>
        </w:rPr>
        <w:t>Meanwhile</w:t>
      </w:r>
      <w:r w:rsidR="003A59A8">
        <w:rPr>
          <w:rStyle w:val="normaltextrun"/>
          <w:rFonts w:ascii="Century Gothic" w:hAnsi="Century Gothic" w:cs="Arial"/>
          <w:i/>
          <w:iCs/>
          <w:color w:val="002060"/>
          <w:sz w:val="22"/>
          <w:szCs w:val="22"/>
        </w:rPr>
        <w:t>,</w:t>
      </w:r>
      <w:r w:rsidR="004A3C5C">
        <w:rPr>
          <w:rStyle w:val="normaltextrun"/>
          <w:rFonts w:ascii="Century Gothic" w:hAnsi="Century Gothic" w:cs="Arial"/>
          <w:i/>
          <w:iCs/>
          <w:color w:val="002060"/>
          <w:sz w:val="22"/>
          <w:szCs w:val="22"/>
        </w:rPr>
        <w:t xml:space="preserve"> fully electric</w:t>
      </w:r>
      <w:r w:rsidR="00E05D75">
        <w:rPr>
          <w:rStyle w:val="normaltextrun"/>
          <w:rFonts w:ascii="Century Gothic" w:hAnsi="Century Gothic" w:cs="Arial"/>
          <w:i/>
          <w:iCs/>
          <w:color w:val="002060"/>
          <w:sz w:val="22"/>
          <w:szCs w:val="22"/>
        </w:rPr>
        <w:t xml:space="preserve"> aviation </w:t>
      </w:r>
      <w:r w:rsidR="004A3C5C">
        <w:rPr>
          <w:rStyle w:val="normaltextrun"/>
          <w:rFonts w:ascii="Century Gothic" w:hAnsi="Century Gothic" w:cs="Arial"/>
          <w:i/>
          <w:iCs/>
          <w:color w:val="002060"/>
          <w:sz w:val="22"/>
          <w:szCs w:val="22"/>
        </w:rPr>
        <w:t>cannot yet provide a cost-competitive alternativ</w:t>
      </w:r>
      <w:r w:rsidR="004137A0">
        <w:rPr>
          <w:rStyle w:val="normaltextrun"/>
          <w:rFonts w:ascii="Century Gothic" w:hAnsi="Century Gothic" w:cs="Arial"/>
          <w:i/>
          <w:iCs/>
          <w:color w:val="002060"/>
          <w:sz w:val="22"/>
          <w:szCs w:val="22"/>
        </w:rPr>
        <w:t>e to conventional jet fuel for short-haul,</w:t>
      </w:r>
      <w:r w:rsidR="004A3C5C">
        <w:rPr>
          <w:rStyle w:val="normaltextrun"/>
          <w:rFonts w:ascii="Century Gothic" w:hAnsi="Century Gothic" w:cs="Arial"/>
          <w:i/>
          <w:iCs/>
          <w:color w:val="002060"/>
          <w:sz w:val="22"/>
          <w:szCs w:val="22"/>
        </w:rPr>
        <w:t xml:space="preserve"> as it </w:t>
      </w:r>
      <w:r w:rsidR="00532B57">
        <w:rPr>
          <w:rStyle w:val="normaltextrun"/>
          <w:rFonts w:ascii="Century Gothic" w:hAnsi="Century Gothic" w:cs="Arial"/>
          <w:i/>
          <w:iCs/>
          <w:color w:val="002060"/>
          <w:sz w:val="22"/>
          <w:szCs w:val="22"/>
        </w:rPr>
        <w:t xml:space="preserve">requires those technologies to reach </w:t>
      </w:r>
      <w:r w:rsidR="004A3C5C">
        <w:rPr>
          <w:rStyle w:val="normaltextrun"/>
          <w:rFonts w:ascii="Century Gothic" w:hAnsi="Century Gothic" w:cs="Arial"/>
          <w:i/>
          <w:iCs/>
          <w:color w:val="002060"/>
          <w:sz w:val="22"/>
          <w:szCs w:val="22"/>
        </w:rPr>
        <w:t>technological maturity.</w:t>
      </w:r>
    </w:p>
    <w:p w14:paraId="23714174" w14:textId="6C1EBFF7" w:rsidR="00A806E7" w:rsidRDefault="00A806E7" w:rsidP="00D22497">
      <w:pPr>
        <w:pStyle w:val="ListParagraph"/>
        <w:numPr>
          <w:ilvl w:val="1"/>
          <w:numId w:val="1"/>
        </w:numPr>
        <w:spacing w:after="120"/>
        <w:ind w:left="426"/>
        <w:contextualSpacing w:val="0"/>
        <w:rPr>
          <w:rFonts w:ascii="Century Gothic" w:hAnsi="Century Gothic" w:cstheme="minorHAnsi"/>
          <w:sz w:val="20"/>
          <w:szCs w:val="21"/>
        </w:rPr>
      </w:pPr>
      <w:r>
        <w:rPr>
          <w:rFonts w:ascii="Century Gothic" w:hAnsi="Century Gothic" w:cstheme="minorHAnsi"/>
          <w:sz w:val="20"/>
          <w:szCs w:val="21"/>
        </w:rPr>
        <w:t>Airlines face</w:t>
      </w:r>
      <w:r w:rsidR="008D4C26">
        <w:rPr>
          <w:rFonts w:ascii="Century Gothic" w:hAnsi="Century Gothic" w:cstheme="minorHAnsi"/>
          <w:sz w:val="20"/>
          <w:szCs w:val="21"/>
        </w:rPr>
        <w:t xml:space="preserve"> intense</w:t>
      </w:r>
      <w:r>
        <w:rPr>
          <w:rFonts w:ascii="Century Gothic" w:hAnsi="Century Gothic" w:cstheme="minorHAnsi"/>
          <w:sz w:val="20"/>
          <w:szCs w:val="21"/>
        </w:rPr>
        <w:t xml:space="preserve"> global competition </w:t>
      </w:r>
      <w:r w:rsidR="008D4C26">
        <w:rPr>
          <w:rFonts w:ascii="Century Gothic" w:hAnsi="Century Gothic" w:cstheme="minorHAnsi"/>
          <w:sz w:val="20"/>
          <w:szCs w:val="21"/>
        </w:rPr>
        <w:t>on prices, which is what has historically driven considerable improvement in fuel efficiency. T</w:t>
      </w:r>
      <w:r>
        <w:rPr>
          <w:rFonts w:ascii="Century Gothic" w:hAnsi="Century Gothic" w:cstheme="minorHAnsi"/>
          <w:sz w:val="20"/>
          <w:szCs w:val="21"/>
        </w:rPr>
        <w:t>he last 10 years have</w:t>
      </w:r>
      <w:r w:rsidR="00E00FBA">
        <w:rPr>
          <w:rFonts w:ascii="Century Gothic" w:hAnsi="Century Gothic" w:cstheme="minorHAnsi"/>
          <w:sz w:val="20"/>
          <w:szCs w:val="21"/>
        </w:rPr>
        <w:t xml:space="preserve"> seen the rise of low</w:t>
      </w:r>
      <w:r w:rsidR="00896361">
        <w:rPr>
          <w:rFonts w:ascii="Century Gothic" w:hAnsi="Century Gothic" w:cstheme="minorHAnsi"/>
          <w:sz w:val="20"/>
          <w:szCs w:val="21"/>
        </w:rPr>
        <w:t>-</w:t>
      </w:r>
      <w:r w:rsidR="00E00FBA">
        <w:rPr>
          <w:rFonts w:ascii="Century Gothic" w:hAnsi="Century Gothic" w:cstheme="minorHAnsi"/>
          <w:sz w:val="20"/>
          <w:szCs w:val="21"/>
        </w:rPr>
        <w:t xml:space="preserve">cost carriers, further increasing a harsh competition on costs. </w:t>
      </w:r>
      <w:r w:rsidR="00896361">
        <w:rPr>
          <w:rFonts w:ascii="Century Gothic" w:hAnsi="Century Gothic" w:cstheme="minorHAnsi"/>
          <w:sz w:val="20"/>
          <w:szCs w:val="21"/>
        </w:rPr>
        <w:t>Today, f</w:t>
      </w:r>
      <w:r w:rsidR="00E00FBA">
        <w:rPr>
          <w:rFonts w:ascii="Century Gothic" w:hAnsi="Century Gothic" w:cstheme="minorHAnsi"/>
          <w:sz w:val="20"/>
          <w:szCs w:val="21"/>
        </w:rPr>
        <w:t xml:space="preserve">uel makes up </w:t>
      </w:r>
      <w:r w:rsidR="00896361">
        <w:rPr>
          <w:rFonts w:ascii="Century Gothic" w:hAnsi="Century Gothic" w:cstheme="minorHAnsi"/>
          <w:sz w:val="20"/>
          <w:szCs w:val="21"/>
        </w:rPr>
        <w:t>~</w:t>
      </w:r>
      <w:r w:rsidR="00461932">
        <w:rPr>
          <w:rFonts w:ascii="Century Gothic" w:hAnsi="Century Gothic" w:cstheme="minorHAnsi"/>
          <w:sz w:val="20"/>
          <w:szCs w:val="21"/>
        </w:rPr>
        <w:t>23.5</w:t>
      </w:r>
      <w:r w:rsidR="00E00FBA">
        <w:rPr>
          <w:rFonts w:ascii="Century Gothic" w:hAnsi="Century Gothic" w:cstheme="minorHAnsi"/>
          <w:sz w:val="20"/>
          <w:szCs w:val="21"/>
        </w:rPr>
        <w:t xml:space="preserve">% of an airline’s </w:t>
      </w:r>
      <w:r w:rsidR="00F70688">
        <w:rPr>
          <w:rFonts w:ascii="Century Gothic" w:hAnsi="Century Gothic" w:cstheme="minorHAnsi"/>
          <w:sz w:val="20"/>
          <w:szCs w:val="21"/>
        </w:rPr>
        <w:t>operating costs</w:t>
      </w:r>
      <w:r w:rsidR="00896361">
        <w:rPr>
          <w:rStyle w:val="FootnoteReference"/>
          <w:rFonts w:ascii="Century Gothic" w:hAnsi="Century Gothic" w:cstheme="minorHAnsi"/>
          <w:sz w:val="20"/>
          <w:szCs w:val="21"/>
        </w:rPr>
        <w:footnoteReference w:id="19"/>
      </w:r>
      <w:r w:rsidR="0003055E">
        <w:rPr>
          <w:rFonts w:ascii="Century Gothic" w:hAnsi="Century Gothic" w:cstheme="minorHAnsi"/>
          <w:sz w:val="20"/>
          <w:szCs w:val="21"/>
        </w:rPr>
        <w:t>.</w:t>
      </w:r>
    </w:p>
    <w:p w14:paraId="4CDE4AA1" w14:textId="7EF4DA25" w:rsidR="007B014C" w:rsidRDefault="00896361" w:rsidP="00D22497">
      <w:pPr>
        <w:pStyle w:val="ListParagraph"/>
        <w:numPr>
          <w:ilvl w:val="1"/>
          <w:numId w:val="1"/>
        </w:numPr>
        <w:spacing w:after="120"/>
        <w:ind w:left="426"/>
        <w:contextualSpacing w:val="0"/>
        <w:rPr>
          <w:rFonts w:ascii="Century Gothic" w:hAnsi="Century Gothic" w:cstheme="minorHAnsi"/>
          <w:sz w:val="20"/>
          <w:szCs w:val="21"/>
        </w:rPr>
      </w:pPr>
      <w:r>
        <w:rPr>
          <w:rFonts w:ascii="Century Gothic" w:hAnsi="Century Gothic" w:cstheme="minorHAnsi"/>
          <w:sz w:val="20"/>
          <w:szCs w:val="21"/>
        </w:rPr>
        <w:t>Although technical feasible, the deployment of s</w:t>
      </w:r>
      <w:r w:rsidR="00AA72CB">
        <w:rPr>
          <w:rFonts w:ascii="Century Gothic" w:hAnsi="Century Gothic" w:cstheme="minorHAnsi"/>
          <w:sz w:val="20"/>
          <w:szCs w:val="21"/>
        </w:rPr>
        <w:t xml:space="preserve">ustainable aviation fuels face </w:t>
      </w:r>
      <w:r w:rsidR="00023894">
        <w:rPr>
          <w:rFonts w:ascii="Century Gothic" w:hAnsi="Century Gothic" w:cstheme="minorHAnsi"/>
          <w:sz w:val="20"/>
          <w:szCs w:val="21"/>
        </w:rPr>
        <w:t>four</w:t>
      </w:r>
      <w:r w:rsidR="00AA72CB">
        <w:rPr>
          <w:rFonts w:ascii="Century Gothic" w:hAnsi="Century Gothic" w:cstheme="minorHAnsi"/>
          <w:sz w:val="20"/>
          <w:szCs w:val="21"/>
        </w:rPr>
        <w:t xml:space="preserve"> </w:t>
      </w:r>
      <w:r>
        <w:rPr>
          <w:rFonts w:ascii="Century Gothic" w:hAnsi="Century Gothic" w:cstheme="minorHAnsi"/>
          <w:sz w:val="20"/>
          <w:szCs w:val="21"/>
        </w:rPr>
        <w:t xml:space="preserve">major </w:t>
      </w:r>
      <w:r w:rsidR="00AA72CB">
        <w:rPr>
          <w:rFonts w:ascii="Century Gothic" w:hAnsi="Century Gothic" w:cstheme="minorHAnsi"/>
          <w:sz w:val="20"/>
          <w:szCs w:val="21"/>
        </w:rPr>
        <w:t>hurdles in today’s markets:</w:t>
      </w:r>
    </w:p>
    <w:p w14:paraId="573F6792" w14:textId="77777777" w:rsidR="00995EEB" w:rsidRDefault="002C6EA4" w:rsidP="00D22497">
      <w:pPr>
        <w:pStyle w:val="ListParagraph"/>
        <w:spacing w:after="120"/>
        <w:ind w:left="426"/>
        <w:contextualSpacing w:val="0"/>
        <w:rPr>
          <w:rFonts w:ascii="Century Gothic" w:hAnsi="Century Gothic" w:cstheme="minorHAnsi"/>
          <w:sz w:val="20"/>
          <w:szCs w:val="21"/>
        </w:rPr>
      </w:pPr>
      <w:r w:rsidRPr="00896361">
        <w:rPr>
          <w:rFonts w:ascii="Century Gothic" w:hAnsi="Century Gothic" w:cstheme="minorHAnsi"/>
          <w:sz w:val="20"/>
          <w:szCs w:val="21"/>
        </w:rPr>
        <w:t xml:space="preserve">A. </w:t>
      </w:r>
      <w:r w:rsidR="00896361">
        <w:rPr>
          <w:rFonts w:ascii="Century Gothic" w:hAnsi="Century Gothic" w:cstheme="minorHAnsi"/>
          <w:sz w:val="20"/>
          <w:szCs w:val="21"/>
          <w:u w:val="single"/>
        </w:rPr>
        <w:t>Cost differential</w:t>
      </w:r>
      <w:r w:rsidR="00A64D96" w:rsidRPr="002C6EA4">
        <w:rPr>
          <w:rFonts w:ascii="Century Gothic" w:hAnsi="Century Gothic" w:cstheme="minorHAnsi"/>
          <w:sz w:val="20"/>
          <w:szCs w:val="21"/>
        </w:rPr>
        <w:t>.</w:t>
      </w:r>
    </w:p>
    <w:p w14:paraId="2B4D7023" w14:textId="77777777" w:rsidR="00995EEB" w:rsidRDefault="00504637" w:rsidP="00995EEB">
      <w:pPr>
        <w:pStyle w:val="ListParagraph"/>
        <w:numPr>
          <w:ilvl w:val="0"/>
          <w:numId w:val="42"/>
        </w:numPr>
        <w:spacing w:after="120"/>
        <w:contextualSpacing w:val="0"/>
        <w:rPr>
          <w:rFonts w:ascii="Century Gothic" w:hAnsi="Century Gothic" w:cstheme="minorHAnsi"/>
          <w:sz w:val="20"/>
          <w:szCs w:val="21"/>
        </w:rPr>
      </w:pPr>
      <w:r>
        <w:rPr>
          <w:rFonts w:ascii="Century Gothic" w:hAnsi="Century Gothic" w:cstheme="minorHAnsi"/>
          <w:sz w:val="20"/>
          <w:szCs w:val="21"/>
        </w:rPr>
        <w:t>Certified sustainable aviation fuels</w:t>
      </w:r>
      <w:r w:rsidR="00A64D96" w:rsidRPr="002C6EA4">
        <w:rPr>
          <w:rFonts w:ascii="Century Gothic" w:hAnsi="Century Gothic" w:cstheme="minorHAnsi"/>
          <w:sz w:val="20"/>
          <w:szCs w:val="21"/>
        </w:rPr>
        <w:t xml:space="preserve"> </w:t>
      </w:r>
      <w:r w:rsidR="0007584A">
        <w:rPr>
          <w:rFonts w:ascii="Century Gothic" w:hAnsi="Century Gothic" w:cstheme="minorHAnsi"/>
          <w:sz w:val="20"/>
          <w:szCs w:val="21"/>
        </w:rPr>
        <w:t xml:space="preserve">are currently </w:t>
      </w:r>
      <w:r w:rsidR="00A64D96" w:rsidRPr="002C6EA4">
        <w:rPr>
          <w:rFonts w:ascii="Century Gothic" w:hAnsi="Century Gothic" w:cstheme="minorHAnsi"/>
          <w:sz w:val="20"/>
          <w:szCs w:val="21"/>
        </w:rPr>
        <w:t xml:space="preserve">50-100% more expensive (adding 0.3 to 0.6 US$/litre) than </w:t>
      </w:r>
      <w:r w:rsidR="0007584A">
        <w:rPr>
          <w:rFonts w:ascii="Century Gothic" w:hAnsi="Century Gothic" w:cstheme="minorHAnsi"/>
          <w:sz w:val="20"/>
          <w:szCs w:val="21"/>
        </w:rPr>
        <w:t>conventional</w:t>
      </w:r>
      <w:r w:rsidR="00A64D96" w:rsidRPr="002C6EA4">
        <w:rPr>
          <w:rFonts w:ascii="Century Gothic" w:hAnsi="Century Gothic" w:cstheme="minorHAnsi"/>
          <w:sz w:val="20"/>
          <w:szCs w:val="21"/>
        </w:rPr>
        <w:t xml:space="preserve"> jet fuel</w:t>
      </w:r>
      <w:r w:rsidR="009C20F6" w:rsidRPr="002C6EA4">
        <w:rPr>
          <w:rFonts w:ascii="Century Gothic" w:hAnsi="Century Gothic" w:cstheme="minorHAnsi"/>
          <w:sz w:val="20"/>
          <w:szCs w:val="21"/>
        </w:rPr>
        <w:t xml:space="preserve">, including existing US and EU incentives, and between 3-6 times </w:t>
      </w:r>
      <w:r w:rsidR="008A3D32" w:rsidRPr="002C6EA4">
        <w:rPr>
          <w:rFonts w:ascii="Century Gothic" w:hAnsi="Century Gothic" w:cstheme="minorHAnsi"/>
          <w:sz w:val="20"/>
          <w:szCs w:val="21"/>
        </w:rPr>
        <w:t>without</w:t>
      </w:r>
      <w:r w:rsidR="00A64D96" w:rsidRPr="002C6EA4">
        <w:rPr>
          <w:rFonts w:ascii="Century Gothic" w:hAnsi="Century Gothic" w:cstheme="minorHAnsi"/>
          <w:sz w:val="20"/>
          <w:szCs w:val="21"/>
        </w:rPr>
        <w:t>.</w:t>
      </w:r>
      <w:r w:rsidR="005F7EAE" w:rsidRPr="002C6EA4">
        <w:rPr>
          <w:rFonts w:ascii="Century Gothic" w:hAnsi="Century Gothic" w:cstheme="minorHAnsi"/>
          <w:sz w:val="20"/>
          <w:szCs w:val="21"/>
        </w:rPr>
        <w:t xml:space="preserve"> Today’s sub-scale production (only one facility</w:t>
      </w:r>
      <w:r w:rsidR="0007584A">
        <w:rPr>
          <w:rFonts w:ascii="Century Gothic" w:hAnsi="Century Gothic" w:cstheme="minorHAnsi"/>
          <w:sz w:val="20"/>
          <w:szCs w:val="21"/>
        </w:rPr>
        <w:t xml:space="preserve"> entirely</w:t>
      </w:r>
      <w:r w:rsidR="005F7EAE" w:rsidRPr="002C6EA4">
        <w:rPr>
          <w:rFonts w:ascii="Century Gothic" w:hAnsi="Century Gothic" w:cstheme="minorHAnsi"/>
          <w:sz w:val="20"/>
          <w:szCs w:val="21"/>
        </w:rPr>
        <w:t xml:space="preserve"> dedicated to SAF jet </w:t>
      </w:r>
      <w:r w:rsidR="00D81CEA" w:rsidRPr="002C6EA4">
        <w:rPr>
          <w:rFonts w:ascii="Century Gothic" w:hAnsi="Century Gothic" w:cstheme="minorHAnsi"/>
          <w:sz w:val="20"/>
          <w:szCs w:val="21"/>
        </w:rPr>
        <w:t>fuel by World Energy</w:t>
      </w:r>
      <w:r w:rsidR="008A06FF">
        <w:rPr>
          <w:rFonts w:ascii="Century Gothic" w:hAnsi="Century Gothic" w:cstheme="minorHAnsi"/>
          <w:sz w:val="20"/>
          <w:szCs w:val="21"/>
        </w:rPr>
        <w:t xml:space="preserve"> in</w:t>
      </w:r>
      <w:r w:rsidR="00D81CEA" w:rsidRPr="002C6EA4">
        <w:rPr>
          <w:rFonts w:ascii="Century Gothic" w:hAnsi="Century Gothic" w:cstheme="minorHAnsi"/>
          <w:sz w:val="20"/>
          <w:szCs w:val="21"/>
        </w:rPr>
        <w:t xml:space="preserve"> California)</w:t>
      </w:r>
      <w:r w:rsidR="00E646FF" w:rsidRPr="002C6EA4">
        <w:rPr>
          <w:rFonts w:ascii="Century Gothic" w:hAnsi="Century Gothic" w:cstheme="minorHAnsi"/>
          <w:sz w:val="20"/>
          <w:szCs w:val="21"/>
        </w:rPr>
        <w:t xml:space="preserve"> is hampered </w:t>
      </w:r>
      <w:r w:rsidR="00D1266C" w:rsidRPr="002C6EA4">
        <w:rPr>
          <w:rFonts w:ascii="Century Gothic" w:hAnsi="Century Gothic" w:cstheme="minorHAnsi"/>
          <w:sz w:val="20"/>
          <w:szCs w:val="21"/>
        </w:rPr>
        <w:t xml:space="preserve">by cost of feedstock (many feedstocks are more costly than fully refined </w:t>
      </w:r>
      <w:r w:rsidR="008A06FF">
        <w:rPr>
          <w:rFonts w:ascii="Century Gothic" w:hAnsi="Century Gothic" w:cstheme="minorHAnsi"/>
          <w:sz w:val="20"/>
          <w:szCs w:val="21"/>
        </w:rPr>
        <w:t>conventional</w:t>
      </w:r>
      <w:r w:rsidR="00D1266C" w:rsidRPr="002C6EA4">
        <w:rPr>
          <w:rFonts w:ascii="Century Gothic" w:hAnsi="Century Gothic" w:cstheme="minorHAnsi"/>
          <w:sz w:val="20"/>
          <w:szCs w:val="21"/>
        </w:rPr>
        <w:t xml:space="preserve"> jet fuel, e.g., cooking oil and tallow at 0.88-1.25 US$</w:t>
      </w:r>
      <w:r w:rsidR="00A93E07" w:rsidRPr="002C6EA4">
        <w:rPr>
          <w:rFonts w:ascii="Century Gothic" w:hAnsi="Century Gothic" w:cstheme="minorHAnsi"/>
          <w:sz w:val="20"/>
          <w:szCs w:val="21"/>
        </w:rPr>
        <w:t xml:space="preserve">/l) and </w:t>
      </w:r>
      <w:r w:rsidR="008A06FF">
        <w:rPr>
          <w:rFonts w:ascii="Century Gothic" w:hAnsi="Century Gothic" w:cstheme="minorHAnsi"/>
          <w:sz w:val="20"/>
          <w:szCs w:val="21"/>
        </w:rPr>
        <w:t>sub-scale production costs.</w:t>
      </w:r>
    </w:p>
    <w:p w14:paraId="17DB0438" w14:textId="77777777" w:rsidR="00481C23" w:rsidRDefault="00D22497" w:rsidP="00995EEB">
      <w:pPr>
        <w:pStyle w:val="ListParagraph"/>
        <w:numPr>
          <w:ilvl w:val="0"/>
          <w:numId w:val="42"/>
        </w:numPr>
        <w:spacing w:after="120"/>
        <w:contextualSpacing w:val="0"/>
        <w:rPr>
          <w:rFonts w:ascii="Century Gothic" w:hAnsi="Century Gothic" w:cstheme="minorHAnsi"/>
          <w:sz w:val="20"/>
          <w:szCs w:val="21"/>
        </w:rPr>
      </w:pPr>
      <w:r>
        <w:rPr>
          <w:rFonts w:ascii="Century Gothic" w:hAnsi="Century Gothic" w:cstheme="minorHAnsi"/>
          <w:sz w:val="20"/>
          <w:szCs w:val="21"/>
        </w:rPr>
        <w:t xml:space="preserve">Some producers and researchers </w:t>
      </w:r>
      <w:r w:rsidRPr="00A4418A">
        <w:rPr>
          <w:rFonts w:ascii="Century Gothic" w:hAnsi="Century Gothic" w:cstheme="minorHAnsi"/>
          <w:sz w:val="20"/>
          <w:szCs w:val="20"/>
        </w:rPr>
        <w:t>estimate that SAF prices can be brought below the price of conventional jet fuel at 0.3 US$/l</w:t>
      </w:r>
      <w:r w:rsidRPr="00A4418A">
        <w:rPr>
          <w:rFonts w:ascii="Century Gothic" w:hAnsi="Century Gothic"/>
          <w:sz w:val="20"/>
          <w:szCs w:val="20"/>
          <w:vertAlign w:val="superscript"/>
        </w:rPr>
        <w:footnoteReference w:id="20"/>
      </w:r>
      <w:r w:rsidRPr="00A4418A">
        <w:rPr>
          <w:rFonts w:ascii="Century Gothic" w:hAnsi="Century Gothic" w:cstheme="minorHAnsi"/>
          <w:sz w:val="20"/>
          <w:szCs w:val="20"/>
        </w:rPr>
        <w:t xml:space="preserve"> thanks</w:t>
      </w:r>
      <w:r>
        <w:rPr>
          <w:rFonts w:ascii="Century Gothic" w:hAnsi="Century Gothic" w:cstheme="minorHAnsi"/>
          <w:sz w:val="20"/>
          <w:szCs w:val="21"/>
        </w:rPr>
        <w:t xml:space="preserve"> to economies of scale and learning curve effects (</w:t>
      </w:r>
      <w:proofErr w:type="gramStart"/>
      <w:r>
        <w:rPr>
          <w:rFonts w:ascii="Century Gothic" w:hAnsi="Century Gothic" w:cstheme="minorHAnsi"/>
          <w:sz w:val="20"/>
          <w:szCs w:val="21"/>
        </w:rPr>
        <w:t>in particular for</w:t>
      </w:r>
      <w:proofErr w:type="gramEnd"/>
      <w:r>
        <w:rPr>
          <w:rFonts w:ascii="Century Gothic" w:hAnsi="Century Gothic" w:cstheme="minorHAnsi"/>
          <w:sz w:val="20"/>
          <w:szCs w:val="21"/>
        </w:rPr>
        <w:t xml:space="preserve"> the synthetic fuel route)</w:t>
      </w:r>
      <w:r w:rsidRPr="002C6EA4">
        <w:rPr>
          <w:rFonts w:ascii="Century Gothic" w:hAnsi="Century Gothic" w:cstheme="minorHAnsi"/>
          <w:sz w:val="20"/>
          <w:szCs w:val="21"/>
        </w:rPr>
        <w:t>.</w:t>
      </w:r>
      <w:r>
        <w:rPr>
          <w:rFonts w:ascii="Century Gothic" w:hAnsi="Century Gothic" w:cstheme="minorHAnsi"/>
          <w:sz w:val="20"/>
          <w:szCs w:val="21"/>
        </w:rPr>
        <w:t xml:space="preserve"> However, the most common stance in the industry is that</w:t>
      </w:r>
      <w:r w:rsidR="008A06FF">
        <w:rPr>
          <w:rFonts w:ascii="Century Gothic" w:hAnsi="Century Gothic" w:cstheme="minorHAnsi"/>
          <w:sz w:val="20"/>
          <w:szCs w:val="21"/>
        </w:rPr>
        <w:t>, even if scale can reduce this cost differential, SAF will continue to be more expensive than conventional jet fuel in the foreseeable future</w:t>
      </w:r>
      <w:r w:rsidR="0090355C">
        <w:rPr>
          <w:rFonts w:ascii="Century Gothic" w:hAnsi="Century Gothic" w:cstheme="minorHAnsi"/>
          <w:sz w:val="20"/>
          <w:szCs w:val="21"/>
        </w:rPr>
        <w:t xml:space="preserve"> (in particular bio-based routes</w:t>
      </w:r>
      <w:r w:rsidR="008A06FF">
        <w:rPr>
          <w:rFonts w:ascii="Century Gothic" w:hAnsi="Century Gothic" w:cstheme="minorHAnsi"/>
          <w:sz w:val="20"/>
          <w:szCs w:val="21"/>
        </w:rPr>
        <w:t xml:space="preserve">, </w:t>
      </w:r>
      <w:r>
        <w:rPr>
          <w:rFonts w:ascii="Century Gothic" w:hAnsi="Century Gothic" w:cstheme="minorHAnsi"/>
          <w:sz w:val="20"/>
          <w:szCs w:val="21"/>
        </w:rPr>
        <w:t>for which the cost of feedstock will remain an issue).</w:t>
      </w:r>
    </w:p>
    <w:p w14:paraId="5FAAB537" w14:textId="3E86BA81" w:rsidR="00481C23" w:rsidRDefault="00481C23" w:rsidP="00995EEB">
      <w:pPr>
        <w:pStyle w:val="ListParagraph"/>
        <w:numPr>
          <w:ilvl w:val="0"/>
          <w:numId w:val="42"/>
        </w:numPr>
        <w:spacing w:after="120"/>
        <w:contextualSpacing w:val="0"/>
        <w:rPr>
          <w:rFonts w:ascii="Century Gothic" w:hAnsi="Century Gothic" w:cstheme="minorHAnsi"/>
          <w:sz w:val="20"/>
          <w:szCs w:val="21"/>
        </w:rPr>
      </w:pPr>
      <w:r>
        <w:rPr>
          <w:rFonts w:ascii="Century Gothic" w:hAnsi="Century Gothic" w:cstheme="minorHAnsi"/>
          <w:sz w:val="20"/>
          <w:szCs w:val="21"/>
        </w:rPr>
        <w:t>Given current biofuels costs and probable short-term improvements,</w:t>
      </w:r>
      <w:r w:rsidR="00AF114C">
        <w:rPr>
          <w:rFonts w:ascii="Century Gothic" w:hAnsi="Century Gothic" w:cstheme="minorHAnsi"/>
          <w:sz w:val="20"/>
          <w:szCs w:val="21"/>
        </w:rPr>
        <w:t xml:space="preserve"> a carbon price of</w:t>
      </w:r>
      <w:r w:rsidR="00ED5A59">
        <w:rPr>
          <w:rFonts w:ascii="Century Gothic" w:hAnsi="Century Gothic" w:cstheme="minorHAnsi"/>
          <w:sz w:val="20"/>
          <w:szCs w:val="21"/>
        </w:rPr>
        <w:t xml:space="preserve"> </w:t>
      </w:r>
      <w:r w:rsidR="00E0569B">
        <w:rPr>
          <w:rFonts w:ascii="Century Gothic" w:hAnsi="Century Gothic" w:cstheme="minorHAnsi"/>
          <w:sz w:val="20"/>
          <w:szCs w:val="21"/>
        </w:rPr>
        <w:t>115 to 230 US$/t CO2</w:t>
      </w:r>
      <w:r>
        <w:rPr>
          <w:rFonts w:ascii="Century Gothic" w:hAnsi="Century Gothic" w:cstheme="minorHAnsi"/>
          <w:sz w:val="20"/>
          <w:szCs w:val="21"/>
        </w:rPr>
        <w:t xml:space="preserve"> would be required to trigger a switch from conventional jet fuel to SAF</w:t>
      </w:r>
      <w:r w:rsidR="00E0569B">
        <w:rPr>
          <w:rFonts w:ascii="Century Gothic" w:hAnsi="Century Gothic" w:cstheme="minorHAnsi"/>
          <w:sz w:val="20"/>
          <w:szCs w:val="21"/>
        </w:rPr>
        <w:t xml:space="preserve">, making aviation one of the most expensive </w:t>
      </w:r>
      <w:r>
        <w:rPr>
          <w:rFonts w:ascii="Century Gothic" w:hAnsi="Century Gothic" w:cstheme="minorHAnsi"/>
          <w:sz w:val="20"/>
          <w:szCs w:val="21"/>
        </w:rPr>
        <w:t>sector to abate</w:t>
      </w:r>
      <w:r w:rsidR="00E0569B">
        <w:rPr>
          <w:rFonts w:ascii="Century Gothic" w:hAnsi="Century Gothic" w:cstheme="minorHAnsi"/>
          <w:sz w:val="20"/>
          <w:szCs w:val="21"/>
        </w:rPr>
        <w:t>.</w:t>
      </w:r>
    </w:p>
    <w:p w14:paraId="56237916" w14:textId="51FF1C6E" w:rsidR="00987DFF" w:rsidRDefault="00987DFF" w:rsidP="00995EEB">
      <w:pPr>
        <w:pStyle w:val="ListParagraph"/>
        <w:numPr>
          <w:ilvl w:val="0"/>
          <w:numId w:val="42"/>
        </w:numPr>
        <w:spacing w:after="120"/>
        <w:contextualSpacing w:val="0"/>
        <w:rPr>
          <w:rFonts w:ascii="Century Gothic" w:hAnsi="Century Gothic" w:cstheme="minorHAnsi"/>
          <w:sz w:val="20"/>
          <w:szCs w:val="21"/>
        </w:rPr>
      </w:pPr>
      <w:r>
        <w:rPr>
          <w:rFonts w:ascii="Century Gothic" w:hAnsi="Century Gothic" w:cstheme="minorHAnsi"/>
          <w:sz w:val="20"/>
          <w:szCs w:val="21"/>
        </w:rPr>
        <w:t xml:space="preserve">The impact on the price of flight tickets is difficult to assess, given how pricing mechanisms operate in the aviation industry. The ETC estimates that it could represent a 10-20% increase in the price of a long-distance economy flight ticket. This is the highest variation in end consumer prices that the ETC is expecting from the decarbonisation of harder-to-abate sectors. </w:t>
      </w:r>
      <w:r w:rsidRPr="00987DFF">
        <w:rPr>
          <w:rFonts w:ascii="Century Gothic" w:hAnsi="Century Gothic" w:cstheme="minorHAnsi"/>
          <w:sz w:val="20"/>
          <w:szCs w:val="21"/>
        </w:rPr>
        <w:t>However, international aviation accounts for less than 3% of global household consumption, so</w:t>
      </w:r>
      <w:r w:rsidR="00EA63BE">
        <w:rPr>
          <w:rFonts w:ascii="Century Gothic" w:hAnsi="Century Gothic" w:cstheme="minorHAnsi"/>
          <w:sz w:val="20"/>
          <w:szCs w:val="21"/>
        </w:rPr>
        <w:t xml:space="preserve"> </w:t>
      </w:r>
      <w:r w:rsidRPr="00987DFF">
        <w:rPr>
          <w:rFonts w:ascii="Century Gothic" w:hAnsi="Century Gothic" w:cstheme="minorHAnsi"/>
          <w:sz w:val="20"/>
          <w:szCs w:val="21"/>
        </w:rPr>
        <w:t xml:space="preserve">the impact on </w:t>
      </w:r>
      <w:r w:rsidR="00EA63BE">
        <w:rPr>
          <w:rFonts w:ascii="Century Gothic" w:hAnsi="Century Gothic" w:cstheme="minorHAnsi"/>
          <w:sz w:val="20"/>
          <w:szCs w:val="21"/>
        </w:rPr>
        <w:t xml:space="preserve">the </w:t>
      </w:r>
      <w:r w:rsidRPr="00987DFF">
        <w:rPr>
          <w:rFonts w:ascii="Century Gothic" w:hAnsi="Century Gothic" w:cstheme="minorHAnsi"/>
          <w:sz w:val="20"/>
          <w:szCs w:val="21"/>
        </w:rPr>
        <w:t xml:space="preserve">yearly spend </w:t>
      </w:r>
      <w:r w:rsidR="00EA63BE">
        <w:rPr>
          <w:rFonts w:ascii="Century Gothic" w:hAnsi="Century Gothic" w:cstheme="minorHAnsi"/>
          <w:sz w:val="20"/>
          <w:szCs w:val="21"/>
        </w:rPr>
        <w:t xml:space="preserve">of most consumers </w:t>
      </w:r>
      <w:r w:rsidRPr="00987DFF">
        <w:rPr>
          <w:rFonts w:ascii="Century Gothic" w:hAnsi="Century Gothic" w:cstheme="minorHAnsi"/>
          <w:sz w:val="20"/>
          <w:szCs w:val="21"/>
        </w:rPr>
        <w:t>should be limited.</w:t>
      </w:r>
    </w:p>
    <w:p w14:paraId="3A5983B6" w14:textId="36F2D0FA" w:rsidR="00EA63BE" w:rsidRDefault="00EA63BE" w:rsidP="00EA63BE">
      <w:pPr>
        <w:pStyle w:val="ListParagraph"/>
        <w:numPr>
          <w:ilvl w:val="0"/>
          <w:numId w:val="42"/>
        </w:numPr>
        <w:spacing w:after="120"/>
        <w:contextualSpacing w:val="0"/>
        <w:rPr>
          <w:rFonts w:ascii="Century Gothic" w:hAnsi="Century Gothic" w:cstheme="minorHAnsi"/>
          <w:sz w:val="20"/>
          <w:szCs w:val="21"/>
        </w:rPr>
      </w:pPr>
      <w:r>
        <w:rPr>
          <w:rFonts w:ascii="Century Gothic" w:hAnsi="Century Gothic" w:cstheme="minorHAnsi"/>
          <w:sz w:val="20"/>
          <w:szCs w:val="21"/>
        </w:rPr>
        <w:t>Moreove</w:t>
      </w:r>
      <w:r w:rsidR="00041329">
        <w:rPr>
          <w:rFonts w:ascii="Century Gothic" w:hAnsi="Century Gothic" w:cstheme="minorHAnsi"/>
          <w:sz w:val="20"/>
          <w:szCs w:val="21"/>
        </w:rPr>
        <w:t>r, t</w:t>
      </w:r>
      <w:r w:rsidR="009F65FA">
        <w:rPr>
          <w:rFonts w:ascii="Century Gothic" w:hAnsi="Century Gothic" w:cstheme="minorHAnsi"/>
          <w:sz w:val="20"/>
          <w:szCs w:val="21"/>
        </w:rPr>
        <w:t>aking into account</w:t>
      </w:r>
      <w:r w:rsidR="004C67CC">
        <w:rPr>
          <w:rFonts w:ascii="Century Gothic" w:hAnsi="Century Gothic" w:cstheme="minorHAnsi"/>
          <w:sz w:val="20"/>
          <w:szCs w:val="21"/>
        </w:rPr>
        <w:t xml:space="preserve"> passed</w:t>
      </w:r>
      <w:r w:rsidR="009F65FA">
        <w:rPr>
          <w:rFonts w:ascii="Century Gothic" w:hAnsi="Century Gothic" w:cstheme="minorHAnsi"/>
          <w:sz w:val="20"/>
          <w:szCs w:val="21"/>
        </w:rPr>
        <w:t xml:space="preserve"> fuel efficiency improvement</w:t>
      </w:r>
      <w:r w:rsidR="00041329">
        <w:rPr>
          <w:rFonts w:ascii="Century Gothic" w:hAnsi="Century Gothic" w:cstheme="minorHAnsi"/>
          <w:sz w:val="20"/>
          <w:szCs w:val="21"/>
        </w:rPr>
        <w:t xml:space="preserve"> (-50% of fuel consumption)</w:t>
      </w:r>
      <w:r w:rsidR="009F65FA">
        <w:rPr>
          <w:rFonts w:ascii="Century Gothic" w:hAnsi="Century Gothic" w:cstheme="minorHAnsi"/>
          <w:sz w:val="20"/>
          <w:szCs w:val="21"/>
        </w:rPr>
        <w:t xml:space="preserve">, a doubling of </w:t>
      </w:r>
      <w:r w:rsidR="004C67CC">
        <w:rPr>
          <w:rFonts w:ascii="Century Gothic" w:hAnsi="Century Gothic" w:cstheme="minorHAnsi"/>
          <w:sz w:val="20"/>
          <w:szCs w:val="21"/>
        </w:rPr>
        <w:t xml:space="preserve">fuel prices per litre of fuel would bring total fuel costs for airlines back to their </w:t>
      </w:r>
      <w:r w:rsidR="00041329">
        <w:rPr>
          <w:rFonts w:ascii="Century Gothic" w:hAnsi="Century Gothic" w:cstheme="minorHAnsi"/>
          <w:sz w:val="20"/>
          <w:szCs w:val="21"/>
        </w:rPr>
        <w:t>19</w:t>
      </w:r>
      <w:r w:rsidR="004C67CC">
        <w:rPr>
          <w:rFonts w:ascii="Century Gothic" w:hAnsi="Century Gothic" w:cstheme="minorHAnsi"/>
          <w:sz w:val="20"/>
          <w:szCs w:val="21"/>
        </w:rPr>
        <w:t>68 level.</w:t>
      </w:r>
      <w:r w:rsidR="006453CC">
        <w:rPr>
          <w:rFonts w:ascii="Century Gothic" w:hAnsi="Century Gothic" w:cstheme="minorHAnsi"/>
          <w:sz w:val="20"/>
          <w:szCs w:val="21"/>
        </w:rPr>
        <w:t xml:space="preserve"> Continued energy efficiency improvement (as per point 2.1-A) would </w:t>
      </w:r>
      <w:r>
        <w:rPr>
          <w:rFonts w:ascii="Century Gothic" w:hAnsi="Century Gothic" w:cstheme="minorHAnsi"/>
          <w:sz w:val="20"/>
          <w:szCs w:val="21"/>
        </w:rPr>
        <w:t xml:space="preserve">similarly </w:t>
      </w:r>
      <w:r w:rsidR="006453CC">
        <w:rPr>
          <w:rFonts w:ascii="Century Gothic" w:hAnsi="Century Gothic" w:cstheme="minorHAnsi"/>
          <w:sz w:val="20"/>
          <w:szCs w:val="21"/>
        </w:rPr>
        <w:t>limit the</w:t>
      </w:r>
      <w:r>
        <w:rPr>
          <w:rFonts w:ascii="Century Gothic" w:hAnsi="Century Gothic" w:cstheme="minorHAnsi"/>
          <w:sz w:val="20"/>
          <w:szCs w:val="21"/>
        </w:rPr>
        <w:t xml:space="preserve"> cost</w:t>
      </w:r>
      <w:r w:rsidR="006453CC">
        <w:rPr>
          <w:rFonts w:ascii="Century Gothic" w:hAnsi="Century Gothic" w:cstheme="minorHAnsi"/>
          <w:sz w:val="20"/>
          <w:szCs w:val="21"/>
        </w:rPr>
        <w:t xml:space="preserve"> impact o</w:t>
      </w:r>
      <w:r w:rsidR="00987DFF">
        <w:rPr>
          <w:rFonts w:ascii="Century Gothic" w:hAnsi="Century Gothic" w:cstheme="minorHAnsi"/>
          <w:sz w:val="20"/>
          <w:szCs w:val="21"/>
        </w:rPr>
        <w:t>f a switch to SAF on airlines and passengers.</w:t>
      </w:r>
    </w:p>
    <w:p w14:paraId="59EDAC64" w14:textId="4EE5C0A0" w:rsidR="00BA51B1" w:rsidRDefault="00070315" w:rsidP="00B3265B">
      <w:pPr>
        <w:pStyle w:val="ListParagraph"/>
        <w:spacing w:after="120"/>
        <w:ind w:left="426"/>
        <w:contextualSpacing w:val="0"/>
        <w:rPr>
          <w:rFonts w:ascii="Century Gothic" w:hAnsi="Century Gothic" w:cstheme="minorHAnsi"/>
          <w:sz w:val="20"/>
          <w:szCs w:val="21"/>
        </w:rPr>
      </w:pPr>
      <w:r>
        <w:rPr>
          <w:rFonts w:ascii="Century Gothic" w:hAnsi="Century Gothic" w:cstheme="minorHAnsi"/>
          <w:sz w:val="20"/>
          <w:szCs w:val="21"/>
        </w:rPr>
        <w:t>B</w:t>
      </w:r>
      <w:r w:rsidR="00EA63BE" w:rsidRPr="00EA63BE">
        <w:rPr>
          <w:rFonts w:ascii="Century Gothic" w:hAnsi="Century Gothic" w:cstheme="minorHAnsi"/>
          <w:sz w:val="20"/>
          <w:szCs w:val="21"/>
        </w:rPr>
        <w:t xml:space="preserve">. </w:t>
      </w:r>
      <w:r w:rsidRPr="00070315">
        <w:rPr>
          <w:rFonts w:ascii="Century Gothic" w:hAnsi="Century Gothic" w:cstheme="minorHAnsi"/>
          <w:sz w:val="20"/>
          <w:szCs w:val="21"/>
          <w:u w:val="single"/>
        </w:rPr>
        <w:t>International</w:t>
      </w:r>
      <w:r w:rsidR="00EA63BE" w:rsidRPr="00070315">
        <w:rPr>
          <w:rFonts w:ascii="Century Gothic" w:hAnsi="Century Gothic" w:cstheme="minorHAnsi"/>
          <w:sz w:val="20"/>
          <w:szCs w:val="21"/>
          <w:u w:val="single"/>
        </w:rPr>
        <w:t xml:space="preserve"> competition</w:t>
      </w:r>
      <w:r w:rsidR="00EA63BE">
        <w:rPr>
          <w:rFonts w:ascii="Century Gothic" w:hAnsi="Century Gothic" w:cstheme="minorHAnsi"/>
          <w:sz w:val="20"/>
          <w:szCs w:val="21"/>
        </w:rPr>
        <w:t>. Given the c</w:t>
      </w:r>
      <w:r w:rsidR="00E34F4E">
        <w:rPr>
          <w:rFonts w:ascii="Century Gothic" w:hAnsi="Century Gothic" w:cstheme="minorHAnsi"/>
          <w:sz w:val="20"/>
          <w:szCs w:val="21"/>
        </w:rPr>
        <w:t>ompetitive landscape</w:t>
      </w:r>
      <w:r w:rsidR="00EA63BE">
        <w:rPr>
          <w:rFonts w:ascii="Century Gothic" w:hAnsi="Century Gothic" w:cstheme="minorHAnsi"/>
          <w:sz w:val="20"/>
          <w:szCs w:val="21"/>
        </w:rPr>
        <w:t>, the cost differential of using SAF could not be absorbed by a</w:t>
      </w:r>
      <w:r w:rsidR="00E34F4E">
        <w:rPr>
          <w:rFonts w:ascii="Century Gothic" w:hAnsi="Century Gothic" w:cstheme="minorHAnsi"/>
          <w:sz w:val="20"/>
          <w:szCs w:val="21"/>
        </w:rPr>
        <w:t xml:space="preserve"> single airline if there is not a level playing field </w:t>
      </w:r>
      <w:r>
        <w:rPr>
          <w:rFonts w:ascii="Century Gothic" w:hAnsi="Century Gothic" w:cstheme="minorHAnsi"/>
          <w:sz w:val="20"/>
          <w:szCs w:val="21"/>
        </w:rPr>
        <w:t>(or a differentiated premium market for lower-carbon flights)</w:t>
      </w:r>
      <w:r w:rsidR="00E34F4E">
        <w:rPr>
          <w:rFonts w:ascii="Century Gothic" w:hAnsi="Century Gothic" w:cstheme="minorHAnsi"/>
          <w:sz w:val="20"/>
          <w:szCs w:val="21"/>
        </w:rPr>
        <w:t xml:space="preserve">. Similarly, airports flag a risk of rerouting if a single airport was to impose </w:t>
      </w:r>
      <w:r>
        <w:rPr>
          <w:rFonts w:ascii="Century Gothic" w:hAnsi="Century Gothic" w:cstheme="minorHAnsi"/>
          <w:sz w:val="20"/>
          <w:szCs w:val="21"/>
        </w:rPr>
        <w:t>carbon-related regulations.</w:t>
      </w:r>
    </w:p>
    <w:p w14:paraId="029B2422" w14:textId="1261CCB5" w:rsidR="00125C0B" w:rsidRDefault="00BA51B1" w:rsidP="00125C0B">
      <w:pPr>
        <w:pStyle w:val="ListParagraph"/>
        <w:spacing w:after="120"/>
        <w:ind w:left="426"/>
        <w:contextualSpacing w:val="0"/>
        <w:rPr>
          <w:rFonts w:ascii="Century Gothic" w:hAnsi="Century Gothic" w:cstheme="minorHAnsi"/>
          <w:sz w:val="20"/>
          <w:szCs w:val="21"/>
        </w:rPr>
      </w:pPr>
      <w:r w:rsidRPr="00BA51B1">
        <w:rPr>
          <w:rFonts w:ascii="Century Gothic" w:hAnsi="Century Gothic" w:cstheme="minorHAnsi"/>
          <w:sz w:val="20"/>
          <w:szCs w:val="21"/>
        </w:rPr>
        <w:t>C</w:t>
      </w:r>
      <w:r>
        <w:rPr>
          <w:rFonts w:ascii="Century Gothic" w:hAnsi="Century Gothic" w:cstheme="minorHAnsi"/>
          <w:sz w:val="20"/>
          <w:szCs w:val="21"/>
        </w:rPr>
        <w:t xml:space="preserve">. </w:t>
      </w:r>
      <w:r w:rsidRPr="00BA51B1">
        <w:rPr>
          <w:rFonts w:ascii="Century Gothic" w:hAnsi="Century Gothic" w:cstheme="minorHAnsi"/>
          <w:sz w:val="20"/>
          <w:szCs w:val="21"/>
          <w:u w:val="single"/>
        </w:rPr>
        <w:t>Sustainable feedstock availability</w:t>
      </w:r>
      <w:r w:rsidR="005F7EAE" w:rsidRPr="00EA63BE">
        <w:rPr>
          <w:rFonts w:ascii="Century Gothic" w:hAnsi="Century Gothic" w:cstheme="minorHAnsi"/>
          <w:sz w:val="20"/>
          <w:szCs w:val="21"/>
        </w:rPr>
        <w:t>.</w:t>
      </w:r>
      <w:r w:rsidR="00A861DC" w:rsidRPr="00EA63BE">
        <w:rPr>
          <w:rFonts w:ascii="Century Gothic" w:hAnsi="Century Gothic" w:cstheme="minorHAnsi"/>
          <w:sz w:val="20"/>
          <w:szCs w:val="21"/>
        </w:rPr>
        <w:t xml:space="preserve"> </w:t>
      </w:r>
      <w:r w:rsidR="007737E9">
        <w:rPr>
          <w:rFonts w:ascii="Century Gothic" w:hAnsi="Century Gothic" w:cstheme="minorHAnsi"/>
          <w:sz w:val="20"/>
          <w:szCs w:val="21"/>
        </w:rPr>
        <w:t>T</w:t>
      </w:r>
      <w:r w:rsidR="00F83284">
        <w:rPr>
          <w:rFonts w:ascii="Century Gothic" w:hAnsi="Century Gothic" w:cstheme="minorHAnsi"/>
          <w:sz w:val="20"/>
          <w:szCs w:val="21"/>
        </w:rPr>
        <w:t>h</w:t>
      </w:r>
      <w:r w:rsidR="007737E9">
        <w:rPr>
          <w:rFonts w:ascii="Century Gothic" w:hAnsi="Century Gothic" w:cstheme="minorHAnsi"/>
          <w:sz w:val="20"/>
          <w:szCs w:val="21"/>
        </w:rPr>
        <w:t>ere are legitimate concerns about the risks of scaling-up bioenergy use, including biofuels use in aviation</w:t>
      </w:r>
      <w:r w:rsidR="006B2B44">
        <w:rPr>
          <w:rFonts w:ascii="Century Gothic" w:hAnsi="Century Gothic" w:cstheme="minorHAnsi"/>
          <w:sz w:val="20"/>
          <w:szCs w:val="21"/>
        </w:rPr>
        <w:t xml:space="preserve">, in terms of forest and biodiversity conservation, as well as competition for land use with food production. A </w:t>
      </w:r>
      <w:r w:rsidR="00A861DC" w:rsidRPr="00EA63BE">
        <w:rPr>
          <w:rFonts w:ascii="Century Gothic" w:hAnsi="Century Gothic" w:cstheme="minorHAnsi"/>
          <w:sz w:val="20"/>
          <w:szCs w:val="21"/>
        </w:rPr>
        <w:t>range of analys</w:t>
      </w:r>
      <w:r w:rsidR="003E3355" w:rsidRPr="00EA63BE">
        <w:rPr>
          <w:rFonts w:ascii="Century Gothic" w:hAnsi="Century Gothic" w:cstheme="minorHAnsi"/>
          <w:sz w:val="20"/>
          <w:szCs w:val="21"/>
        </w:rPr>
        <w:t>e</w:t>
      </w:r>
      <w:r w:rsidR="00A861DC" w:rsidRPr="00EA63BE">
        <w:rPr>
          <w:rFonts w:ascii="Century Gothic" w:hAnsi="Century Gothic" w:cstheme="minorHAnsi"/>
          <w:sz w:val="20"/>
          <w:szCs w:val="21"/>
        </w:rPr>
        <w:t xml:space="preserve">s on the maximum </w:t>
      </w:r>
      <w:r w:rsidR="007229C6">
        <w:rPr>
          <w:rFonts w:ascii="Century Gothic" w:hAnsi="Century Gothic" w:cstheme="minorHAnsi"/>
          <w:sz w:val="20"/>
          <w:szCs w:val="21"/>
        </w:rPr>
        <w:t>supply of</w:t>
      </w:r>
      <w:r w:rsidR="00A861DC" w:rsidRPr="00EA63BE">
        <w:rPr>
          <w:rFonts w:ascii="Century Gothic" w:hAnsi="Century Gothic" w:cstheme="minorHAnsi"/>
          <w:sz w:val="20"/>
          <w:szCs w:val="21"/>
        </w:rPr>
        <w:t xml:space="preserve"> sustainably sourced bioenergy exists</w:t>
      </w:r>
      <w:r w:rsidR="00431D08">
        <w:rPr>
          <w:rFonts w:ascii="Century Gothic" w:hAnsi="Century Gothic" w:cstheme="minorHAnsi"/>
          <w:sz w:val="20"/>
          <w:szCs w:val="21"/>
        </w:rPr>
        <w:t>, reaching widely different results (from near zero to &gt;200 EJ)</w:t>
      </w:r>
      <w:r w:rsidR="00A861DC" w:rsidRPr="00EA63BE">
        <w:rPr>
          <w:rFonts w:ascii="Century Gothic" w:hAnsi="Century Gothic" w:cstheme="minorHAnsi"/>
          <w:sz w:val="20"/>
          <w:szCs w:val="21"/>
        </w:rPr>
        <w:t>.</w:t>
      </w:r>
      <w:r w:rsidR="007229C6">
        <w:rPr>
          <w:rFonts w:ascii="Century Gothic" w:hAnsi="Century Gothic" w:cstheme="minorHAnsi"/>
          <w:sz w:val="20"/>
          <w:szCs w:val="21"/>
        </w:rPr>
        <w:t xml:space="preserve"> Based on IEA estimates, the ETC recommends </w:t>
      </w:r>
      <w:r w:rsidR="00431D08">
        <w:rPr>
          <w:rFonts w:ascii="Century Gothic" w:hAnsi="Century Gothic" w:cstheme="minorHAnsi"/>
          <w:sz w:val="20"/>
          <w:szCs w:val="21"/>
        </w:rPr>
        <w:t>considering</w:t>
      </w:r>
      <w:r w:rsidR="007229C6">
        <w:rPr>
          <w:rFonts w:ascii="Century Gothic" w:hAnsi="Century Gothic" w:cstheme="minorHAnsi"/>
          <w:sz w:val="20"/>
          <w:szCs w:val="21"/>
        </w:rPr>
        <w:t xml:space="preserve"> that about 70EJ of </w:t>
      </w:r>
      <w:r w:rsidR="00384A38">
        <w:rPr>
          <w:rFonts w:ascii="Century Gothic" w:hAnsi="Century Gothic" w:cstheme="minorHAnsi"/>
          <w:sz w:val="20"/>
          <w:szCs w:val="21"/>
        </w:rPr>
        <w:t xml:space="preserve">bioenergy could be available from waste and residues only (municipal waste, agricultural residues, wood residues) without </w:t>
      </w:r>
      <w:r w:rsidR="006E7428">
        <w:rPr>
          <w:rFonts w:ascii="Century Gothic" w:hAnsi="Century Gothic" w:cstheme="minorHAnsi"/>
          <w:sz w:val="20"/>
          <w:szCs w:val="21"/>
        </w:rPr>
        <w:t>creating a risk of any land use change.</w:t>
      </w:r>
      <w:r w:rsidR="00A861DC" w:rsidRPr="00EA63BE">
        <w:rPr>
          <w:rFonts w:ascii="Century Gothic" w:hAnsi="Century Gothic" w:cstheme="minorHAnsi"/>
          <w:sz w:val="20"/>
          <w:szCs w:val="21"/>
        </w:rPr>
        <w:t xml:space="preserve"> To decarbonise</w:t>
      </w:r>
      <w:r w:rsidR="007229C6">
        <w:rPr>
          <w:rFonts w:ascii="Century Gothic" w:hAnsi="Century Gothic" w:cstheme="minorHAnsi"/>
          <w:sz w:val="20"/>
          <w:szCs w:val="21"/>
        </w:rPr>
        <w:t xml:space="preserve"> the whole of</w:t>
      </w:r>
      <w:r w:rsidR="00A861DC" w:rsidRPr="00EA63BE">
        <w:rPr>
          <w:rFonts w:ascii="Century Gothic" w:hAnsi="Century Gothic" w:cstheme="minorHAnsi"/>
          <w:sz w:val="20"/>
          <w:szCs w:val="21"/>
        </w:rPr>
        <w:t xml:space="preserve"> aviation, between</w:t>
      </w:r>
      <w:r w:rsidR="005F7EAE" w:rsidRPr="00EA63BE">
        <w:rPr>
          <w:rFonts w:ascii="Century Gothic" w:hAnsi="Century Gothic" w:cstheme="minorHAnsi"/>
          <w:sz w:val="20"/>
          <w:szCs w:val="21"/>
        </w:rPr>
        <w:t xml:space="preserve"> 20-40EJ </w:t>
      </w:r>
      <w:r w:rsidR="005C5BB7" w:rsidRPr="00EA63BE">
        <w:rPr>
          <w:rFonts w:ascii="Century Gothic" w:hAnsi="Century Gothic" w:cstheme="minorHAnsi"/>
          <w:sz w:val="20"/>
          <w:szCs w:val="21"/>
        </w:rPr>
        <w:t>of bioenergy might be required</w:t>
      </w:r>
      <w:r w:rsidR="006E7428">
        <w:rPr>
          <w:rFonts w:ascii="Century Gothic" w:hAnsi="Century Gothic" w:cstheme="minorHAnsi"/>
          <w:sz w:val="20"/>
          <w:szCs w:val="21"/>
        </w:rPr>
        <w:t xml:space="preserve">, which would represent </w:t>
      </w:r>
      <w:r w:rsidR="005C5BB7" w:rsidRPr="00EA63BE">
        <w:rPr>
          <w:rFonts w:ascii="Century Gothic" w:hAnsi="Century Gothic" w:cstheme="minorHAnsi"/>
          <w:sz w:val="20"/>
          <w:szCs w:val="21"/>
        </w:rPr>
        <w:t xml:space="preserve">a </w:t>
      </w:r>
      <w:r w:rsidR="003E3355" w:rsidRPr="00EA63BE">
        <w:rPr>
          <w:rFonts w:ascii="Century Gothic" w:hAnsi="Century Gothic" w:cstheme="minorHAnsi"/>
          <w:sz w:val="20"/>
          <w:szCs w:val="21"/>
        </w:rPr>
        <w:t>30-60</w:t>
      </w:r>
      <w:r w:rsidR="005C5BB7" w:rsidRPr="00EA63BE">
        <w:rPr>
          <w:rFonts w:ascii="Century Gothic" w:hAnsi="Century Gothic" w:cstheme="minorHAnsi"/>
          <w:sz w:val="20"/>
          <w:szCs w:val="21"/>
        </w:rPr>
        <w:t xml:space="preserve">% share of </w:t>
      </w:r>
      <w:r w:rsidR="006E7428">
        <w:rPr>
          <w:rFonts w:ascii="Century Gothic" w:hAnsi="Century Gothic" w:cstheme="minorHAnsi"/>
          <w:sz w:val="20"/>
          <w:szCs w:val="21"/>
        </w:rPr>
        <w:t>this budget</w:t>
      </w:r>
      <w:r w:rsidR="000E7827" w:rsidRPr="00EA63BE">
        <w:rPr>
          <w:rFonts w:ascii="Century Gothic" w:hAnsi="Century Gothic" w:cstheme="minorHAnsi"/>
          <w:sz w:val="20"/>
          <w:szCs w:val="21"/>
        </w:rPr>
        <w:t>. Aviation</w:t>
      </w:r>
      <w:r w:rsidR="006E7428">
        <w:rPr>
          <w:rFonts w:ascii="Century Gothic" w:hAnsi="Century Gothic" w:cstheme="minorHAnsi"/>
          <w:sz w:val="20"/>
          <w:szCs w:val="21"/>
        </w:rPr>
        <w:t xml:space="preserve"> could legitimately claim priority use of this limited resource, given the lack of alternative decarbonisation options</w:t>
      </w:r>
      <w:r w:rsidR="00431D08">
        <w:rPr>
          <w:rFonts w:ascii="Century Gothic" w:hAnsi="Century Gothic" w:cstheme="minorHAnsi"/>
          <w:sz w:val="20"/>
          <w:szCs w:val="21"/>
        </w:rPr>
        <w:t xml:space="preserve">. Any scale-up of biofuels use in aviation should, however, be </w:t>
      </w:r>
      <w:r w:rsidR="00125C0B">
        <w:rPr>
          <w:rFonts w:ascii="Century Gothic" w:hAnsi="Century Gothic" w:cstheme="minorHAnsi"/>
          <w:sz w:val="20"/>
          <w:szCs w:val="21"/>
        </w:rPr>
        <w:t>the object of very strict regulations on sustainable sourcing of fuels.</w:t>
      </w:r>
    </w:p>
    <w:p w14:paraId="4CF6FA9E" w14:textId="6C798BFF" w:rsidR="00023894" w:rsidRPr="00FA5A55" w:rsidRDefault="00023894" w:rsidP="00125C0B">
      <w:pPr>
        <w:pStyle w:val="ListParagraph"/>
        <w:spacing w:after="120"/>
        <w:ind w:left="426"/>
        <w:contextualSpacing w:val="0"/>
        <w:rPr>
          <w:rFonts w:ascii="Century Gothic" w:hAnsi="Century Gothic" w:cstheme="minorHAnsi"/>
          <w:sz w:val="20"/>
          <w:szCs w:val="21"/>
        </w:rPr>
      </w:pPr>
      <w:r>
        <w:rPr>
          <w:rFonts w:ascii="Century Gothic" w:hAnsi="Century Gothic" w:cstheme="minorHAnsi"/>
          <w:sz w:val="20"/>
          <w:szCs w:val="21"/>
        </w:rPr>
        <w:t xml:space="preserve">D. </w:t>
      </w:r>
      <w:r w:rsidR="005008CA" w:rsidRPr="00FB55D7">
        <w:rPr>
          <w:rFonts w:ascii="Century Gothic" w:hAnsi="Century Gothic" w:cstheme="minorHAnsi"/>
          <w:sz w:val="20"/>
          <w:szCs w:val="21"/>
          <w:u w:val="single"/>
        </w:rPr>
        <w:t>Pace of scale-up</w:t>
      </w:r>
      <w:r w:rsidR="005008CA">
        <w:rPr>
          <w:rFonts w:ascii="Century Gothic" w:hAnsi="Century Gothic" w:cstheme="minorHAnsi"/>
          <w:sz w:val="20"/>
          <w:szCs w:val="21"/>
        </w:rPr>
        <w:t>. Some airlines</w:t>
      </w:r>
      <w:r w:rsidR="00FB55D7">
        <w:rPr>
          <w:rFonts w:ascii="Century Gothic" w:hAnsi="Century Gothic" w:cstheme="minorHAnsi"/>
          <w:sz w:val="20"/>
          <w:szCs w:val="21"/>
        </w:rPr>
        <w:t xml:space="preserve"> currently</w:t>
      </w:r>
      <w:r w:rsidR="005008CA">
        <w:rPr>
          <w:rFonts w:ascii="Century Gothic" w:hAnsi="Century Gothic" w:cstheme="minorHAnsi"/>
          <w:sz w:val="20"/>
          <w:szCs w:val="21"/>
        </w:rPr>
        <w:t xml:space="preserve"> state that there is a shortage of SAF supply that does not enable them to </w:t>
      </w:r>
      <w:r w:rsidR="00FB55D7">
        <w:rPr>
          <w:rFonts w:ascii="Century Gothic" w:hAnsi="Century Gothic" w:cstheme="minorHAnsi"/>
          <w:sz w:val="20"/>
          <w:szCs w:val="21"/>
        </w:rPr>
        <w:t>accelerate their decarbonisation</w:t>
      </w:r>
      <w:r w:rsidR="00385690">
        <w:rPr>
          <w:rFonts w:ascii="Century Gothic" w:hAnsi="Century Gothic" w:cstheme="minorHAnsi"/>
          <w:sz w:val="20"/>
          <w:szCs w:val="21"/>
        </w:rPr>
        <w:t>. This statement</w:t>
      </w:r>
      <w:r w:rsidR="00FD136F">
        <w:rPr>
          <w:rFonts w:ascii="Century Gothic" w:hAnsi="Century Gothic" w:cstheme="minorHAnsi"/>
          <w:sz w:val="20"/>
          <w:szCs w:val="21"/>
        </w:rPr>
        <w:t xml:space="preserve"> </w:t>
      </w:r>
      <w:r w:rsidR="00385690">
        <w:rPr>
          <w:rFonts w:ascii="Century Gothic" w:hAnsi="Century Gothic" w:cstheme="minorHAnsi"/>
          <w:sz w:val="20"/>
          <w:szCs w:val="21"/>
        </w:rPr>
        <w:t xml:space="preserve">reflects the fact that a lead-time of </w:t>
      </w:r>
      <w:r w:rsidR="0044254F">
        <w:rPr>
          <w:rFonts w:ascii="Century Gothic" w:hAnsi="Century Gothic" w:cstheme="minorHAnsi"/>
          <w:sz w:val="20"/>
          <w:szCs w:val="21"/>
        </w:rPr>
        <w:t>3-4</w:t>
      </w:r>
      <w:r w:rsidR="00385690">
        <w:rPr>
          <w:rFonts w:ascii="Century Gothic" w:hAnsi="Century Gothic" w:cstheme="minorHAnsi"/>
          <w:sz w:val="20"/>
          <w:szCs w:val="21"/>
        </w:rPr>
        <w:t xml:space="preserve"> years </w:t>
      </w:r>
      <w:r w:rsidR="0044254F">
        <w:rPr>
          <w:rFonts w:ascii="Century Gothic" w:hAnsi="Century Gothic" w:cstheme="minorHAnsi"/>
          <w:sz w:val="20"/>
          <w:szCs w:val="21"/>
        </w:rPr>
        <w:t xml:space="preserve">for a fuel production facility to be built and </w:t>
      </w:r>
      <w:r w:rsidR="00FD136F">
        <w:rPr>
          <w:rFonts w:ascii="Century Gothic" w:hAnsi="Century Gothic" w:cstheme="minorHAnsi"/>
          <w:sz w:val="20"/>
          <w:szCs w:val="21"/>
        </w:rPr>
        <w:t>start producing, which implies that offtake commitments should be concluded 3-4 years ahead of actual purchase</w:t>
      </w:r>
      <w:r w:rsidR="00DC6A14">
        <w:rPr>
          <w:rFonts w:ascii="Century Gothic" w:hAnsi="Century Gothic" w:cstheme="minorHAnsi"/>
          <w:sz w:val="20"/>
          <w:szCs w:val="21"/>
        </w:rPr>
        <w:t xml:space="preserve"> to create demand certainty, and therefore unlock financing for new plants</w:t>
      </w:r>
      <w:r w:rsidR="00DC6A14" w:rsidRPr="006E3C17">
        <w:rPr>
          <w:rFonts w:ascii="Century Gothic" w:hAnsi="Century Gothic" w:cstheme="minorHAnsi"/>
          <w:sz w:val="20"/>
          <w:szCs w:val="21"/>
        </w:rPr>
        <w:t>.</w:t>
      </w:r>
      <w:r w:rsidR="009A72A5" w:rsidRPr="006E3C17">
        <w:rPr>
          <w:rFonts w:ascii="Century Gothic" w:hAnsi="Century Gothic" w:cstheme="minorHAnsi"/>
          <w:sz w:val="20"/>
          <w:szCs w:val="21"/>
        </w:rPr>
        <w:t xml:space="preserve"> In addition, most biofuel</w:t>
      </w:r>
      <w:r w:rsidR="00996E5C" w:rsidRPr="006E3C17">
        <w:rPr>
          <w:rFonts w:ascii="Century Gothic" w:hAnsi="Century Gothic" w:cstheme="minorHAnsi"/>
          <w:sz w:val="20"/>
          <w:szCs w:val="21"/>
        </w:rPr>
        <w:t xml:space="preserve"> and </w:t>
      </w:r>
      <w:proofErr w:type="spellStart"/>
      <w:r w:rsidR="00996E5C" w:rsidRPr="006E3C17">
        <w:rPr>
          <w:rFonts w:ascii="Century Gothic" w:hAnsi="Century Gothic" w:cstheme="minorHAnsi"/>
          <w:sz w:val="20"/>
          <w:szCs w:val="21"/>
        </w:rPr>
        <w:t>synfuel</w:t>
      </w:r>
      <w:proofErr w:type="spellEnd"/>
      <w:r w:rsidR="009A72A5" w:rsidRPr="006E3C17">
        <w:rPr>
          <w:rFonts w:ascii="Century Gothic" w:hAnsi="Century Gothic" w:cstheme="minorHAnsi"/>
          <w:sz w:val="20"/>
          <w:szCs w:val="21"/>
        </w:rPr>
        <w:t xml:space="preserve"> producers </w:t>
      </w:r>
      <w:proofErr w:type="gramStart"/>
      <w:r w:rsidR="00996E5C" w:rsidRPr="006E3C17">
        <w:rPr>
          <w:rFonts w:ascii="Century Gothic" w:hAnsi="Century Gothic" w:cstheme="minorHAnsi"/>
          <w:sz w:val="20"/>
          <w:szCs w:val="21"/>
        </w:rPr>
        <w:t>have to</w:t>
      </w:r>
      <w:proofErr w:type="gramEnd"/>
      <w:r w:rsidR="00996E5C" w:rsidRPr="006E3C17">
        <w:rPr>
          <w:rFonts w:ascii="Century Gothic" w:hAnsi="Century Gothic" w:cstheme="minorHAnsi"/>
          <w:sz w:val="20"/>
          <w:szCs w:val="21"/>
        </w:rPr>
        <w:t xml:space="preserve"> decide between producing</w:t>
      </w:r>
      <w:r w:rsidR="00365B15" w:rsidRPr="006E3C17">
        <w:rPr>
          <w:rFonts w:ascii="Century Gothic" w:hAnsi="Century Gothic" w:cstheme="minorHAnsi"/>
          <w:sz w:val="20"/>
          <w:szCs w:val="21"/>
        </w:rPr>
        <w:t xml:space="preserve"> fuels for</w:t>
      </w:r>
      <w:r w:rsidR="009A72A5" w:rsidRPr="006E3C17">
        <w:rPr>
          <w:rFonts w:ascii="Century Gothic" w:hAnsi="Century Gothic" w:cstheme="minorHAnsi"/>
          <w:sz w:val="20"/>
          <w:szCs w:val="21"/>
        </w:rPr>
        <w:t xml:space="preserve"> the automotive, maritime, or aviation sector</w:t>
      </w:r>
      <w:r w:rsidR="00996E5C" w:rsidRPr="006E3C17">
        <w:rPr>
          <w:rFonts w:ascii="Century Gothic" w:hAnsi="Century Gothic" w:cstheme="minorHAnsi"/>
          <w:sz w:val="20"/>
          <w:szCs w:val="21"/>
        </w:rPr>
        <w:t>s</w:t>
      </w:r>
      <w:r w:rsidR="00365B15" w:rsidRPr="006E3C17">
        <w:rPr>
          <w:rFonts w:ascii="Century Gothic" w:hAnsi="Century Gothic" w:cstheme="minorHAnsi"/>
          <w:sz w:val="20"/>
          <w:szCs w:val="21"/>
        </w:rPr>
        <w:t>, as all require the same feedstock, but different product qualities</w:t>
      </w:r>
      <w:r w:rsidR="00D52F55" w:rsidRPr="006E3C17">
        <w:rPr>
          <w:rFonts w:ascii="Century Gothic" w:hAnsi="Century Gothic" w:cstheme="minorHAnsi"/>
          <w:sz w:val="20"/>
          <w:szCs w:val="21"/>
        </w:rPr>
        <w:t xml:space="preserve">. </w:t>
      </w:r>
      <w:r w:rsidR="00996E5C" w:rsidRPr="006E3C17">
        <w:rPr>
          <w:rFonts w:ascii="Century Gothic" w:hAnsi="Century Gothic" w:cstheme="minorHAnsi"/>
          <w:sz w:val="20"/>
          <w:szCs w:val="21"/>
        </w:rPr>
        <w:t xml:space="preserve">The fact that significant subsidies exist for alternative fuel uses in road transport, but not in aviation, distorts the market. </w:t>
      </w:r>
      <w:r w:rsidR="00D52F55" w:rsidRPr="006E3C17">
        <w:rPr>
          <w:rFonts w:ascii="Century Gothic" w:hAnsi="Century Gothic" w:cstheme="minorHAnsi"/>
          <w:sz w:val="20"/>
          <w:szCs w:val="21"/>
        </w:rPr>
        <w:t xml:space="preserve">Since demand for automotive biofuels rose drastically in the late 2000s/early 2010s, most </w:t>
      </w:r>
      <w:r w:rsidR="00996E5C" w:rsidRPr="006E3C17">
        <w:rPr>
          <w:rFonts w:ascii="Century Gothic" w:hAnsi="Century Gothic" w:cstheme="minorHAnsi"/>
          <w:sz w:val="20"/>
          <w:szCs w:val="21"/>
        </w:rPr>
        <w:t xml:space="preserve">sustainable fuel </w:t>
      </w:r>
      <w:r w:rsidR="00D52F55" w:rsidRPr="006E3C17">
        <w:rPr>
          <w:rFonts w:ascii="Century Gothic" w:hAnsi="Century Gothic" w:cstheme="minorHAnsi"/>
          <w:sz w:val="20"/>
          <w:szCs w:val="21"/>
        </w:rPr>
        <w:t>capacity has been built for this application.</w:t>
      </w:r>
      <w:r w:rsidR="00365B15" w:rsidRPr="006E3C17">
        <w:rPr>
          <w:rFonts w:ascii="Century Gothic" w:hAnsi="Century Gothic" w:cstheme="minorHAnsi"/>
          <w:sz w:val="20"/>
          <w:szCs w:val="21"/>
        </w:rPr>
        <w:t xml:space="preserve"> </w:t>
      </w:r>
      <w:r w:rsidR="00A14B00" w:rsidRPr="006E3C17">
        <w:rPr>
          <w:rFonts w:ascii="Century Gothic" w:hAnsi="Century Gothic" w:cstheme="minorHAnsi"/>
          <w:sz w:val="20"/>
          <w:szCs w:val="21"/>
        </w:rPr>
        <w:t>World Energy, for example, only produces jet fuel at one of its six facilities in the USA.</w:t>
      </w:r>
      <w:r w:rsidR="00996E5C" w:rsidRPr="006E3C17">
        <w:rPr>
          <w:rFonts w:ascii="Century Gothic" w:hAnsi="Century Gothic" w:cstheme="minorHAnsi"/>
          <w:sz w:val="20"/>
          <w:szCs w:val="21"/>
        </w:rPr>
        <w:t xml:space="preserve"> The introduction of SAF subsidies in aviation and/or the suppression of biofuel subsidies in the automotive sector would be essential to increase SAF production.</w:t>
      </w:r>
    </w:p>
    <w:p w14:paraId="289ADE02" w14:textId="1495A622" w:rsidR="0041447B" w:rsidRDefault="00125C0B" w:rsidP="00125C0B">
      <w:pPr>
        <w:pStyle w:val="ListParagraph"/>
        <w:numPr>
          <w:ilvl w:val="1"/>
          <w:numId w:val="1"/>
        </w:numPr>
        <w:spacing w:after="120"/>
        <w:ind w:left="426"/>
        <w:contextualSpacing w:val="0"/>
        <w:rPr>
          <w:rFonts w:ascii="Century Gothic" w:hAnsi="Century Gothic" w:cstheme="minorHAnsi"/>
          <w:sz w:val="20"/>
          <w:szCs w:val="21"/>
        </w:rPr>
      </w:pPr>
      <w:r w:rsidRPr="00FA5A55">
        <w:rPr>
          <w:rFonts w:ascii="Century Gothic" w:hAnsi="Century Gothic" w:cstheme="minorHAnsi"/>
          <w:sz w:val="20"/>
          <w:szCs w:val="21"/>
        </w:rPr>
        <w:t>Meanwhile, t</w:t>
      </w:r>
      <w:r w:rsidR="009908B1" w:rsidRPr="00FA5A55">
        <w:rPr>
          <w:rFonts w:ascii="Century Gothic" w:hAnsi="Century Gothic" w:cstheme="minorHAnsi"/>
          <w:sz w:val="20"/>
          <w:szCs w:val="21"/>
        </w:rPr>
        <w:t>he main hurdle</w:t>
      </w:r>
      <w:r w:rsidRPr="00FA5A55">
        <w:rPr>
          <w:rFonts w:ascii="Century Gothic" w:hAnsi="Century Gothic" w:cstheme="minorHAnsi"/>
          <w:sz w:val="20"/>
          <w:szCs w:val="21"/>
        </w:rPr>
        <w:t>s</w:t>
      </w:r>
      <w:r w:rsidR="009908B1" w:rsidRPr="00FA5A55">
        <w:rPr>
          <w:rFonts w:ascii="Century Gothic" w:hAnsi="Century Gothic" w:cstheme="minorHAnsi"/>
          <w:sz w:val="20"/>
          <w:szCs w:val="21"/>
        </w:rPr>
        <w:t xml:space="preserve"> </w:t>
      </w:r>
      <w:r w:rsidRPr="00FA5A55">
        <w:rPr>
          <w:rFonts w:ascii="Century Gothic" w:hAnsi="Century Gothic" w:cstheme="minorHAnsi"/>
          <w:sz w:val="20"/>
          <w:szCs w:val="21"/>
        </w:rPr>
        <w:t>to the deployment of</w:t>
      </w:r>
      <w:r w:rsidR="009908B1" w:rsidRPr="00FA5A55">
        <w:rPr>
          <w:rFonts w:ascii="Century Gothic" w:hAnsi="Century Gothic" w:cstheme="minorHAnsi"/>
          <w:sz w:val="20"/>
          <w:szCs w:val="21"/>
        </w:rPr>
        <w:t xml:space="preserve"> electrified aviation</w:t>
      </w:r>
      <w:r w:rsidR="009908B1">
        <w:rPr>
          <w:rFonts w:ascii="Century Gothic" w:hAnsi="Century Gothic" w:cstheme="minorHAnsi"/>
          <w:sz w:val="20"/>
          <w:szCs w:val="21"/>
        </w:rPr>
        <w:t xml:space="preserve"> </w:t>
      </w:r>
      <w:r>
        <w:rPr>
          <w:rFonts w:ascii="Century Gothic" w:hAnsi="Century Gothic" w:cstheme="minorHAnsi"/>
          <w:sz w:val="20"/>
          <w:szCs w:val="21"/>
        </w:rPr>
        <w:t xml:space="preserve">are </w:t>
      </w:r>
      <w:r w:rsidR="009908B1">
        <w:rPr>
          <w:rFonts w:ascii="Century Gothic" w:hAnsi="Century Gothic" w:cstheme="minorHAnsi"/>
          <w:sz w:val="20"/>
          <w:szCs w:val="21"/>
        </w:rPr>
        <w:t>technology readiness</w:t>
      </w:r>
      <w:r>
        <w:rPr>
          <w:rFonts w:ascii="Century Gothic" w:hAnsi="Century Gothic" w:cstheme="minorHAnsi"/>
          <w:sz w:val="20"/>
          <w:szCs w:val="21"/>
        </w:rPr>
        <w:t xml:space="preserve"> and infrastructure build-up</w:t>
      </w:r>
      <w:r w:rsidR="009908B1">
        <w:rPr>
          <w:rFonts w:ascii="Century Gothic" w:hAnsi="Century Gothic" w:cstheme="minorHAnsi"/>
          <w:sz w:val="20"/>
          <w:szCs w:val="21"/>
        </w:rPr>
        <w:t>. Today’s electric aircraft</w:t>
      </w:r>
      <w:r>
        <w:rPr>
          <w:rFonts w:ascii="Century Gothic" w:hAnsi="Century Gothic" w:cstheme="minorHAnsi"/>
          <w:sz w:val="20"/>
          <w:szCs w:val="21"/>
        </w:rPr>
        <w:t>s</w:t>
      </w:r>
      <w:r w:rsidR="009908B1">
        <w:rPr>
          <w:rFonts w:ascii="Century Gothic" w:hAnsi="Century Gothic" w:cstheme="minorHAnsi"/>
          <w:sz w:val="20"/>
          <w:szCs w:val="21"/>
        </w:rPr>
        <w:t xml:space="preserve"> </w:t>
      </w:r>
      <w:r w:rsidR="009B3C4F">
        <w:rPr>
          <w:rFonts w:ascii="Century Gothic" w:hAnsi="Century Gothic" w:cstheme="minorHAnsi"/>
          <w:sz w:val="20"/>
          <w:szCs w:val="21"/>
        </w:rPr>
        <w:t xml:space="preserve">can only seat 2 passengers and fly for </w:t>
      </w:r>
      <w:r>
        <w:rPr>
          <w:rFonts w:ascii="Century Gothic" w:hAnsi="Century Gothic" w:cstheme="minorHAnsi"/>
          <w:sz w:val="20"/>
          <w:szCs w:val="21"/>
        </w:rPr>
        <w:t xml:space="preserve">approximately </w:t>
      </w:r>
      <w:r w:rsidR="009B3C4F">
        <w:rPr>
          <w:rFonts w:ascii="Century Gothic" w:hAnsi="Century Gothic" w:cstheme="minorHAnsi"/>
          <w:sz w:val="20"/>
          <w:szCs w:val="21"/>
        </w:rPr>
        <w:t>one hour (</w:t>
      </w:r>
      <w:proofErr w:type="spellStart"/>
      <w:r w:rsidR="009B3C4F">
        <w:rPr>
          <w:rFonts w:ascii="Century Gothic" w:hAnsi="Century Gothic" w:cstheme="minorHAnsi"/>
          <w:sz w:val="20"/>
          <w:szCs w:val="21"/>
        </w:rPr>
        <w:t>Pipistrel</w:t>
      </w:r>
      <w:proofErr w:type="spellEnd"/>
      <w:r w:rsidR="009B3C4F">
        <w:rPr>
          <w:rFonts w:ascii="Century Gothic" w:hAnsi="Century Gothic" w:cstheme="minorHAnsi"/>
          <w:sz w:val="20"/>
          <w:szCs w:val="21"/>
        </w:rPr>
        <w:t>, Bye Aerospace).</w:t>
      </w:r>
      <w:r>
        <w:rPr>
          <w:rFonts w:ascii="Century Gothic" w:hAnsi="Century Gothic" w:cstheme="minorHAnsi"/>
          <w:sz w:val="20"/>
          <w:szCs w:val="21"/>
        </w:rPr>
        <w:t xml:space="preserve"> </w:t>
      </w:r>
      <w:r w:rsidR="009B3C4F">
        <w:rPr>
          <w:rFonts w:ascii="Century Gothic" w:hAnsi="Century Gothic" w:cstheme="minorHAnsi"/>
          <w:sz w:val="20"/>
          <w:szCs w:val="21"/>
        </w:rPr>
        <w:t xml:space="preserve">Commercialisation timelines by companies like </w:t>
      </w:r>
      <w:proofErr w:type="spellStart"/>
      <w:r w:rsidR="009B3C4F">
        <w:rPr>
          <w:rFonts w:ascii="Century Gothic" w:hAnsi="Century Gothic" w:cstheme="minorHAnsi"/>
          <w:sz w:val="20"/>
          <w:szCs w:val="21"/>
        </w:rPr>
        <w:t>Eviation</w:t>
      </w:r>
      <w:proofErr w:type="spellEnd"/>
      <w:r w:rsidR="009B3C4F">
        <w:rPr>
          <w:rFonts w:ascii="Century Gothic" w:hAnsi="Century Gothic" w:cstheme="minorHAnsi"/>
          <w:sz w:val="20"/>
          <w:szCs w:val="21"/>
        </w:rPr>
        <w:t xml:space="preserve">, </w:t>
      </w:r>
      <w:proofErr w:type="spellStart"/>
      <w:r w:rsidR="009B3C4F">
        <w:rPr>
          <w:rFonts w:ascii="Century Gothic" w:hAnsi="Century Gothic" w:cstheme="minorHAnsi"/>
          <w:sz w:val="20"/>
          <w:szCs w:val="21"/>
        </w:rPr>
        <w:t>Ampaire</w:t>
      </w:r>
      <w:proofErr w:type="spellEnd"/>
      <w:r w:rsidR="009B3C4F">
        <w:rPr>
          <w:rFonts w:ascii="Century Gothic" w:hAnsi="Century Gothic" w:cstheme="minorHAnsi"/>
          <w:sz w:val="20"/>
          <w:szCs w:val="21"/>
        </w:rPr>
        <w:t xml:space="preserve">, </w:t>
      </w:r>
      <w:proofErr w:type="spellStart"/>
      <w:r w:rsidR="009B3C4F">
        <w:rPr>
          <w:rFonts w:ascii="Century Gothic" w:hAnsi="Century Gothic" w:cstheme="minorHAnsi"/>
          <w:sz w:val="20"/>
          <w:szCs w:val="21"/>
        </w:rPr>
        <w:t>ZeroAvia</w:t>
      </w:r>
      <w:proofErr w:type="spellEnd"/>
      <w:r w:rsidR="009B3C4F">
        <w:rPr>
          <w:rFonts w:ascii="Century Gothic" w:hAnsi="Century Gothic" w:cstheme="minorHAnsi"/>
          <w:sz w:val="20"/>
          <w:szCs w:val="21"/>
        </w:rPr>
        <w:t>, etc. indicate that</w:t>
      </w:r>
      <w:r w:rsidR="008304FE">
        <w:rPr>
          <w:rFonts w:ascii="Century Gothic" w:hAnsi="Century Gothic" w:cstheme="minorHAnsi"/>
          <w:sz w:val="20"/>
          <w:szCs w:val="21"/>
        </w:rPr>
        <w:t xml:space="preserve"> first 9-19-seat aircraft should be available before 2025. </w:t>
      </w:r>
      <w:r w:rsidR="00166C2D">
        <w:rPr>
          <w:rFonts w:ascii="Century Gothic" w:hAnsi="Century Gothic" w:cstheme="minorHAnsi"/>
          <w:sz w:val="20"/>
          <w:szCs w:val="21"/>
        </w:rPr>
        <w:t>Recharging (for BEV) and refuelling (for FCEV) infrastructure would have to be built-up in airports to enable the deployment of these new technologies, which is currently slowed down by the uncertainty on</w:t>
      </w:r>
      <w:r w:rsidR="002F636F">
        <w:rPr>
          <w:rFonts w:ascii="Century Gothic" w:hAnsi="Century Gothic" w:cstheme="minorHAnsi"/>
          <w:sz w:val="20"/>
          <w:szCs w:val="21"/>
        </w:rPr>
        <w:t xml:space="preserve"> which technology might win the short-haul market and by when. </w:t>
      </w:r>
      <w:r w:rsidR="00166C2D">
        <w:rPr>
          <w:rFonts w:ascii="Century Gothic" w:hAnsi="Century Gothic" w:cstheme="minorHAnsi"/>
          <w:sz w:val="20"/>
          <w:szCs w:val="21"/>
        </w:rPr>
        <w:t>C</w:t>
      </w:r>
      <w:r w:rsidR="0049329E">
        <w:rPr>
          <w:rFonts w:ascii="Century Gothic" w:hAnsi="Century Gothic" w:cstheme="minorHAnsi"/>
          <w:sz w:val="20"/>
          <w:szCs w:val="21"/>
        </w:rPr>
        <w:t>ertification to aerospace standards</w:t>
      </w:r>
      <w:r w:rsidR="00166C2D">
        <w:rPr>
          <w:rFonts w:ascii="Century Gothic" w:hAnsi="Century Gothic" w:cstheme="minorHAnsi"/>
          <w:sz w:val="20"/>
          <w:szCs w:val="21"/>
        </w:rPr>
        <w:t xml:space="preserve"> could also slow down the deployment process.</w:t>
      </w:r>
    </w:p>
    <w:p w14:paraId="7ECDA1DE" w14:textId="77777777" w:rsidR="00125C0B" w:rsidRPr="00125C0B" w:rsidRDefault="00125C0B" w:rsidP="00125C0B">
      <w:pPr>
        <w:spacing w:after="120"/>
        <w:ind w:left="66"/>
        <w:rPr>
          <w:rFonts w:ascii="Century Gothic" w:hAnsi="Century Gothic" w:cstheme="minorHAnsi"/>
          <w:sz w:val="20"/>
          <w:szCs w:val="21"/>
        </w:rPr>
      </w:pPr>
    </w:p>
    <w:p w14:paraId="2AF57896" w14:textId="0BED4FD6" w:rsidR="00885E46" w:rsidRPr="00042C01" w:rsidRDefault="002028F6" w:rsidP="00D22497">
      <w:pPr>
        <w:pStyle w:val="paragraph"/>
        <w:numPr>
          <w:ilvl w:val="0"/>
          <w:numId w:val="1"/>
        </w:numPr>
        <w:spacing w:before="0" w:beforeAutospacing="0" w:after="120" w:afterAutospacing="0" w:line="259" w:lineRule="auto"/>
        <w:ind w:left="420" w:hanging="420"/>
        <w:textAlignment w:val="baseline"/>
        <w:rPr>
          <w:rStyle w:val="normaltextrun"/>
          <w:rFonts w:ascii="Century Gothic" w:hAnsi="Century Gothic" w:cs="Arial"/>
          <w:b/>
          <w:bCs/>
          <w:color w:val="002060"/>
          <w:sz w:val="22"/>
          <w:szCs w:val="22"/>
        </w:rPr>
      </w:pPr>
      <w:r w:rsidRPr="00042C01">
        <w:rPr>
          <w:rStyle w:val="normaltextrun"/>
          <w:rFonts w:ascii="Century Gothic" w:hAnsi="Century Gothic" w:cs="Arial"/>
          <w:b/>
          <w:bCs/>
          <w:color w:val="002060"/>
          <w:sz w:val="22"/>
          <w:szCs w:val="22"/>
        </w:rPr>
        <w:t xml:space="preserve">EMERGENCE: </w:t>
      </w:r>
      <w:r w:rsidR="00165BB6" w:rsidRPr="00042C01">
        <w:rPr>
          <w:rStyle w:val="normaltextrun"/>
          <w:rFonts w:ascii="Century Gothic" w:hAnsi="Century Gothic" w:cs="Arial"/>
          <w:b/>
          <w:bCs/>
          <w:color w:val="002060"/>
          <w:sz w:val="22"/>
          <w:szCs w:val="22"/>
        </w:rPr>
        <w:t>W</w:t>
      </w:r>
      <w:r w:rsidR="002162F1" w:rsidRPr="00042C01">
        <w:rPr>
          <w:rStyle w:val="normaltextrun"/>
          <w:rFonts w:ascii="Century Gothic" w:hAnsi="Century Gothic" w:cs="Arial"/>
          <w:b/>
          <w:bCs/>
          <w:color w:val="002060"/>
          <w:sz w:val="22"/>
          <w:szCs w:val="22"/>
        </w:rPr>
        <w:t xml:space="preserve">hat is the critical minimum scale </w:t>
      </w:r>
      <w:r w:rsidR="000403E4" w:rsidRPr="00042C01">
        <w:rPr>
          <w:rStyle w:val="normaltextrun"/>
          <w:rFonts w:ascii="Century Gothic" w:hAnsi="Century Gothic" w:cs="Arial"/>
          <w:b/>
          <w:bCs/>
          <w:color w:val="002060"/>
          <w:sz w:val="22"/>
          <w:szCs w:val="22"/>
        </w:rPr>
        <w:t>needed to shift the market?</w:t>
      </w:r>
      <w:r w:rsidR="002162F1" w:rsidRPr="00042C01">
        <w:rPr>
          <w:rStyle w:val="normaltextrun"/>
          <w:rFonts w:ascii="Century Gothic" w:hAnsi="Century Gothic" w:cs="Arial"/>
          <w:b/>
          <w:bCs/>
          <w:color w:val="002060"/>
          <w:sz w:val="22"/>
          <w:szCs w:val="22"/>
        </w:rPr>
        <w:t xml:space="preserve"> </w:t>
      </w:r>
    </w:p>
    <w:p w14:paraId="24052708" w14:textId="435D02B3" w:rsidR="00617517" w:rsidRPr="00042C01" w:rsidRDefault="006940A4" w:rsidP="00D22497">
      <w:pPr>
        <w:pStyle w:val="paragraph"/>
        <w:spacing w:before="0" w:beforeAutospacing="0" w:after="120" w:afterAutospacing="0" w:line="259" w:lineRule="auto"/>
        <w:ind w:left="426"/>
        <w:textAlignment w:val="baseline"/>
        <w:rPr>
          <w:rStyle w:val="normaltextrun"/>
          <w:rFonts w:ascii="Century Gothic" w:hAnsi="Century Gothic" w:cs="Arial"/>
          <w:i/>
          <w:iCs/>
          <w:color w:val="002060"/>
          <w:sz w:val="22"/>
          <w:szCs w:val="22"/>
        </w:rPr>
      </w:pPr>
      <w:r>
        <w:rPr>
          <w:rStyle w:val="normaltextrun"/>
          <w:rFonts w:ascii="Century Gothic" w:hAnsi="Century Gothic" w:cs="Arial"/>
          <w:i/>
          <w:iCs/>
          <w:color w:val="002060"/>
          <w:sz w:val="22"/>
          <w:szCs w:val="22"/>
        </w:rPr>
        <w:t>T</w:t>
      </w:r>
      <w:r w:rsidR="00C50BB7">
        <w:rPr>
          <w:rStyle w:val="normaltextrun"/>
          <w:rFonts w:ascii="Century Gothic" w:hAnsi="Century Gothic" w:cs="Arial"/>
          <w:i/>
          <w:iCs/>
          <w:color w:val="002060"/>
          <w:sz w:val="22"/>
          <w:szCs w:val="22"/>
        </w:rPr>
        <w:t xml:space="preserve">he minimum size of a new greenfield </w:t>
      </w:r>
      <w:r w:rsidR="00DC29FC">
        <w:rPr>
          <w:rStyle w:val="normaltextrun"/>
          <w:rFonts w:ascii="Century Gothic" w:hAnsi="Century Gothic" w:cs="Arial"/>
          <w:i/>
          <w:iCs/>
          <w:color w:val="002060"/>
          <w:sz w:val="22"/>
          <w:szCs w:val="22"/>
        </w:rPr>
        <w:t>sustainable aviation fuel refinery</w:t>
      </w:r>
      <w:r w:rsidR="00C50BB7">
        <w:rPr>
          <w:rStyle w:val="normaltextrun"/>
          <w:rFonts w:ascii="Century Gothic" w:hAnsi="Century Gothic" w:cs="Arial"/>
          <w:i/>
          <w:iCs/>
          <w:color w:val="002060"/>
          <w:sz w:val="22"/>
          <w:szCs w:val="22"/>
        </w:rPr>
        <w:t xml:space="preserve"> is typically</w:t>
      </w:r>
      <w:r w:rsidR="00FF3D58">
        <w:rPr>
          <w:rStyle w:val="normaltextrun"/>
          <w:rFonts w:ascii="Century Gothic" w:hAnsi="Century Gothic" w:cs="Arial"/>
          <w:i/>
          <w:iCs/>
          <w:color w:val="002060"/>
          <w:sz w:val="22"/>
          <w:szCs w:val="22"/>
        </w:rPr>
        <w:t xml:space="preserve"> </w:t>
      </w:r>
      <w:r w:rsidR="00FF3D58" w:rsidRPr="00282A80">
        <w:rPr>
          <w:rStyle w:val="normaltextrun"/>
          <w:rFonts w:ascii="Century Gothic" w:hAnsi="Century Gothic" w:cs="Arial"/>
          <w:i/>
          <w:iCs/>
          <w:color w:val="002060"/>
          <w:sz w:val="22"/>
          <w:szCs w:val="22"/>
        </w:rPr>
        <w:t>&gt;</w:t>
      </w:r>
      <w:r w:rsidR="00F24516" w:rsidRPr="00282A80">
        <w:rPr>
          <w:rStyle w:val="normaltextrun"/>
          <w:rFonts w:ascii="Century Gothic" w:hAnsi="Century Gothic" w:cs="Arial"/>
          <w:i/>
          <w:iCs/>
          <w:color w:val="002060"/>
          <w:sz w:val="22"/>
          <w:szCs w:val="22"/>
        </w:rPr>
        <w:t>1</w:t>
      </w:r>
      <w:r w:rsidR="00252AAB">
        <w:rPr>
          <w:rStyle w:val="normaltextrun"/>
          <w:rFonts w:ascii="Century Gothic" w:hAnsi="Century Gothic" w:cs="Arial"/>
          <w:i/>
          <w:iCs/>
          <w:color w:val="002060"/>
          <w:sz w:val="22"/>
          <w:szCs w:val="22"/>
        </w:rPr>
        <w:t>0</w:t>
      </w:r>
      <w:r w:rsidR="00C26E56" w:rsidRPr="00282A80">
        <w:rPr>
          <w:rStyle w:val="normaltextrun"/>
          <w:rFonts w:ascii="Century Gothic" w:hAnsi="Century Gothic" w:cs="Arial"/>
          <w:i/>
          <w:iCs/>
          <w:color w:val="002060"/>
          <w:sz w:val="22"/>
          <w:szCs w:val="22"/>
        </w:rPr>
        <w:t>0</w:t>
      </w:r>
      <w:r w:rsidR="009D7B13">
        <w:rPr>
          <w:rStyle w:val="normaltextrun"/>
          <w:rFonts w:ascii="Century Gothic" w:hAnsi="Century Gothic" w:cs="Arial"/>
          <w:i/>
          <w:iCs/>
          <w:color w:val="002060"/>
          <w:sz w:val="22"/>
          <w:szCs w:val="22"/>
        </w:rPr>
        <w:t>,000 tonnes</w:t>
      </w:r>
      <w:r w:rsidR="00C50BB7" w:rsidRPr="00282A80">
        <w:rPr>
          <w:rStyle w:val="normaltextrun"/>
          <w:rFonts w:ascii="Century Gothic" w:hAnsi="Century Gothic" w:cs="Arial"/>
          <w:i/>
          <w:iCs/>
          <w:color w:val="002060"/>
          <w:sz w:val="22"/>
          <w:szCs w:val="22"/>
        </w:rPr>
        <w:t xml:space="preserve"> </w:t>
      </w:r>
      <w:r w:rsidR="00C50BB7">
        <w:rPr>
          <w:rStyle w:val="normaltextrun"/>
          <w:rFonts w:ascii="Century Gothic" w:hAnsi="Century Gothic" w:cs="Arial"/>
          <w:i/>
          <w:iCs/>
          <w:color w:val="002060"/>
          <w:sz w:val="22"/>
          <w:szCs w:val="22"/>
        </w:rPr>
        <w:t>per annum</w:t>
      </w:r>
      <w:r w:rsidR="002D24CA">
        <w:rPr>
          <w:rStyle w:val="normaltextrun"/>
          <w:rFonts w:ascii="Century Gothic" w:hAnsi="Century Gothic" w:cs="Arial"/>
          <w:i/>
          <w:iCs/>
          <w:color w:val="002060"/>
          <w:sz w:val="22"/>
          <w:szCs w:val="22"/>
        </w:rPr>
        <w:t>, which represents</w:t>
      </w:r>
      <w:r w:rsidR="00A2589A">
        <w:rPr>
          <w:rStyle w:val="normaltextrun"/>
          <w:rFonts w:ascii="Century Gothic" w:hAnsi="Century Gothic" w:cs="Arial"/>
          <w:i/>
          <w:iCs/>
          <w:color w:val="002060"/>
          <w:sz w:val="22"/>
          <w:szCs w:val="22"/>
        </w:rPr>
        <w:t xml:space="preserve"> about 10% of the annual traffic between London and New York</w:t>
      </w:r>
      <w:r w:rsidR="00C50BB7">
        <w:rPr>
          <w:rStyle w:val="normaltextrun"/>
          <w:rFonts w:ascii="Century Gothic" w:hAnsi="Century Gothic" w:cs="Arial"/>
          <w:i/>
          <w:iCs/>
          <w:color w:val="002060"/>
          <w:sz w:val="22"/>
          <w:szCs w:val="22"/>
        </w:rPr>
        <w:t>.</w:t>
      </w:r>
      <w:r w:rsidR="00D1710D">
        <w:rPr>
          <w:rStyle w:val="normaltextrun"/>
          <w:rFonts w:ascii="Century Gothic" w:hAnsi="Century Gothic" w:cs="Arial"/>
          <w:i/>
          <w:iCs/>
          <w:color w:val="002060"/>
          <w:sz w:val="22"/>
          <w:szCs w:val="22"/>
        </w:rPr>
        <w:t xml:space="preserve"> </w:t>
      </w:r>
      <w:r w:rsidR="00D92F40">
        <w:rPr>
          <w:rStyle w:val="normaltextrun"/>
          <w:rFonts w:ascii="Century Gothic" w:hAnsi="Century Gothic" w:cs="Arial"/>
          <w:i/>
          <w:iCs/>
          <w:color w:val="002060"/>
          <w:sz w:val="22"/>
          <w:szCs w:val="22"/>
        </w:rPr>
        <w:t xml:space="preserve">A capacity of 500-570Mt would be required by mid-century to meet 100% of expected aviation fuel consumption, which represents </w:t>
      </w:r>
      <w:r w:rsidR="00245144">
        <w:rPr>
          <w:rStyle w:val="normaltextrun"/>
          <w:rFonts w:ascii="Century Gothic" w:hAnsi="Century Gothic" w:cs="Arial"/>
          <w:i/>
          <w:iCs/>
          <w:color w:val="002060"/>
          <w:sz w:val="22"/>
          <w:szCs w:val="22"/>
        </w:rPr>
        <w:t>roughly 10% of the existing oil refinery capacity worldwide.</w:t>
      </w:r>
    </w:p>
    <w:p w14:paraId="7A6BAF9F" w14:textId="2DFF3362" w:rsidR="00D837CD" w:rsidRDefault="00260512" w:rsidP="00D22497">
      <w:pPr>
        <w:pStyle w:val="ListParagraph"/>
        <w:numPr>
          <w:ilvl w:val="1"/>
          <w:numId w:val="1"/>
        </w:numPr>
        <w:spacing w:after="120"/>
        <w:ind w:left="426"/>
        <w:contextualSpacing w:val="0"/>
        <w:rPr>
          <w:rFonts w:ascii="Century Gothic" w:hAnsi="Century Gothic" w:cstheme="minorHAnsi"/>
          <w:sz w:val="20"/>
          <w:szCs w:val="21"/>
        </w:rPr>
      </w:pPr>
      <w:r w:rsidRPr="0059665F">
        <w:rPr>
          <w:rFonts w:ascii="Century Gothic" w:hAnsi="Century Gothic" w:cstheme="minorHAnsi"/>
          <w:sz w:val="20"/>
          <w:szCs w:val="21"/>
        </w:rPr>
        <w:t xml:space="preserve">Only </w:t>
      </w:r>
      <w:r w:rsidR="000B42A7">
        <w:rPr>
          <w:rFonts w:ascii="Century Gothic" w:hAnsi="Century Gothic" w:cstheme="minorHAnsi"/>
          <w:sz w:val="20"/>
          <w:szCs w:val="21"/>
        </w:rPr>
        <w:t>~</w:t>
      </w:r>
      <w:r w:rsidRPr="0059665F">
        <w:rPr>
          <w:rFonts w:ascii="Century Gothic" w:hAnsi="Century Gothic" w:cstheme="minorHAnsi"/>
          <w:sz w:val="20"/>
          <w:szCs w:val="21"/>
        </w:rPr>
        <w:t>15,000 tons of dedicated SAF production capacity exist today</w:t>
      </w:r>
      <w:bookmarkStart w:id="5" w:name="_Ref16676029"/>
      <w:r w:rsidR="005960D1">
        <w:rPr>
          <w:rStyle w:val="FootnoteReference"/>
          <w:rFonts w:ascii="Century Gothic" w:hAnsi="Century Gothic" w:cstheme="minorHAnsi"/>
          <w:sz w:val="20"/>
          <w:szCs w:val="21"/>
        </w:rPr>
        <w:footnoteReference w:id="21"/>
      </w:r>
      <w:bookmarkEnd w:id="5"/>
      <w:r w:rsidR="00584C10">
        <w:rPr>
          <w:rFonts w:ascii="Century Gothic" w:hAnsi="Century Gothic" w:cstheme="minorHAnsi"/>
          <w:sz w:val="20"/>
          <w:szCs w:val="21"/>
        </w:rPr>
        <w:t>.</w:t>
      </w:r>
      <w:r w:rsidRPr="0059665F">
        <w:rPr>
          <w:rFonts w:ascii="Century Gothic" w:hAnsi="Century Gothic" w:cstheme="minorHAnsi"/>
          <w:sz w:val="20"/>
          <w:szCs w:val="21"/>
        </w:rPr>
        <w:t xml:space="preserve"> The largest announced facility</w:t>
      </w:r>
      <w:r w:rsidR="004F5C96">
        <w:rPr>
          <w:rFonts w:ascii="Century Gothic" w:hAnsi="Century Gothic" w:cstheme="minorHAnsi"/>
          <w:sz w:val="20"/>
          <w:szCs w:val="21"/>
        </w:rPr>
        <w:t xml:space="preserve"> (the Paramount Extension in California</w:t>
      </w:r>
      <w:r w:rsidR="00720728">
        <w:rPr>
          <w:rFonts w:ascii="Century Gothic" w:hAnsi="Century Gothic" w:cstheme="minorHAnsi"/>
          <w:sz w:val="20"/>
          <w:szCs w:val="21"/>
        </w:rPr>
        <w:t xml:space="preserve"> </w:t>
      </w:r>
      <w:r w:rsidRPr="0059665F">
        <w:rPr>
          <w:rFonts w:ascii="Century Gothic" w:hAnsi="Century Gothic" w:cstheme="minorHAnsi"/>
          <w:sz w:val="20"/>
          <w:szCs w:val="21"/>
        </w:rPr>
        <w:t>by World Energy</w:t>
      </w:r>
      <w:r w:rsidR="00720728">
        <w:rPr>
          <w:rFonts w:ascii="Century Gothic" w:hAnsi="Century Gothic" w:cstheme="minorHAnsi"/>
          <w:sz w:val="20"/>
          <w:szCs w:val="21"/>
        </w:rPr>
        <w:t>)</w:t>
      </w:r>
      <w:r w:rsidRPr="0059665F">
        <w:rPr>
          <w:rFonts w:ascii="Century Gothic" w:hAnsi="Century Gothic" w:cstheme="minorHAnsi"/>
          <w:sz w:val="20"/>
          <w:szCs w:val="21"/>
        </w:rPr>
        <w:t xml:space="preserve"> </w:t>
      </w:r>
      <w:r w:rsidR="005960D1">
        <w:rPr>
          <w:rFonts w:ascii="Century Gothic" w:hAnsi="Century Gothic" w:cstheme="minorHAnsi"/>
          <w:sz w:val="20"/>
          <w:szCs w:val="21"/>
        </w:rPr>
        <w:t>would have</w:t>
      </w:r>
      <w:r w:rsidR="00D868DC" w:rsidRPr="0059665F">
        <w:rPr>
          <w:rFonts w:ascii="Century Gothic" w:hAnsi="Century Gothic" w:cstheme="minorHAnsi"/>
          <w:sz w:val="20"/>
          <w:szCs w:val="21"/>
        </w:rPr>
        <w:t xml:space="preserve"> 462,000 tons of dedicated capacity.</w:t>
      </w:r>
      <w:r w:rsidR="001C7072" w:rsidRPr="0059665F">
        <w:rPr>
          <w:rFonts w:ascii="Century Gothic" w:hAnsi="Century Gothic" w:cstheme="minorHAnsi"/>
          <w:sz w:val="20"/>
          <w:szCs w:val="21"/>
        </w:rPr>
        <w:t xml:space="preserve"> The current pipeline of facilities</w:t>
      </w:r>
      <w:r w:rsidR="009F42ED">
        <w:rPr>
          <w:rFonts w:ascii="Century Gothic" w:hAnsi="Century Gothic" w:cstheme="minorHAnsi"/>
          <w:sz w:val="20"/>
          <w:szCs w:val="21"/>
        </w:rPr>
        <w:t>, mostly found in the US and Europe,</w:t>
      </w:r>
      <w:r w:rsidR="001C7072" w:rsidRPr="0059665F">
        <w:rPr>
          <w:rFonts w:ascii="Century Gothic" w:hAnsi="Century Gothic" w:cstheme="minorHAnsi"/>
          <w:sz w:val="20"/>
          <w:szCs w:val="21"/>
        </w:rPr>
        <w:t xml:space="preserve"> amounts to </w:t>
      </w:r>
      <w:r w:rsidR="00594D2A">
        <w:rPr>
          <w:rFonts w:ascii="Century Gothic" w:hAnsi="Century Gothic" w:cstheme="minorHAnsi"/>
          <w:sz w:val="20"/>
          <w:szCs w:val="21"/>
        </w:rPr>
        <w:t>~</w:t>
      </w:r>
      <w:r w:rsidR="001C7072" w:rsidRPr="0059665F">
        <w:rPr>
          <w:rFonts w:ascii="Century Gothic" w:hAnsi="Century Gothic" w:cstheme="minorHAnsi"/>
          <w:sz w:val="20"/>
          <w:szCs w:val="21"/>
        </w:rPr>
        <w:t>1.2M tons of SAF</w:t>
      </w:r>
      <w:r w:rsidR="003532E7">
        <w:rPr>
          <w:rFonts w:ascii="Century Gothic" w:hAnsi="Century Gothic" w:cstheme="minorHAnsi"/>
          <w:sz w:val="20"/>
          <w:szCs w:val="21"/>
        </w:rPr>
        <w:t xml:space="preserve"> (largely from bioenergy)</w:t>
      </w:r>
      <w:r w:rsidR="005960D1">
        <w:rPr>
          <w:rStyle w:val="FootnoteReference"/>
          <w:rFonts w:ascii="Century Gothic" w:hAnsi="Century Gothic" w:cstheme="minorHAnsi"/>
          <w:sz w:val="20"/>
          <w:szCs w:val="21"/>
        </w:rPr>
        <w:footnoteReference w:id="22"/>
      </w:r>
      <w:r w:rsidR="001C7072" w:rsidRPr="0059665F">
        <w:rPr>
          <w:rFonts w:ascii="Century Gothic" w:hAnsi="Century Gothic" w:cstheme="minorHAnsi"/>
          <w:sz w:val="20"/>
          <w:szCs w:val="21"/>
        </w:rPr>
        <w:t xml:space="preserve">, which is likely the maximum realistic potential volume available by 2024, </w:t>
      </w:r>
      <w:r w:rsidR="00414B65" w:rsidRPr="0059665F">
        <w:rPr>
          <w:rFonts w:ascii="Century Gothic" w:hAnsi="Century Gothic" w:cstheme="minorHAnsi"/>
          <w:sz w:val="20"/>
          <w:szCs w:val="21"/>
        </w:rPr>
        <w:t>falling short of IATA’s 2% target by 2025, which would amount to 6M tons</w:t>
      </w:r>
      <w:r w:rsidR="0059665F" w:rsidRPr="0059665F">
        <w:rPr>
          <w:rFonts w:ascii="Century Gothic" w:hAnsi="Century Gothic" w:cstheme="minorHAnsi"/>
          <w:sz w:val="20"/>
          <w:szCs w:val="21"/>
        </w:rPr>
        <w:t xml:space="preserve"> (300M ton jet fuel demand in 2025 forecast)</w:t>
      </w:r>
      <w:r w:rsidR="005960D1">
        <w:rPr>
          <w:rStyle w:val="FootnoteReference"/>
          <w:rFonts w:ascii="Century Gothic" w:hAnsi="Century Gothic" w:cstheme="minorHAnsi"/>
          <w:sz w:val="20"/>
          <w:szCs w:val="21"/>
        </w:rPr>
        <w:footnoteReference w:id="23"/>
      </w:r>
      <w:r w:rsidR="00414B65" w:rsidRPr="0059665F">
        <w:rPr>
          <w:rFonts w:ascii="Century Gothic" w:hAnsi="Century Gothic" w:cstheme="minorHAnsi"/>
          <w:sz w:val="20"/>
          <w:szCs w:val="21"/>
        </w:rPr>
        <w:t>.</w:t>
      </w:r>
      <w:r w:rsidR="00AE2C17">
        <w:rPr>
          <w:rFonts w:ascii="Century Gothic" w:hAnsi="Century Gothic" w:cstheme="minorHAnsi"/>
          <w:sz w:val="20"/>
          <w:szCs w:val="21"/>
        </w:rPr>
        <w:t xml:space="preserve"> The IEA’s SDS scenario suggest</w:t>
      </w:r>
      <w:r w:rsidR="005960D1">
        <w:rPr>
          <w:rFonts w:ascii="Century Gothic" w:hAnsi="Century Gothic" w:cstheme="minorHAnsi"/>
          <w:sz w:val="20"/>
          <w:szCs w:val="21"/>
        </w:rPr>
        <w:t>ing</w:t>
      </w:r>
      <w:r w:rsidR="00AE2C17">
        <w:rPr>
          <w:rFonts w:ascii="Century Gothic" w:hAnsi="Century Gothic" w:cstheme="minorHAnsi"/>
          <w:sz w:val="20"/>
          <w:szCs w:val="21"/>
        </w:rPr>
        <w:t xml:space="preserve"> a 5% SAF share by 2025</w:t>
      </w:r>
      <w:r w:rsidR="006C6FA2">
        <w:rPr>
          <w:rFonts w:ascii="Century Gothic" w:hAnsi="Century Gothic" w:cstheme="minorHAnsi"/>
          <w:sz w:val="20"/>
          <w:szCs w:val="21"/>
        </w:rPr>
        <w:t xml:space="preserve"> (i.e. 15Mt)</w:t>
      </w:r>
      <w:r w:rsidR="005960D1">
        <w:rPr>
          <w:rFonts w:ascii="Century Gothic" w:hAnsi="Century Gothic" w:cstheme="minorHAnsi"/>
          <w:sz w:val="20"/>
          <w:szCs w:val="21"/>
        </w:rPr>
        <w:t xml:space="preserve"> seems</w:t>
      </w:r>
      <w:r w:rsidR="00AE2C17">
        <w:rPr>
          <w:rFonts w:ascii="Century Gothic" w:hAnsi="Century Gothic" w:cstheme="minorHAnsi"/>
          <w:sz w:val="20"/>
          <w:szCs w:val="21"/>
        </w:rPr>
        <w:t xml:space="preserve"> even further out of reach.</w:t>
      </w:r>
    </w:p>
    <w:p w14:paraId="663EF495" w14:textId="77777777" w:rsidR="003E088F" w:rsidRDefault="00594D2A" w:rsidP="00D22497">
      <w:pPr>
        <w:pStyle w:val="ListParagraph"/>
        <w:numPr>
          <w:ilvl w:val="1"/>
          <w:numId w:val="1"/>
        </w:numPr>
        <w:spacing w:after="120"/>
        <w:ind w:left="426"/>
        <w:contextualSpacing w:val="0"/>
        <w:rPr>
          <w:rFonts w:ascii="Century Gothic" w:hAnsi="Century Gothic" w:cstheme="minorHAnsi"/>
          <w:sz w:val="20"/>
          <w:szCs w:val="21"/>
        </w:rPr>
      </w:pPr>
      <w:r>
        <w:rPr>
          <w:rFonts w:ascii="Century Gothic" w:hAnsi="Century Gothic" w:cstheme="minorHAnsi"/>
          <w:sz w:val="20"/>
          <w:szCs w:val="21"/>
        </w:rPr>
        <w:t xml:space="preserve">By comparison, meeting </w:t>
      </w:r>
      <w:r w:rsidR="00EA5FCB">
        <w:rPr>
          <w:rFonts w:ascii="Century Gothic" w:hAnsi="Century Gothic" w:cstheme="minorHAnsi"/>
          <w:sz w:val="20"/>
          <w:szCs w:val="21"/>
        </w:rPr>
        <w:t>an expected</w:t>
      </w:r>
      <w:r>
        <w:rPr>
          <w:rFonts w:ascii="Century Gothic" w:hAnsi="Century Gothic" w:cstheme="minorHAnsi"/>
          <w:sz w:val="20"/>
          <w:szCs w:val="21"/>
        </w:rPr>
        <w:t xml:space="preserve"> </w:t>
      </w:r>
      <w:r w:rsidR="00EA5FCB">
        <w:rPr>
          <w:rFonts w:ascii="Century Gothic" w:hAnsi="Century Gothic" w:cstheme="minorHAnsi"/>
          <w:sz w:val="20"/>
          <w:szCs w:val="21"/>
        </w:rPr>
        <w:t>500-</w:t>
      </w:r>
      <w:r w:rsidR="00EA5FCB" w:rsidRPr="00EA5FCB">
        <w:rPr>
          <w:rFonts w:ascii="Century Gothic" w:hAnsi="Century Gothic" w:cstheme="minorHAnsi"/>
          <w:sz w:val="20"/>
          <w:szCs w:val="21"/>
        </w:rPr>
        <w:t>570Mt</w:t>
      </w:r>
      <w:r w:rsidR="00EA5FCB">
        <w:rPr>
          <w:rFonts w:ascii="Century Gothic" w:hAnsi="Century Gothic" w:cstheme="minorHAnsi"/>
          <w:sz w:val="20"/>
          <w:szCs w:val="21"/>
        </w:rPr>
        <w:t xml:space="preserve"> of aviation fuels consumption by 2050 would require at least</w:t>
      </w:r>
      <w:r w:rsidR="003E088F">
        <w:rPr>
          <w:rFonts w:ascii="Century Gothic" w:hAnsi="Century Gothic" w:cstheme="minorHAnsi"/>
          <w:sz w:val="20"/>
          <w:szCs w:val="21"/>
        </w:rPr>
        <w:t>:</w:t>
      </w:r>
    </w:p>
    <w:p w14:paraId="711E7A6A" w14:textId="2C24675D" w:rsidR="0006480E" w:rsidRPr="0059665F" w:rsidRDefault="0006480E" w:rsidP="0006480E">
      <w:pPr>
        <w:pStyle w:val="ListParagraph"/>
        <w:numPr>
          <w:ilvl w:val="0"/>
          <w:numId w:val="42"/>
        </w:numPr>
        <w:spacing w:after="120"/>
        <w:contextualSpacing w:val="0"/>
        <w:rPr>
          <w:rFonts w:ascii="Century Gothic" w:hAnsi="Century Gothic" w:cstheme="minorHAnsi"/>
          <w:sz w:val="20"/>
          <w:szCs w:val="21"/>
        </w:rPr>
      </w:pPr>
      <w:r>
        <w:rPr>
          <w:rFonts w:ascii="Century Gothic" w:hAnsi="Century Gothic" w:cstheme="minorHAnsi"/>
          <w:sz w:val="20"/>
          <w:szCs w:val="21"/>
        </w:rPr>
        <w:t xml:space="preserve">&gt;5,000 minimum-size (i.e. 110kT) SAF production facilities, which, if this build-up happens between 2020 to 2050, would represent ~170 new </w:t>
      </w:r>
      <w:r w:rsidR="00266182">
        <w:rPr>
          <w:rFonts w:ascii="Century Gothic" w:hAnsi="Century Gothic" w:cstheme="minorHAnsi"/>
          <w:sz w:val="20"/>
          <w:szCs w:val="21"/>
        </w:rPr>
        <w:t>plant</w:t>
      </w:r>
      <w:r>
        <w:rPr>
          <w:rFonts w:ascii="Century Gothic" w:hAnsi="Century Gothic" w:cstheme="minorHAnsi"/>
          <w:sz w:val="20"/>
          <w:szCs w:val="21"/>
        </w:rPr>
        <w:t>s per year</w:t>
      </w:r>
      <w:r w:rsidR="00266182">
        <w:rPr>
          <w:rFonts w:ascii="Century Gothic" w:hAnsi="Century Gothic" w:cstheme="minorHAnsi"/>
          <w:sz w:val="20"/>
          <w:szCs w:val="21"/>
        </w:rPr>
        <w:t xml:space="preserve"> (ICAO);</w:t>
      </w:r>
    </w:p>
    <w:p w14:paraId="4A0D52A7" w14:textId="7D4F1C01" w:rsidR="00594D2A" w:rsidRDefault="00372704" w:rsidP="003E088F">
      <w:pPr>
        <w:pStyle w:val="ListParagraph"/>
        <w:numPr>
          <w:ilvl w:val="0"/>
          <w:numId w:val="42"/>
        </w:numPr>
        <w:spacing w:after="120"/>
        <w:contextualSpacing w:val="0"/>
        <w:rPr>
          <w:rFonts w:ascii="Century Gothic" w:hAnsi="Century Gothic" w:cstheme="minorHAnsi"/>
          <w:sz w:val="20"/>
          <w:szCs w:val="21"/>
        </w:rPr>
      </w:pPr>
      <w:r>
        <w:rPr>
          <w:rFonts w:ascii="Century Gothic" w:hAnsi="Century Gothic" w:cstheme="minorHAnsi"/>
          <w:sz w:val="20"/>
          <w:szCs w:val="21"/>
        </w:rPr>
        <w:t>2</w:t>
      </w:r>
      <w:r w:rsidR="00157789">
        <w:rPr>
          <w:rFonts w:ascii="Century Gothic" w:hAnsi="Century Gothic" w:cstheme="minorHAnsi"/>
          <w:sz w:val="20"/>
          <w:szCs w:val="21"/>
        </w:rPr>
        <w:t>,</w:t>
      </w:r>
      <w:r>
        <w:rPr>
          <w:rFonts w:ascii="Century Gothic" w:hAnsi="Century Gothic" w:cstheme="minorHAnsi"/>
          <w:sz w:val="20"/>
          <w:szCs w:val="21"/>
        </w:rPr>
        <w:t>5</w:t>
      </w:r>
      <w:r w:rsidR="00157789">
        <w:rPr>
          <w:rFonts w:ascii="Century Gothic" w:hAnsi="Century Gothic" w:cstheme="minorHAnsi"/>
          <w:sz w:val="20"/>
          <w:szCs w:val="21"/>
        </w:rPr>
        <w:t>00</w:t>
      </w:r>
      <w:r w:rsidR="00BD0CC7">
        <w:rPr>
          <w:rFonts w:ascii="Century Gothic" w:hAnsi="Century Gothic" w:cstheme="minorHAnsi"/>
          <w:sz w:val="20"/>
          <w:szCs w:val="21"/>
        </w:rPr>
        <w:t>-3,000</w:t>
      </w:r>
      <w:r w:rsidR="00157789">
        <w:rPr>
          <w:rFonts w:ascii="Century Gothic" w:hAnsi="Century Gothic" w:cstheme="minorHAnsi"/>
          <w:sz w:val="20"/>
          <w:szCs w:val="21"/>
        </w:rPr>
        <w:t xml:space="preserve"> </w:t>
      </w:r>
      <w:r>
        <w:rPr>
          <w:rFonts w:ascii="Century Gothic" w:hAnsi="Century Gothic" w:cstheme="minorHAnsi"/>
          <w:sz w:val="20"/>
          <w:szCs w:val="21"/>
        </w:rPr>
        <w:t>mid-size</w:t>
      </w:r>
      <w:r w:rsidR="00157789">
        <w:rPr>
          <w:rFonts w:ascii="Century Gothic" w:hAnsi="Century Gothic" w:cstheme="minorHAnsi"/>
          <w:sz w:val="20"/>
          <w:szCs w:val="21"/>
        </w:rPr>
        <w:t xml:space="preserve"> (i.e. </w:t>
      </w:r>
      <w:r>
        <w:rPr>
          <w:rFonts w:ascii="Century Gothic" w:hAnsi="Century Gothic" w:cstheme="minorHAnsi"/>
          <w:sz w:val="20"/>
          <w:szCs w:val="21"/>
        </w:rPr>
        <w:t>2</w:t>
      </w:r>
      <w:r w:rsidR="00157789">
        <w:rPr>
          <w:rFonts w:ascii="Century Gothic" w:hAnsi="Century Gothic" w:cstheme="minorHAnsi"/>
          <w:sz w:val="20"/>
          <w:szCs w:val="21"/>
        </w:rPr>
        <w:t xml:space="preserve">00kT) </w:t>
      </w:r>
      <w:r>
        <w:rPr>
          <w:rFonts w:ascii="Century Gothic" w:hAnsi="Century Gothic" w:cstheme="minorHAnsi"/>
          <w:sz w:val="20"/>
          <w:szCs w:val="21"/>
        </w:rPr>
        <w:t>SAF production facilities</w:t>
      </w:r>
      <w:r w:rsidR="003E088F">
        <w:rPr>
          <w:rFonts w:ascii="Century Gothic" w:hAnsi="Century Gothic" w:cstheme="minorHAnsi"/>
          <w:sz w:val="20"/>
          <w:szCs w:val="21"/>
        </w:rPr>
        <w:t>, which, if</w:t>
      </w:r>
      <w:r w:rsidR="00690F0E">
        <w:rPr>
          <w:rFonts w:ascii="Century Gothic" w:hAnsi="Century Gothic" w:cstheme="minorHAnsi"/>
          <w:sz w:val="20"/>
          <w:szCs w:val="21"/>
        </w:rPr>
        <w:t xml:space="preserve"> this build-up</w:t>
      </w:r>
      <w:r w:rsidR="0006480E">
        <w:rPr>
          <w:rFonts w:ascii="Century Gothic" w:hAnsi="Century Gothic" w:cstheme="minorHAnsi"/>
          <w:sz w:val="20"/>
          <w:szCs w:val="21"/>
        </w:rPr>
        <w:t xml:space="preserve"> of larger plants</w:t>
      </w:r>
      <w:r w:rsidR="00690F0E">
        <w:rPr>
          <w:rFonts w:ascii="Century Gothic" w:hAnsi="Century Gothic" w:cstheme="minorHAnsi"/>
          <w:sz w:val="20"/>
          <w:szCs w:val="21"/>
        </w:rPr>
        <w:t xml:space="preserve"> </w:t>
      </w:r>
      <w:r w:rsidR="0006480E">
        <w:rPr>
          <w:rFonts w:ascii="Century Gothic" w:hAnsi="Century Gothic" w:cstheme="minorHAnsi"/>
          <w:sz w:val="20"/>
          <w:szCs w:val="21"/>
        </w:rPr>
        <w:t xml:space="preserve">starts after 2025, </w:t>
      </w:r>
      <w:r w:rsidR="00BD0CC7">
        <w:rPr>
          <w:rFonts w:ascii="Century Gothic" w:hAnsi="Century Gothic" w:cstheme="minorHAnsi"/>
          <w:sz w:val="20"/>
          <w:szCs w:val="21"/>
        </w:rPr>
        <w:t xml:space="preserve">would represent </w:t>
      </w:r>
      <w:r w:rsidR="00690F0E">
        <w:rPr>
          <w:rFonts w:ascii="Century Gothic" w:hAnsi="Century Gothic" w:cstheme="minorHAnsi"/>
          <w:sz w:val="20"/>
          <w:szCs w:val="21"/>
        </w:rPr>
        <w:t>10</w:t>
      </w:r>
      <w:r w:rsidR="003F0673">
        <w:rPr>
          <w:rFonts w:ascii="Century Gothic" w:hAnsi="Century Gothic" w:cstheme="minorHAnsi"/>
          <w:sz w:val="20"/>
          <w:szCs w:val="21"/>
        </w:rPr>
        <w:t>0-1</w:t>
      </w:r>
      <w:r w:rsidR="00690F0E">
        <w:rPr>
          <w:rFonts w:ascii="Century Gothic" w:hAnsi="Century Gothic" w:cstheme="minorHAnsi"/>
          <w:sz w:val="20"/>
          <w:szCs w:val="21"/>
        </w:rPr>
        <w:t>2</w:t>
      </w:r>
      <w:r w:rsidR="003F0673">
        <w:rPr>
          <w:rFonts w:ascii="Century Gothic" w:hAnsi="Century Gothic" w:cstheme="minorHAnsi"/>
          <w:sz w:val="20"/>
          <w:szCs w:val="21"/>
        </w:rPr>
        <w:t>0 new plants per year</w:t>
      </w:r>
      <w:r w:rsidR="0006480E">
        <w:rPr>
          <w:rFonts w:ascii="Century Gothic" w:hAnsi="Century Gothic" w:cstheme="minorHAnsi"/>
          <w:sz w:val="20"/>
          <w:szCs w:val="21"/>
        </w:rPr>
        <w:t xml:space="preserve"> between 2025 to 2050 (ETC)</w:t>
      </w:r>
      <w:r w:rsidR="003E088F">
        <w:rPr>
          <w:rFonts w:ascii="Century Gothic" w:hAnsi="Century Gothic" w:cstheme="minorHAnsi"/>
          <w:sz w:val="20"/>
          <w:szCs w:val="21"/>
        </w:rPr>
        <w:t>;</w:t>
      </w:r>
    </w:p>
    <w:p w14:paraId="5EF25D81" w14:textId="0B9E2BA3" w:rsidR="0006480E" w:rsidRDefault="00BE606E" w:rsidP="003E088F">
      <w:pPr>
        <w:pStyle w:val="ListParagraph"/>
        <w:numPr>
          <w:ilvl w:val="0"/>
          <w:numId w:val="42"/>
        </w:numPr>
        <w:spacing w:after="120"/>
        <w:contextualSpacing w:val="0"/>
        <w:rPr>
          <w:rFonts w:ascii="Century Gothic" w:hAnsi="Century Gothic" w:cstheme="minorHAnsi"/>
          <w:sz w:val="20"/>
          <w:szCs w:val="21"/>
        </w:rPr>
      </w:pPr>
      <w:r>
        <w:rPr>
          <w:rFonts w:ascii="Century Gothic" w:hAnsi="Century Gothic" w:cstheme="minorHAnsi"/>
          <w:sz w:val="20"/>
          <w:szCs w:val="21"/>
        </w:rPr>
        <w:t xml:space="preserve">1,500-2,000 large-size (i.e. 300kT) SAF production facilities, which, if this build-up of larger plants starts after 2025, would represent </w:t>
      </w:r>
      <w:r w:rsidR="00266182">
        <w:rPr>
          <w:rFonts w:ascii="Century Gothic" w:hAnsi="Century Gothic" w:cstheme="minorHAnsi"/>
          <w:sz w:val="20"/>
          <w:szCs w:val="21"/>
        </w:rPr>
        <w:t>60-80 new plants per year.</w:t>
      </w:r>
    </w:p>
    <w:p w14:paraId="0FE3FDB5" w14:textId="2CE43500" w:rsidR="004A0890" w:rsidRPr="00996E5C" w:rsidRDefault="00C04550" w:rsidP="004A0890">
      <w:pPr>
        <w:pStyle w:val="ListParagraph"/>
        <w:numPr>
          <w:ilvl w:val="1"/>
          <w:numId w:val="1"/>
        </w:numPr>
        <w:spacing w:after="120"/>
        <w:ind w:left="426"/>
        <w:contextualSpacing w:val="0"/>
        <w:rPr>
          <w:rFonts w:ascii="Century Gothic" w:hAnsi="Century Gothic" w:cstheme="minorHAnsi"/>
          <w:sz w:val="20"/>
          <w:szCs w:val="21"/>
        </w:rPr>
      </w:pPr>
      <w:r>
        <w:rPr>
          <w:rFonts w:ascii="Century Gothic" w:hAnsi="Century Gothic" w:cstheme="minorHAnsi"/>
          <w:sz w:val="20"/>
          <w:szCs w:val="21"/>
        </w:rPr>
        <w:t>Depending on the size of the facilities, investments could be in the order of US$35</w:t>
      </w:r>
      <w:r w:rsidR="004518CC">
        <w:rPr>
          <w:rFonts w:ascii="Century Gothic" w:hAnsi="Century Gothic" w:cstheme="minorHAnsi"/>
          <w:sz w:val="20"/>
          <w:szCs w:val="21"/>
        </w:rPr>
        <w:t>0</w:t>
      </w:r>
      <w:r>
        <w:rPr>
          <w:rFonts w:ascii="Century Gothic" w:hAnsi="Century Gothic" w:cstheme="minorHAnsi"/>
          <w:sz w:val="20"/>
          <w:szCs w:val="21"/>
        </w:rPr>
        <w:t>-50</w:t>
      </w:r>
      <w:r w:rsidR="004518CC">
        <w:rPr>
          <w:rFonts w:ascii="Century Gothic" w:hAnsi="Century Gothic" w:cstheme="minorHAnsi"/>
          <w:sz w:val="20"/>
          <w:szCs w:val="21"/>
        </w:rPr>
        <w:t>0M per plant (ICAO / IEA)</w:t>
      </w:r>
      <w:r w:rsidR="00996E5C">
        <w:rPr>
          <w:rFonts w:ascii="Century Gothic" w:hAnsi="Century Gothic" w:cstheme="minorHAnsi"/>
          <w:sz w:val="20"/>
          <w:szCs w:val="21"/>
        </w:rPr>
        <w:t>.</w:t>
      </w:r>
    </w:p>
    <w:p w14:paraId="36A4255A" w14:textId="2A240E8A" w:rsidR="000F765F" w:rsidRPr="004A0890" w:rsidRDefault="00AA1000" w:rsidP="004A0890">
      <w:pPr>
        <w:pStyle w:val="ListParagraph"/>
        <w:numPr>
          <w:ilvl w:val="1"/>
          <w:numId w:val="1"/>
        </w:numPr>
        <w:spacing w:after="120"/>
        <w:ind w:left="426"/>
        <w:contextualSpacing w:val="0"/>
        <w:rPr>
          <w:rFonts w:ascii="Century Gothic" w:hAnsi="Century Gothic" w:cstheme="minorHAnsi"/>
          <w:sz w:val="20"/>
          <w:szCs w:val="21"/>
        </w:rPr>
      </w:pPr>
      <w:r>
        <w:rPr>
          <w:rFonts w:ascii="Century Gothic" w:hAnsi="Century Gothic" w:cstheme="minorHAnsi"/>
          <w:sz w:val="20"/>
          <w:szCs w:val="21"/>
        </w:rPr>
        <w:t xml:space="preserve">This investment could potentially be brought down – and </w:t>
      </w:r>
      <w:r w:rsidR="002A317B">
        <w:rPr>
          <w:rFonts w:ascii="Century Gothic" w:hAnsi="Century Gothic" w:cstheme="minorHAnsi"/>
          <w:sz w:val="20"/>
          <w:szCs w:val="21"/>
        </w:rPr>
        <w:t xml:space="preserve">SAF </w:t>
      </w:r>
      <w:r>
        <w:rPr>
          <w:rFonts w:ascii="Century Gothic" w:hAnsi="Century Gothic" w:cstheme="minorHAnsi"/>
          <w:sz w:val="20"/>
          <w:szCs w:val="21"/>
        </w:rPr>
        <w:t xml:space="preserve">production scale-up accelerated – if retrofitting existing oil refineries. </w:t>
      </w:r>
      <w:r w:rsidR="002A317B" w:rsidRPr="002A317B">
        <w:rPr>
          <w:rFonts w:ascii="Century Gothic" w:hAnsi="Century Gothic" w:cstheme="minorHAnsi"/>
          <w:sz w:val="20"/>
          <w:szCs w:val="21"/>
        </w:rPr>
        <w:t>A capacity of 500-570Mt would be required by mid-century to meet 100% of expected aviation fuel consumption, which represents roughly 10% of the existing oil refinery capacity worldwide.</w:t>
      </w:r>
    </w:p>
    <w:p w14:paraId="280A04B9" w14:textId="02C227B0" w:rsidR="00454FC9" w:rsidRDefault="007F24A3" w:rsidP="00D22497">
      <w:pPr>
        <w:pStyle w:val="ListParagraph"/>
        <w:numPr>
          <w:ilvl w:val="1"/>
          <w:numId w:val="1"/>
        </w:numPr>
        <w:spacing w:after="120"/>
        <w:ind w:left="426"/>
        <w:contextualSpacing w:val="0"/>
        <w:rPr>
          <w:rFonts w:ascii="Century Gothic" w:hAnsi="Century Gothic" w:cstheme="minorHAnsi"/>
          <w:sz w:val="20"/>
          <w:szCs w:val="21"/>
        </w:rPr>
      </w:pPr>
      <w:r>
        <w:rPr>
          <w:rFonts w:ascii="Century Gothic" w:hAnsi="Century Gothic" w:cstheme="minorHAnsi"/>
          <w:sz w:val="20"/>
          <w:szCs w:val="21"/>
        </w:rPr>
        <w:t>The biggest offtake commitments that have currently been taken by airlines are in the order of 75kt, which means that SAF providers need to secure offtake commitments from several airlines to be able to build up even a small (110kt) new facility</w:t>
      </w:r>
      <w:r>
        <w:rPr>
          <w:rStyle w:val="FootnoteReference"/>
          <w:rFonts w:ascii="Century Gothic" w:hAnsi="Century Gothic" w:cstheme="minorHAnsi"/>
          <w:sz w:val="20"/>
          <w:szCs w:val="21"/>
        </w:rPr>
        <w:footnoteReference w:id="24"/>
      </w:r>
      <w:r>
        <w:rPr>
          <w:rFonts w:ascii="Century Gothic" w:hAnsi="Century Gothic" w:cstheme="minorHAnsi"/>
          <w:sz w:val="20"/>
          <w:szCs w:val="21"/>
        </w:rPr>
        <w:t xml:space="preserve">. </w:t>
      </w:r>
      <w:r w:rsidR="00F3000C" w:rsidRPr="007F24A3">
        <w:rPr>
          <w:rFonts w:ascii="Century Gothic" w:hAnsi="Century Gothic" w:cstheme="minorHAnsi"/>
          <w:sz w:val="20"/>
          <w:szCs w:val="21"/>
        </w:rPr>
        <w:t xml:space="preserve">The additional capacity of one </w:t>
      </w:r>
      <w:r w:rsidR="00B57CA9" w:rsidRPr="007F24A3">
        <w:rPr>
          <w:rFonts w:ascii="Century Gothic" w:hAnsi="Century Gothic" w:cstheme="minorHAnsi"/>
          <w:sz w:val="20"/>
          <w:szCs w:val="21"/>
        </w:rPr>
        <w:t>1</w:t>
      </w:r>
      <w:r w:rsidR="008859D3">
        <w:rPr>
          <w:rFonts w:ascii="Century Gothic" w:hAnsi="Century Gothic" w:cstheme="minorHAnsi"/>
          <w:sz w:val="20"/>
          <w:szCs w:val="21"/>
        </w:rPr>
        <w:t>1</w:t>
      </w:r>
      <w:r w:rsidR="00B57CA9" w:rsidRPr="007F24A3">
        <w:rPr>
          <w:rFonts w:ascii="Century Gothic" w:hAnsi="Century Gothic" w:cstheme="minorHAnsi"/>
          <w:sz w:val="20"/>
          <w:szCs w:val="21"/>
        </w:rPr>
        <w:t xml:space="preserve">0kt </w:t>
      </w:r>
      <w:r w:rsidR="006065F2" w:rsidRPr="007F24A3">
        <w:rPr>
          <w:rFonts w:ascii="Century Gothic" w:hAnsi="Century Gothic" w:cstheme="minorHAnsi"/>
          <w:sz w:val="20"/>
          <w:szCs w:val="21"/>
        </w:rPr>
        <w:t>refinery</w:t>
      </w:r>
      <w:r w:rsidR="00B57CA9" w:rsidRPr="007F24A3">
        <w:rPr>
          <w:rFonts w:ascii="Century Gothic" w:hAnsi="Century Gothic" w:cstheme="minorHAnsi"/>
          <w:sz w:val="20"/>
          <w:szCs w:val="21"/>
        </w:rPr>
        <w:t xml:space="preserve"> </w:t>
      </w:r>
      <w:r w:rsidR="00F3000C" w:rsidRPr="007F24A3">
        <w:rPr>
          <w:rFonts w:ascii="Century Gothic" w:hAnsi="Century Gothic" w:cstheme="minorHAnsi"/>
          <w:sz w:val="20"/>
          <w:szCs w:val="21"/>
        </w:rPr>
        <w:t xml:space="preserve">would </w:t>
      </w:r>
      <w:r w:rsidR="006065F2" w:rsidRPr="007F24A3">
        <w:rPr>
          <w:rFonts w:ascii="Century Gothic" w:hAnsi="Century Gothic" w:cstheme="minorHAnsi"/>
          <w:sz w:val="20"/>
          <w:szCs w:val="21"/>
        </w:rPr>
        <w:t xml:space="preserve">represent less than 10% of yearly London &lt;&gt; New York passenger numbers (i.e. </w:t>
      </w:r>
      <w:r w:rsidR="00F3000C" w:rsidRPr="007F24A3">
        <w:rPr>
          <w:rFonts w:ascii="Century Gothic" w:hAnsi="Century Gothic" w:cstheme="minorHAnsi"/>
          <w:sz w:val="20"/>
          <w:szCs w:val="21"/>
        </w:rPr>
        <w:t>~340</w:t>
      </w:r>
      <w:r w:rsidR="006065F2" w:rsidRPr="007F24A3">
        <w:rPr>
          <w:rFonts w:ascii="Century Gothic" w:hAnsi="Century Gothic" w:cstheme="minorHAnsi"/>
          <w:sz w:val="20"/>
          <w:szCs w:val="21"/>
        </w:rPr>
        <w:t>,000 roundtrip</w:t>
      </w:r>
      <w:r w:rsidR="00F3000C" w:rsidRPr="007F24A3">
        <w:rPr>
          <w:rFonts w:ascii="Century Gothic" w:hAnsi="Century Gothic" w:cstheme="minorHAnsi"/>
          <w:sz w:val="20"/>
          <w:szCs w:val="21"/>
        </w:rPr>
        <w:t xml:space="preserve"> tickets London</w:t>
      </w:r>
      <w:r w:rsidR="006065F2" w:rsidRPr="007F24A3">
        <w:rPr>
          <w:rFonts w:ascii="Century Gothic" w:hAnsi="Century Gothic" w:cstheme="minorHAnsi"/>
          <w:sz w:val="20"/>
          <w:szCs w:val="21"/>
        </w:rPr>
        <w:t xml:space="preserve"> &lt;&gt; </w:t>
      </w:r>
      <w:r w:rsidR="00F3000C" w:rsidRPr="007F24A3">
        <w:rPr>
          <w:rFonts w:ascii="Century Gothic" w:hAnsi="Century Gothic" w:cstheme="minorHAnsi"/>
          <w:sz w:val="20"/>
          <w:szCs w:val="21"/>
        </w:rPr>
        <w:t>New York roundtrip</w:t>
      </w:r>
      <w:r w:rsidR="006065F2" w:rsidRPr="007F24A3">
        <w:rPr>
          <w:rFonts w:ascii="Century Gothic" w:hAnsi="Century Gothic" w:cstheme="minorHAnsi"/>
          <w:sz w:val="20"/>
          <w:szCs w:val="21"/>
        </w:rPr>
        <w:t>)</w:t>
      </w:r>
      <w:r w:rsidR="006065F2">
        <w:rPr>
          <w:rStyle w:val="FootnoteReference"/>
          <w:rFonts w:ascii="Century Gothic" w:hAnsi="Century Gothic" w:cstheme="minorHAnsi"/>
          <w:sz w:val="20"/>
          <w:szCs w:val="21"/>
        </w:rPr>
        <w:footnoteReference w:id="25"/>
      </w:r>
      <w:r w:rsidR="006065F2" w:rsidRPr="007F24A3">
        <w:rPr>
          <w:rFonts w:ascii="Century Gothic" w:hAnsi="Century Gothic" w:cstheme="minorHAnsi"/>
          <w:sz w:val="20"/>
          <w:szCs w:val="21"/>
        </w:rPr>
        <w:t>.</w:t>
      </w:r>
    </w:p>
    <w:p w14:paraId="1F7A3453" w14:textId="4229BF07" w:rsidR="00CB6A2D" w:rsidRDefault="006C6FA2" w:rsidP="00D22497">
      <w:pPr>
        <w:pStyle w:val="ListParagraph"/>
        <w:numPr>
          <w:ilvl w:val="1"/>
          <w:numId w:val="1"/>
        </w:numPr>
        <w:spacing w:after="120"/>
        <w:ind w:left="426"/>
        <w:contextualSpacing w:val="0"/>
        <w:rPr>
          <w:rFonts w:ascii="Century Gothic" w:hAnsi="Century Gothic" w:cstheme="minorHAnsi"/>
          <w:sz w:val="20"/>
          <w:szCs w:val="21"/>
        </w:rPr>
      </w:pPr>
      <w:r>
        <w:rPr>
          <w:rFonts w:ascii="Century Gothic" w:hAnsi="Century Gothic" w:cstheme="minorHAnsi"/>
          <w:sz w:val="20"/>
          <w:szCs w:val="21"/>
        </w:rPr>
        <w:t xml:space="preserve">To reach 5% of </w:t>
      </w:r>
      <w:r w:rsidR="001D62FB">
        <w:rPr>
          <w:rFonts w:ascii="Century Gothic" w:hAnsi="Century Gothic" w:cstheme="minorHAnsi"/>
          <w:sz w:val="20"/>
          <w:szCs w:val="21"/>
        </w:rPr>
        <w:t>global jet fuel consumption</w:t>
      </w:r>
      <w:r w:rsidR="00BE7347">
        <w:rPr>
          <w:rFonts w:ascii="Century Gothic" w:hAnsi="Century Gothic" w:cstheme="minorHAnsi"/>
          <w:sz w:val="20"/>
          <w:szCs w:val="21"/>
        </w:rPr>
        <w:t xml:space="preserve"> by 2025, 15Mt of </w:t>
      </w:r>
      <w:r w:rsidR="001D62FB">
        <w:rPr>
          <w:rFonts w:ascii="Century Gothic" w:hAnsi="Century Gothic" w:cstheme="minorHAnsi"/>
          <w:sz w:val="20"/>
          <w:szCs w:val="21"/>
        </w:rPr>
        <w:t xml:space="preserve">SAF </w:t>
      </w:r>
      <w:r w:rsidR="00BE7347">
        <w:rPr>
          <w:rFonts w:ascii="Century Gothic" w:hAnsi="Century Gothic" w:cstheme="minorHAnsi"/>
          <w:sz w:val="20"/>
          <w:szCs w:val="21"/>
        </w:rPr>
        <w:t>production capacity would have to be built</w:t>
      </w:r>
      <w:r w:rsidR="001D62FB">
        <w:rPr>
          <w:rFonts w:ascii="Century Gothic" w:hAnsi="Century Gothic" w:cstheme="minorHAnsi"/>
          <w:sz w:val="20"/>
          <w:szCs w:val="21"/>
        </w:rPr>
        <w:t>, representing roughly:</w:t>
      </w:r>
    </w:p>
    <w:p w14:paraId="6D794D65" w14:textId="3AE92ECE" w:rsidR="006C6FA2" w:rsidRDefault="00727556" w:rsidP="00CB6A2D">
      <w:pPr>
        <w:pStyle w:val="ListParagraph"/>
        <w:numPr>
          <w:ilvl w:val="0"/>
          <w:numId w:val="42"/>
        </w:numPr>
        <w:spacing w:after="120"/>
        <w:contextualSpacing w:val="0"/>
        <w:rPr>
          <w:rFonts w:ascii="Century Gothic" w:hAnsi="Century Gothic" w:cstheme="minorHAnsi"/>
          <w:sz w:val="20"/>
          <w:szCs w:val="21"/>
        </w:rPr>
      </w:pPr>
      <w:r>
        <w:rPr>
          <w:rFonts w:ascii="Century Gothic" w:hAnsi="Century Gothic" w:cstheme="minorHAnsi"/>
          <w:sz w:val="20"/>
          <w:szCs w:val="21"/>
        </w:rPr>
        <w:t>~20% of the US</w:t>
      </w:r>
      <w:r w:rsidR="009A3BC8">
        <w:rPr>
          <w:rFonts w:ascii="Century Gothic" w:hAnsi="Century Gothic" w:cstheme="minorHAnsi"/>
          <w:sz w:val="20"/>
          <w:szCs w:val="21"/>
        </w:rPr>
        <w:t xml:space="preserve"> consumption</w:t>
      </w:r>
      <w:r w:rsidR="0052098B">
        <w:rPr>
          <w:rFonts w:ascii="Century Gothic" w:hAnsi="Century Gothic" w:cstheme="minorHAnsi"/>
          <w:sz w:val="20"/>
          <w:szCs w:val="21"/>
        </w:rPr>
        <w:t xml:space="preserve"> or of the European consumption</w:t>
      </w:r>
      <w:r w:rsidR="001D62FB">
        <w:rPr>
          <w:rFonts w:ascii="Century Gothic" w:hAnsi="Century Gothic" w:cstheme="minorHAnsi"/>
          <w:sz w:val="20"/>
          <w:szCs w:val="21"/>
        </w:rPr>
        <w:t>;</w:t>
      </w:r>
    </w:p>
    <w:p w14:paraId="1E472584" w14:textId="2A822372" w:rsidR="009A3BC8" w:rsidRDefault="001D62FB" w:rsidP="00CB6A2D">
      <w:pPr>
        <w:pStyle w:val="ListParagraph"/>
        <w:numPr>
          <w:ilvl w:val="0"/>
          <w:numId w:val="42"/>
        </w:numPr>
        <w:spacing w:after="120"/>
        <w:contextualSpacing w:val="0"/>
        <w:rPr>
          <w:rFonts w:ascii="Century Gothic" w:hAnsi="Century Gothic" w:cstheme="minorHAnsi"/>
          <w:sz w:val="20"/>
          <w:szCs w:val="21"/>
        </w:rPr>
      </w:pPr>
      <w:r>
        <w:rPr>
          <w:rFonts w:ascii="Century Gothic" w:hAnsi="Century Gothic" w:cstheme="minorHAnsi"/>
          <w:sz w:val="20"/>
          <w:szCs w:val="21"/>
        </w:rPr>
        <w:t>~</w:t>
      </w:r>
      <w:r w:rsidR="00B01E2E">
        <w:rPr>
          <w:rFonts w:ascii="Century Gothic" w:hAnsi="Century Gothic" w:cstheme="minorHAnsi"/>
          <w:sz w:val="20"/>
          <w:szCs w:val="21"/>
        </w:rPr>
        <w:t>4</w:t>
      </w:r>
      <w:r>
        <w:rPr>
          <w:rFonts w:ascii="Century Gothic" w:hAnsi="Century Gothic" w:cstheme="minorHAnsi"/>
          <w:sz w:val="20"/>
          <w:szCs w:val="21"/>
        </w:rPr>
        <w:t>0% of the Chinese consumption;</w:t>
      </w:r>
    </w:p>
    <w:p w14:paraId="4C1E6E15" w14:textId="57345B47" w:rsidR="004C41F7" w:rsidRDefault="00D70805" w:rsidP="00CB6A2D">
      <w:pPr>
        <w:pStyle w:val="ListParagraph"/>
        <w:numPr>
          <w:ilvl w:val="0"/>
          <w:numId w:val="42"/>
        </w:numPr>
        <w:spacing w:after="120"/>
        <w:contextualSpacing w:val="0"/>
        <w:rPr>
          <w:rFonts w:ascii="Century Gothic" w:hAnsi="Century Gothic" w:cstheme="minorHAnsi"/>
          <w:sz w:val="20"/>
          <w:szCs w:val="21"/>
        </w:rPr>
      </w:pPr>
      <w:r>
        <w:rPr>
          <w:rFonts w:ascii="Century Gothic" w:hAnsi="Century Gothic" w:cstheme="minorHAnsi"/>
          <w:sz w:val="20"/>
          <w:szCs w:val="21"/>
        </w:rPr>
        <w:t>The total fuel consumption of 2-3 international airports (given that t</w:t>
      </w:r>
      <w:r w:rsidR="00AC5FF1">
        <w:rPr>
          <w:rFonts w:ascii="Century Gothic" w:hAnsi="Century Gothic" w:cstheme="minorHAnsi"/>
          <w:sz w:val="20"/>
          <w:szCs w:val="21"/>
        </w:rPr>
        <w:t xml:space="preserve">he </w:t>
      </w:r>
      <w:r>
        <w:rPr>
          <w:rFonts w:ascii="Century Gothic" w:hAnsi="Century Gothic" w:cstheme="minorHAnsi"/>
          <w:sz w:val="20"/>
          <w:szCs w:val="21"/>
        </w:rPr>
        <w:t>major</w:t>
      </w:r>
      <w:r w:rsidR="00AC5FF1">
        <w:rPr>
          <w:rFonts w:ascii="Century Gothic" w:hAnsi="Century Gothic" w:cstheme="minorHAnsi"/>
          <w:sz w:val="20"/>
          <w:szCs w:val="21"/>
        </w:rPr>
        <w:t xml:space="preserve"> international airports consume </w:t>
      </w:r>
      <w:r w:rsidR="004C41F7">
        <w:rPr>
          <w:rFonts w:ascii="Century Gothic" w:hAnsi="Century Gothic" w:cstheme="minorHAnsi"/>
          <w:sz w:val="20"/>
          <w:szCs w:val="21"/>
        </w:rPr>
        <w:t>4-</w:t>
      </w:r>
      <w:r w:rsidR="00AC5FF1">
        <w:rPr>
          <w:rFonts w:ascii="Century Gothic" w:hAnsi="Century Gothic" w:cstheme="minorHAnsi"/>
          <w:sz w:val="20"/>
          <w:szCs w:val="21"/>
        </w:rPr>
        <w:t>10Mt per year</w:t>
      </w:r>
      <w:r>
        <w:rPr>
          <w:rFonts w:ascii="Century Gothic" w:hAnsi="Century Gothic" w:cstheme="minorHAnsi"/>
          <w:sz w:val="20"/>
          <w:szCs w:val="21"/>
        </w:rPr>
        <w:t>).</w:t>
      </w:r>
    </w:p>
    <w:p w14:paraId="0AAF463B" w14:textId="77777777" w:rsidR="00280E0E" w:rsidRPr="00280E0E" w:rsidRDefault="00280E0E" w:rsidP="00280E0E">
      <w:pPr>
        <w:spacing w:after="120"/>
        <w:rPr>
          <w:rFonts w:ascii="Century Gothic" w:hAnsi="Century Gothic" w:cstheme="minorHAnsi"/>
          <w:sz w:val="20"/>
          <w:szCs w:val="21"/>
        </w:rPr>
      </w:pPr>
    </w:p>
    <w:p w14:paraId="1E652226" w14:textId="06EDB2B4" w:rsidR="00885E46" w:rsidRPr="00042C01" w:rsidRDefault="00C50BB7" w:rsidP="00D22497">
      <w:pPr>
        <w:pStyle w:val="paragraph"/>
        <w:numPr>
          <w:ilvl w:val="0"/>
          <w:numId w:val="1"/>
        </w:numPr>
        <w:spacing w:before="0" w:beforeAutospacing="0" w:after="120" w:afterAutospacing="0" w:line="259" w:lineRule="auto"/>
        <w:ind w:left="420" w:hanging="420"/>
        <w:textAlignment w:val="baseline"/>
        <w:rPr>
          <w:rStyle w:val="normaltextrun"/>
          <w:rFonts w:ascii="Century Gothic" w:hAnsi="Century Gothic" w:cs="Arial"/>
          <w:b/>
          <w:bCs/>
          <w:color w:val="002060"/>
          <w:sz w:val="22"/>
          <w:szCs w:val="22"/>
        </w:rPr>
      </w:pPr>
      <w:r>
        <w:rPr>
          <w:rStyle w:val="normaltextrun"/>
          <w:rFonts w:ascii="Century Gothic" w:hAnsi="Century Gothic" w:cs="Arial"/>
          <w:b/>
          <w:bCs/>
          <w:color w:val="002060"/>
          <w:sz w:val="22"/>
          <w:szCs w:val="22"/>
        </w:rPr>
        <w:t>DIFFUSION</w:t>
      </w:r>
      <w:r w:rsidR="002028F6" w:rsidRPr="00042C01">
        <w:rPr>
          <w:rStyle w:val="normaltextrun"/>
          <w:rFonts w:ascii="Century Gothic" w:hAnsi="Century Gothic" w:cs="Arial"/>
          <w:b/>
          <w:bCs/>
          <w:color w:val="002060"/>
          <w:sz w:val="22"/>
          <w:szCs w:val="22"/>
        </w:rPr>
        <w:t xml:space="preserve">: </w:t>
      </w:r>
      <w:r w:rsidR="00D837CD">
        <w:rPr>
          <w:rStyle w:val="normaltextrun"/>
          <w:rFonts w:ascii="Century Gothic" w:hAnsi="Century Gothic" w:cs="Arial"/>
          <w:b/>
          <w:bCs/>
          <w:color w:val="002060"/>
          <w:sz w:val="22"/>
          <w:szCs w:val="22"/>
        </w:rPr>
        <w:t>Where can</w:t>
      </w:r>
      <w:r w:rsidR="00885E46" w:rsidRPr="00042C01">
        <w:rPr>
          <w:rStyle w:val="normaltextrun"/>
          <w:rFonts w:ascii="Century Gothic" w:hAnsi="Century Gothic" w:cs="Arial"/>
          <w:b/>
          <w:bCs/>
          <w:color w:val="002060"/>
          <w:sz w:val="22"/>
          <w:szCs w:val="22"/>
        </w:rPr>
        <w:t xml:space="preserve"> th</w:t>
      </w:r>
      <w:r w:rsidR="00D837CD">
        <w:rPr>
          <w:rStyle w:val="normaltextrun"/>
          <w:rFonts w:ascii="Century Gothic" w:hAnsi="Century Gothic" w:cs="Arial"/>
          <w:b/>
          <w:bCs/>
          <w:color w:val="002060"/>
          <w:sz w:val="22"/>
          <w:szCs w:val="22"/>
        </w:rPr>
        <w:t>is</w:t>
      </w:r>
      <w:r w:rsidR="00885E46" w:rsidRPr="00042C01">
        <w:rPr>
          <w:rStyle w:val="normaltextrun"/>
          <w:rFonts w:ascii="Century Gothic" w:hAnsi="Century Gothic" w:cs="Arial"/>
          <w:b/>
          <w:bCs/>
          <w:color w:val="002060"/>
          <w:sz w:val="22"/>
          <w:szCs w:val="22"/>
        </w:rPr>
        <w:t xml:space="preserve"> initial scale-up</w:t>
      </w:r>
      <w:r w:rsidR="007F6C50" w:rsidRPr="00042C01">
        <w:rPr>
          <w:rStyle w:val="normaltextrun"/>
          <w:rFonts w:ascii="Century Gothic" w:hAnsi="Century Gothic" w:cs="Arial"/>
          <w:b/>
          <w:bCs/>
          <w:color w:val="002060"/>
          <w:sz w:val="22"/>
          <w:szCs w:val="22"/>
        </w:rPr>
        <w:t xml:space="preserve"> </w:t>
      </w:r>
      <w:r w:rsidR="00D837CD">
        <w:rPr>
          <w:rStyle w:val="normaltextrun"/>
          <w:rFonts w:ascii="Century Gothic" w:hAnsi="Century Gothic" w:cs="Arial"/>
          <w:b/>
          <w:bCs/>
          <w:color w:val="002060"/>
          <w:sz w:val="22"/>
          <w:szCs w:val="22"/>
        </w:rPr>
        <w:t>happen?</w:t>
      </w:r>
    </w:p>
    <w:p w14:paraId="4C52E140" w14:textId="32DEE8AF" w:rsidR="007A4056" w:rsidRPr="00042C01" w:rsidRDefault="00D948B8" w:rsidP="00D22497">
      <w:pPr>
        <w:pStyle w:val="paragraph"/>
        <w:spacing w:before="0" w:beforeAutospacing="0" w:after="120" w:afterAutospacing="0" w:line="259" w:lineRule="auto"/>
        <w:ind w:left="426"/>
        <w:textAlignment w:val="baseline"/>
        <w:rPr>
          <w:rStyle w:val="normaltextrun"/>
          <w:rFonts w:ascii="Century Gothic" w:hAnsi="Century Gothic" w:cs="Arial"/>
          <w:i/>
          <w:iCs/>
          <w:color w:val="002060"/>
          <w:sz w:val="22"/>
          <w:szCs w:val="22"/>
        </w:rPr>
      </w:pPr>
      <w:r>
        <w:rPr>
          <w:rStyle w:val="normaltextrun"/>
          <w:rFonts w:ascii="Century Gothic" w:hAnsi="Century Gothic" w:cs="Arial"/>
          <w:i/>
          <w:iCs/>
          <w:color w:val="002060"/>
          <w:sz w:val="22"/>
          <w:szCs w:val="22"/>
        </w:rPr>
        <w:t>Growing i</w:t>
      </w:r>
      <w:r w:rsidR="00D837CD">
        <w:rPr>
          <w:rStyle w:val="normaltextrun"/>
          <w:rFonts w:ascii="Century Gothic" w:hAnsi="Century Gothic" w:cs="Arial"/>
          <w:i/>
          <w:iCs/>
          <w:color w:val="002060"/>
          <w:sz w:val="22"/>
          <w:szCs w:val="22"/>
        </w:rPr>
        <w:t>nitial markets</w:t>
      </w:r>
      <w:r w:rsidR="00BC3816">
        <w:rPr>
          <w:rStyle w:val="normaltextrun"/>
          <w:rFonts w:ascii="Century Gothic" w:hAnsi="Century Gothic" w:cs="Arial"/>
          <w:i/>
          <w:iCs/>
          <w:color w:val="002060"/>
          <w:sz w:val="22"/>
          <w:szCs w:val="22"/>
        </w:rPr>
        <w:t xml:space="preserve"> for SAF</w:t>
      </w:r>
      <w:r w:rsidR="00D837CD">
        <w:rPr>
          <w:rStyle w:val="normaltextrun"/>
          <w:rFonts w:ascii="Century Gothic" w:hAnsi="Century Gothic" w:cs="Arial"/>
          <w:i/>
          <w:iCs/>
          <w:color w:val="002060"/>
          <w:sz w:val="22"/>
          <w:szCs w:val="22"/>
        </w:rPr>
        <w:t xml:space="preserve"> </w:t>
      </w:r>
      <w:r>
        <w:rPr>
          <w:rStyle w:val="normaltextrun"/>
          <w:rFonts w:ascii="Century Gothic" w:hAnsi="Century Gothic" w:cs="Arial"/>
          <w:i/>
          <w:iCs/>
          <w:color w:val="002060"/>
          <w:sz w:val="22"/>
          <w:szCs w:val="22"/>
        </w:rPr>
        <w:t>requires simultaneously growing</w:t>
      </w:r>
      <w:r w:rsidR="00542F94">
        <w:rPr>
          <w:rStyle w:val="normaltextrun"/>
          <w:rFonts w:ascii="Century Gothic" w:hAnsi="Century Gothic" w:cs="Arial"/>
          <w:i/>
          <w:iCs/>
          <w:color w:val="002060"/>
          <w:sz w:val="22"/>
          <w:szCs w:val="22"/>
        </w:rPr>
        <w:t xml:space="preserve"> </w:t>
      </w:r>
      <w:r>
        <w:rPr>
          <w:rStyle w:val="normaltextrun"/>
          <w:rFonts w:ascii="Century Gothic" w:hAnsi="Century Gothic" w:cs="Arial"/>
          <w:i/>
          <w:iCs/>
          <w:color w:val="002060"/>
          <w:sz w:val="22"/>
          <w:szCs w:val="22"/>
        </w:rPr>
        <w:t>demand for and</w:t>
      </w:r>
      <w:r w:rsidR="00542F94">
        <w:rPr>
          <w:rStyle w:val="normaltextrun"/>
          <w:rFonts w:ascii="Century Gothic" w:hAnsi="Century Gothic" w:cs="Arial"/>
          <w:i/>
          <w:iCs/>
          <w:color w:val="002060"/>
          <w:sz w:val="22"/>
          <w:szCs w:val="22"/>
        </w:rPr>
        <w:t xml:space="preserve"> production of sustainable aviation fuels.</w:t>
      </w:r>
      <w:r w:rsidR="008652FC">
        <w:rPr>
          <w:rStyle w:val="normaltextrun"/>
          <w:rFonts w:ascii="Century Gothic" w:hAnsi="Century Gothic" w:cs="Arial"/>
          <w:i/>
          <w:iCs/>
          <w:color w:val="002060"/>
          <w:sz w:val="22"/>
          <w:szCs w:val="22"/>
        </w:rPr>
        <w:t xml:space="preserve"> Demand c</w:t>
      </w:r>
      <w:r w:rsidR="00BC3816">
        <w:rPr>
          <w:rStyle w:val="normaltextrun"/>
          <w:rFonts w:ascii="Century Gothic" w:hAnsi="Century Gothic" w:cs="Arial"/>
          <w:i/>
          <w:iCs/>
          <w:color w:val="002060"/>
          <w:sz w:val="22"/>
          <w:szCs w:val="22"/>
        </w:rPr>
        <w:t>ould</w:t>
      </w:r>
      <w:r w:rsidR="008652FC">
        <w:rPr>
          <w:rStyle w:val="normaltextrun"/>
          <w:rFonts w:ascii="Century Gothic" w:hAnsi="Century Gothic" w:cs="Arial"/>
          <w:i/>
          <w:iCs/>
          <w:color w:val="002060"/>
          <w:sz w:val="22"/>
          <w:szCs w:val="22"/>
        </w:rPr>
        <w:t xml:space="preserve"> be stimulated in</w:t>
      </w:r>
      <w:r w:rsidR="008139F8">
        <w:rPr>
          <w:rStyle w:val="normaltextrun"/>
          <w:rFonts w:ascii="Century Gothic" w:hAnsi="Century Gothic" w:cs="Arial"/>
          <w:i/>
          <w:iCs/>
          <w:color w:val="002060"/>
          <w:sz w:val="22"/>
          <w:szCs w:val="22"/>
        </w:rPr>
        <w:t>tra-zone in</w:t>
      </w:r>
      <w:r w:rsidR="008652FC">
        <w:rPr>
          <w:rStyle w:val="normaltextrun"/>
          <w:rFonts w:ascii="Century Gothic" w:hAnsi="Century Gothic" w:cs="Arial"/>
          <w:i/>
          <w:iCs/>
          <w:color w:val="002060"/>
          <w:sz w:val="22"/>
          <w:szCs w:val="22"/>
        </w:rPr>
        <w:t xml:space="preserve"> Western Europe</w:t>
      </w:r>
      <w:r w:rsidR="00BC3816">
        <w:rPr>
          <w:rStyle w:val="normaltextrun"/>
          <w:rFonts w:ascii="Century Gothic" w:hAnsi="Century Gothic" w:cs="Arial"/>
          <w:i/>
          <w:iCs/>
          <w:color w:val="002060"/>
          <w:sz w:val="22"/>
          <w:szCs w:val="22"/>
        </w:rPr>
        <w:t>,</w:t>
      </w:r>
      <w:r w:rsidR="008652FC">
        <w:rPr>
          <w:rStyle w:val="normaltextrun"/>
          <w:rFonts w:ascii="Century Gothic" w:hAnsi="Century Gothic" w:cs="Arial"/>
          <w:i/>
          <w:iCs/>
          <w:color w:val="002060"/>
          <w:sz w:val="22"/>
          <w:szCs w:val="22"/>
        </w:rPr>
        <w:t xml:space="preserve"> North America</w:t>
      </w:r>
      <w:r w:rsidR="00BC3816">
        <w:rPr>
          <w:rStyle w:val="normaltextrun"/>
          <w:rFonts w:ascii="Century Gothic" w:hAnsi="Century Gothic" w:cs="Arial"/>
          <w:i/>
          <w:iCs/>
          <w:color w:val="002060"/>
          <w:sz w:val="22"/>
          <w:szCs w:val="22"/>
        </w:rPr>
        <w:t xml:space="preserve"> and potentially China</w:t>
      </w:r>
      <w:r w:rsidR="00D92A12">
        <w:rPr>
          <w:rStyle w:val="normaltextrun"/>
          <w:rFonts w:ascii="Century Gothic" w:hAnsi="Century Gothic" w:cs="Arial"/>
          <w:i/>
          <w:iCs/>
          <w:color w:val="002060"/>
          <w:sz w:val="22"/>
          <w:szCs w:val="22"/>
        </w:rPr>
        <w:t>, with an initial focus on business travel</w:t>
      </w:r>
      <w:r w:rsidR="00DA5D4B">
        <w:rPr>
          <w:rStyle w:val="normaltextrun"/>
          <w:rFonts w:ascii="Century Gothic" w:hAnsi="Century Gothic" w:cs="Arial"/>
          <w:i/>
          <w:iCs/>
          <w:color w:val="002060"/>
          <w:sz w:val="22"/>
          <w:szCs w:val="22"/>
        </w:rPr>
        <w:t xml:space="preserve">. </w:t>
      </w:r>
      <w:r w:rsidR="00BC3816">
        <w:rPr>
          <w:rStyle w:val="normaltextrun"/>
          <w:rFonts w:ascii="Century Gothic" w:hAnsi="Century Gothic" w:cs="Arial"/>
          <w:i/>
          <w:iCs/>
          <w:color w:val="002060"/>
          <w:sz w:val="22"/>
          <w:szCs w:val="22"/>
        </w:rPr>
        <w:t>Meanwhile, i</w:t>
      </w:r>
      <w:r w:rsidR="00DA5D4B">
        <w:rPr>
          <w:rStyle w:val="normaltextrun"/>
          <w:rFonts w:ascii="Century Gothic" w:hAnsi="Century Gothic" w:cs="Arial"/>
          <w:i/>
          <w:iCs/>
          <w:color w:val="002060"/>
          <w:sz w:val="22"/>
          <w:szCs w:val="22"/>
        </w:rPr>
        <w:t xml:space="preserve">nitial uptake of electrified aviation </w:t>
      </w:r>
      <w:r w:rsidR="00BC3816">
        <w:rPr>
          <w:rStyle w:val="normaltextrun"/>
          <w:rFonts w:ascii="Century Gothic" w:hAnsi="Century Gothic" w:cs="Arial"/>
          <w:i/>
          <w:iCs/>
          <w:color w:val="002060"/>
          <w:sz w:val="22"/>
          <w:szCs w:val="22"/>
        </w:rPr>
        <w:t>is likely to be found in</w:t>
      </w:r>
      <w:r w:rsidR="00DA5D4B">
        <w:rPr>
          <w:rStyle w:val="normaltextrun"/>
          <w:rFonts w:ascii="Century Gothic" w:hAnsi="Century Gothic" w:cs="Arial"/>
          <w:i/>
          <w:iCs/>
          <w:color w:val="002060"/>
          <w:sz w:val="22"/>
          <w:szCs w:val="22"/>
        </w:rPr>
        <w:t xml:space="preserve"> inter-island services</w:t>
      </w:r>
      <w:r w:rsidR="00001946">
        <w:rPr>
          <w:rStyle w:val="normaltextrun"/>
          <w:rFonts w:ascii="Century Gothic" w:hAnsi="Century Gothic" w:cs="Arial"/>
          <w:i/>
          <w:iCs/>
          <w:color w:val="002060"/>
          <w:sz w:val="22"/>
          <w:szCs w:val="22"/>
        </w:rPr>
        <w:t xml:space="preserve"> (e.g., Hawa</w:t>
      </w:r>
      <w:r w:rsidR="00BC3816">
        <w:rPr>
          <w:rStyle w:val="normaltextrun"/>
          <w:rFonts w:ascii="Century Gothic" w:hAnsi="Century Gothic" w:cs="Arial"/>
          <w:i/>
          <w:iCs/>
          <w:color w:val="002060"/>
          <w:sz w:val="22"/>
          <w:szCs w:val="22"/>
        </w:rPr>
        <w:t>ii, British Isles</w:t>
      </w:r>
      <w:r w:rsidR="00001946">
        <w:rPr>
          <w:rStyle w:val="normaltextrun"/>
          <w:rFonts w:ascii="Century Gothic" w:hAnsi="Century Gothic" w:cs="Arial"/>
          <w:i/>
          <w:iCs/>
          <w:color w:val="002060"/>
          <w:sz w:val="22"/>
          <w:szCs w:val="22"/>
        </w:rPr>
        <w:t xml:space="preserve">, Indonesia) </w:t>
      </w:r>
      <w:r w:rsidR="00036F03">
        <w:rPr>
          <w:rStyle w:val="normaltextrun"/>
          <w:rFonts w:ascii="Century Gothic" w:hAnsi="Century Gothic" w:cs="Arial"/>
          <w:i/>
          <w:iCs/>
          <w:color w:val="002060"/>
          <w:sz w:val="22"/>
          <w:szCs w:val="22"/>
        </w:rPr>
        <w:t xml:space="preserve">and other specific markets </w:t>
      </w:r>
      <w:r w:rsidR="00DF0DBE">
        <w:rPr>
          <w:rStyle w:val="normaltextrun"/>
          <w:rFonts w:ascii="Century Gothic" w:hAnsi="Century Gothic" w:cs="Arial"/>
          <w:i/>
          <w:iCs/>
          <w:color w:val="002060"/>
          <w:sz w:val="22"/>
          <w:szCs w:val="22"/>
        </w:rPr>
        <w:t>(e.g., Norway).</w:t>
      </w:r>
    </w:p>
    <w:p w14:paraId="3F01E657" w14:textId="17661F63" w:rsidR="00D837CD" w:rsidRDefault="008F30C6" w:rsidP="00D22497">
      <w:pPr>
        <w:pStyle w:val="ListParagraph"/>
        <w:numPr>
          <w:ilvl w:val="1"/>
          <w:numId w:val="1"/>
        </w:numPr>
        <w:spacing w:after="120"/>
        <w:ind w:left="426"/>
        <w:contextualSpacing w:val="0"/>
        <w:rPr>
          <w:rFonts w:ascii="Century Gothic" w:hAnsi="Century Gothic" w:cstheme="minorHAnsi"/>
          <w:sz w:val="20"/>
          <w:szCs w:val="21"/>
        </w:rPr>
      </w:pPr>
      <w:r>
        <w:rPr>
          <w:rFonts w:ascii="Century Gothic" w:hAnsi="Century Gothic" w:cstheme="minorHAnsi"/>
          <w:sz w:val="20"/>
          <w:szCs w:val="21"/>
        </w:rPr>
        <w:t xml:space="preserve">Consumer willingness to pay for either </w:t>
      </w:r>
      <w:r w:rsidRPr="00BA5FBD">
        <w:rPr>
          <w:rFonts w:ascii="Century Gothic" w:hAnsi="Century Gothic" w:cstheme="minorHAnsi"/>
          <w:sz w:val="20"/>
          <w:szCs w:val="21"/>
        </w:rPr>
        <w:t>offsets or SAF-powered flight tickets has been polled frequently, e.g., in studies by Embry-Riddle Aeronautical University</w:t>
      </w:r>
      <w:r w:rsidR="00EA672B" w:rsidRPr="00BA5FBD">
        <w:rPr>
          <w:rStyle w:val="FootnoteReference"/>
          <w:rFonts w:ascii="Century Gothic" w:hAnsi="Century Gothic" w:cstheme="minorHAnsi"/>
          <w:sz w:val="20"/>
          <w:szCs w:val="21"/>
        </w:rPr>
        <w:footnoteReference w:id="26"/>
      </w:r>
      <w:r w:rsidRPr="00BA5FBD">
        <w:rPr>
          <w:rFonts w:ascii="Century Gothic" w:hAnsi="Century Gothic" w:cstheme="minorHAnsi"/>
          <w:sz w:val="20"/>
          <w:szCs w:val="21"/>
        </w:rPr>
        <w:t xml:space="preserve">. </w:t>
      </w:r>
      <w:r w:rsidR="001937CC" w:rsidRPr="00BA5FBD">
        <w:rPr>
          <w:rFonts w:ascii="Century Gothic" w:hAnsi="Century Gothic" w:cstheme="minorHAnsi"/>
          <w:sz w:val="20"/>
          <w:szCs w:val="21"/>
        </w:rPr>
        <w:t xml:space="preserve">Many airlines have recently extended their offer of voluntary offsetting schemes, e.g., KLM, Lufthansa (launch of </w:t>
      </w:r>
      <w:proofErr w:type="spellStart"/>
      <w:r w:rsidR="001937CC" w:rsidRPr="00BA5FBD">
        <w:rPr>
          <w:rFonts w:ascii="Century Gothic" w:hAnsi="Century Gothic" w:cstheme="minorHAnsi"/>
          <w:sz w:val="20"/>
          <w:szCs w:val="21"/>
        </w:rPr>
        <w:t>Compensaid</w:t>
      </w:r>
      <w:proofErr w:type="spellEnd"/>
      <w:r w:rsidR="001937CC" w:rsidRPr="00BA5FBD">
        <w:rPr>
          <w:rFonts w:ascii="Century Gothic" w:hAnsi="Century Gothic" w:cstheme="minorHAnsi"/>
          <w:sz w:val="20"/>
          <w:szCs w:val="21"/>
        </w:rPr>
        <w:t>, an online platform where flight emissions can be ‘offset’ either by purchasing carbon offsets or by paying the difference to sustainable aviation fuels directly). However, u</w:t>
      </w:r>
      <w:r w:rsidR="00C44691" w:rsidRPr="00BA5FBD">
        <w:rPr>
          <w:rFonts w:ascii="Century Gothic" w:hAnsi="Century Gothic" w:cstheme="minorHAnsi"/>
          <w:sz w:val="20"/>
          <w:szCs w:val="21"/>
        </w:rPr>
        <w:t>ptake of “green flight” products</w:t>
      </w:r>
      <w:r w:rsidRPr="00BA5FBD">
        <w:rPr>
          <w:rFonts w:ascii="Century Gothic" w:hAnsi="Century Gothic" w:cstheme="minorHAnsi"/>
          <w:sz w:val="20"/>
          <w:szCs w:val="21"/>
        </w:rPr>
        <w:t xml:space="preserve"> remains</w:t>
      </w:r>
      <w:r w:rsidR="001937CC" w:rsidRPr="00BA5FBD">
        <w:rPr>
          <w:rFonts w:ascii="Century Gothic" w:hAnsi="Century Gothic" w:cstheme="minorHAnsi"/>
          <w:sz w:val="20"/>
          <w:szCs w:val="21"/>
        </w:rPr>
        <w:t xml:space="preserve"> </w:t>
      </w:r>
      <w:r w:rsidR="00C44691" w:rsidRPr="00BA5FBD">
        <w:rPr>
          <w:rFonts w:ascii="Century Gothic" w:hAnsi="Century Gothic" w:cstheme="minorHAnsi"/>
          <w:sz w:val="20"/>
          <w:szCs w:val="21"/>
        </w:rPr>
        <w:t>limited to</w:t>
      </w:r>
      <w:r w:rsidR="001937CC" w:rsidRPr="00BA5FBD">
        <w:rPr>
          <w:rFonts w:ascii="Century Gothic" w:hAnsi="Century Gothic" w:cstheme="minorHAnsi"/>
          <w:sz w:val="20"/>
          <w:szCs w:val="21"/>
        </w:rPr>
        <w:t xml:space="preserve"> </w:t>
      </w:r>
      <w:r w:rsidR="00C44691" w:rsidRPr="00BA5FBD">
        <w:rPr>
          <w:rFonts w:ascii="Century Gothic" w:hAnsi="Century Gothic" w:cstheme="minorHAnsi"/>
          <w:sz w:val="20"/>
          <w:szCs w:val="21"/>
        </w:rPr>
        <w:t>date. Lufthansa reports that less than 1% of passengers choose to offset their flights</w:t>
      </w:r>
      <w:r w:rsidR="003F1EF0" w:rsidRPr="00BA5FBD">
        <w:rPr>
          <w:rFonts w:ascii="Century Gothic" w:hAnsi="Century Gothic" w:cstheme="minorHAnsi"/>
          <w:sz w:val="20"/>
          <w:szCs w:val="21"/>
        </w:rPr>
        <w:t xml:space="preserve">, whereas Qantas </w:t>
      </w:r>
      <w:r w:rsidR="005B3D62" w:rsidRPr="00BA5FBD">
        <w:rPr>
          <w:rFonts w:ascii="Century Gothic" w:hAnsi="Century Gothic" w:cstheme="minorHAnsi"/>
          <w:sz w:val="20"/>
          <w:szCs w:val="21"/>
        </w:rPr>
        <w:t>reach</w:t>
      </w:r>
      <w:r w:rsidR="003F1EF0" w:rsidRPr="00BA5FBD">
        <w:rPr>
          <w:rFonts w:ascii="Century Gothic" w:hAnsi="Century Gothic" w:cstheme="minorHAnsi"/>
          <w:sz w:val="20"/>
          <w:szCs w:val="21"/>
        </w:rPr>
        <w:t>ed a 10% share of passengers</w:t>
      </w:r>
      <w:r w:rsidR="005B3D62">
        <w:rPr>
          <w:rStyle w:val="FootnoteReference"/>
          <w:rFonts w:ascii="Century Gothic" w:hAnsi="Century Gothic" w:cstheme="minorHAnsi"/>
          <w:sz w:val="20"/>
          <w:szCs w:val="21"/>
        </w:rPr>
        <w:footnoteReference w:id="27"/>
      </w:r>
      <w:r w:rsidR="003F1EF0">
        <w:rPr>
          <w:rFonts w:ascii="Century Gothic" w:hAnsi="Century Gothic" w:cstheme="minorHAnsi"/>
          <w:sz w:val="20"/>
          <w:szCs w:val="21"/>
        </w:rPr>
        <w:t>.</w:t>
      </w:r>
    </w:p>
    <w:p w14:paraId="43CEE4CB" w14:textId="77777777" w:rsidR="00BA5FBD" w:rsidRDefault="00BA5FBD" w:rsidP="00BA5FBD">
      <w:pPr>
        <w:pStyle w:val="ListParagraph"/>
        <w:spacing w:after="120"/>
        <w:ind w:left="426"/>
        <w:contextualSpacing w:val="0"/>
        <w:rPr>
          <w:rFonts w:ascii="Century Gothic" w:hAnsi="Century Gothic" w:cstheme="minorHAnsi"/>
          <w:sz w:val="20"/>
          <w:szCs w:val="21"/>
        </w:rPr>
      </w:pPr>
    </w:p>
    <w:p w14:paraId="472A01FA" w14:textId="336E66A6" w:rsidR="005B3D62" w:rsidRDefault="005B3D62" w:rsidP="00D22497">
      <w:pPr>
        <w:pStyle w:val="ListParagraph"/>
        <w:numPr>
          <w:ilvl w:val="1"/>
          <w:numId w:val="1"/>
        </w:numPr>
        <w:spacing w:after="120"/>
        <w:ind w:left="426"/>
        <w:contextualSpacing w:val="0"/>
        <w:rPr>
          <w:rFonts w:ascii="Century Gothic" w:hAnsi="Century Gothic" w:cstheme="minorHAnsi"/>
          <w:sz w:val="20"/>
          <w:szCs w:val="21"/>
        </w:rPr>
      </w:pPr>
      <w:r>
        <w:rPr>
          <w:rFonts w:ascii="Century Gothic" w:hAnsi="Century Gothic" w:cstheme="minorHAnsi"/>
          <w:sz w:val="20"/>
          <w:szCs w:val="21"/>
        </w:rPr>
        <w:t xml:space="preserve">By contrast, an increasing number of corporates </w:t>
      </w:r>
      <w:r w:rsidR="00023894">
        <w:rPr>
          <w:rFonts w:ascii="Century Gothic" w:hAnsi="Century Gothic" w:cstheme="minorHAnsi"/>
          <w:sz w:val="20"/>
          <w:szCs w:val="21"/>
        </w:rPr>
        <w:t xml:space="preserve">disclose their carbon footprint and are encouraged to offset their </w:t>
      </w:r>
      <w:r w:rsidR="00FF0EC2">
        <w:rPr>
          <w:rFonts w:ascii="Century Gothic" w:hAnsi="Century Gothic" w:cstheme="minorHAnsi"/>
          <w:sz w:val="20"/>
          <w:szCs w:val="21"/>
        </w:rPr>
        <w:t xml:space="preserve">business travel. It is therefore </w:t>
      </w:r>
      <w:r w:rsidR="001C5E8D">
        <w:rPr>
          <w:rFonts w:ascii="Century Gothic" w:hAnsi="Century Gothic" w:cstheme="minorHAnsi"/>
          <w:sz w:val="20"/>
          <w:szCs w:val="21"/>
        </w:rPr>
        <w:t xml:space="preserve">possible – and indeed initial discussions have started within the Clean Skies for Tomorrow initiative led by WEF – to imagine that a buyers’ alliance of business travel (uniting major global corporates and travel agencies) could jointly commit </w:t>
      </w:r>
      <w:r w:rsidR="000327E0">
        <w:rPr>
          <w:rFonts w:ascii="Century Gothic" w:hAnsi="Century Gothic" w:cstheme="minorHAnsi"/>
          <w:sz w:val="20"/>
          <w:szCs w:val="21"/>
        </w:rPr>
        <w:t xml:space="preserve">in 2020 </w:t>
      </w:r>
      <w:r w:rsidR="001C5E8D">
        <w:rPr>
          <w:rFonts w:ascii="Century Gothic" w:hAnsi="Century Gothic" w:cstheme="minorHAnsi"/>
          <w:sz w:val="20"/>
          <w:szCs w:val="21"/>
        </w:rPr>
        <w:t xml:space="preserve">to </w:t>
      </w:r>
      <w:r w:rsidR="000327E0">
        <w:rPr>
          <w:rFonts w:ascii="Century Gothic" w:hAnsi="Century Gothic" w:cstheme="minorHAnsi"/>
          <w:sz w:val="20"/>
          <w:szCs w:val="21"/>
        </w:rPr>
        <w:t xml:space="preserve">purchasing </w:t>
      </w:r>
      <w:r w:rsidR="005D274E">
        <w:rPr>
          <w:rFonts w:ascii="Century Gothic" w:hAnsi="Century Gothic" w:cstheme="minorHAnsi"/>
          <w:sz w:val="20"/>
          <w:szCs w:val="21"/>
        </w:rPr>
        <w:t>premium</w:t>
      </w:r>
      <w:r w:rsidR="000327E0">
        <w:rPr>
          <w:rFonts w:ascii="Century Gothic" w:hAnsi="Century Gothic" w:cstheme="minorHAnsi"/>
          <w:sz w:val="20"/>
          <w:szCs w:val="21"/>
        </w:rPr>
        <w:t xml:space="preserve"> green flights by 2025</w:t>
      </w:r>
      <w:r w:rsidR="005D274E">
        <w:rPr>
          <w:rFonts w:ascii="Century Gothic" w:hAnsi="Century Gothic" w:cstheme="minorHAnsi"/>
          <w:sz w:val="20"/>
          <w:szCs w:val="21"/>
        </w:rPr>
        <w:t xml:space="preserve"> (therefore shifting </w:t>
      </w:r>
      <w:r w:rsidR="0093221F">
        <w:rPr>
          <w:rFonts w:ascii="Century Gothic" w:hAnsi="Century Gothic" w:cstheme="minorHAnsi"/>
          <w:sz w:val="20"/>
          <w:szCs w:val="21"/>
        </w:rPr>
        <w:t>their spending from offsets to green tickets). This would create</w:t>
      </w:r>
      <w:r w:rsidR="000327E0">
        <w:rPr>
          <w:rFonts w:ascii="Century Gothic" w:hAnsi="Century Gothic" w:cstheme="minorHAnsi"/>
          <w:sz w:val="20"/>
          <w:szCs w:val="21"/>
        </w:rPr>
        <w:t xml:space="preserve"> a demand signal for investment in new production facilities.</w:t>
      </w:r>
    </w:p>
    <w:p w14:paraId="08F4F6D9" w14:textId="2B97610C" w:rsidR="00390839" w:rsidRPr="008E6FF4" w:rsidRDefault="004D57C5" w:rsidP="008E6FF4">
      <w:pPr>
        <w:pStyle w:val="ListParagraph"/>
        <w:numPr>
          <w:ilvl w:val="1"/>
          <w:numId w:val="1"/>
        </w:numPr>
        <w:spacing w:after="120"/>
        <w:ind w:left="426"/>
        <w:contextualSpacing w:val="0"/>
        <w:rPr>
          <w:rFonts w:ascii="Century Gothic" w:hAnsi="Century Gothic" w:cstheme="minorHAnsi"/>
          <w:sz w:val="20"/>
          <w:szCs w:val="21"/>
        </w:rPr>
      </w:pPr>
      <w:r>
        <w:rPr>
          <w:rFonts w:ascii="Century Gothic" w:hAnsi="Century Gothic" w:cstheme="minorHAnsi"/>
          <w:sz w:val="20"/>
          <w:szCs w:val="21"/>
        </w:rPr>
        <w:t xml:space="preserve">Demand for </w:t>
      </w:r>
      <w:r w:rsidR="00047840">
        <w:rPr>
          <w:rFonts w:ascii="Century Gothic" w:hAnsi="Century Gothic" w:cstheme="minorHAnsi"/>
          <w:sz w:val="20"/>
          <w:szCs w:val="21"/>
        </w:rPr>
        <w:t>an increasing share of sustainable aviation fuels c</w:t>
      </w:r>
      <w:r w:rsidR="00A636D3">
        <w:rPr>
          <w:rFonts w:ascii="Century Gothic" w:hAnsi="Century Gothic" w:cstheme="minorHAnsi"/>
          <w:sz w:val="20"/>
          <w:szCs w:val="21"/>
        </w:rPr>
        <w:t>ould</w:t>
      </w:r>
      <w:r w:rsidR="00047840">
        <w:rPr>
          <w:rFonts w:ascii="Century Gothic" w:hAnsi="Century Gothic" w:cstheme="minorHAnsi"/>
          <w:sz w:val="20"/>
          <w:szCs w:val="21"/>
        </w:rPr>
        <w:t xml:space="preserve"> be generated in regional hubs, where </w:t>
      </w:r>
      <w:r w:rsidR="005001AA">
        <w:rPr>
          <w:rFonts w:ascii="Century Gothic" w:hAnsi="Century Gothic" w:cstheme="minorHAnsi"/>
          <w:sz w:val="20"/>
          <w:szCs w:val="21"/>
        </w:rPr>
        <w:t>a coalition of airports, airlines and representatives of custome</w:t>
      </w:r>
      <w:r w:rsidR="000052B1">
        <w:rPr>
          <w:rFonts w:ascii="Century Gothic" w:hAnsi="Century Gothic" w:cstheme="minorHAnsi"/>
          <w:sz w:val="20"/>
          <w:szCs w:val="21"/>
        </w:rPr>
        <w:t>rs</w:t>
      </w:r>
      <w:r w:rsidR="005001AA">
        <w:rPr>
          <w:rFonts w:ascii="Century Gothic" w:hAnsi="Century Gothic" w:cstheme="minorHAnsi"/>
          <w:sz w:val="20"/>
          <w:szCs w:val="21"/>
        </w:rPr>
        <w:t xml:space="preserve"> c</w:t>
      </w:r>
      <w:r w:rsidR="000052B1">
        <w:rPr>
          <w:rFonts w:ascii="Century Gothic" w:hAnsi="Century Gothic" w:cstheme="minorHAnsi"/>
          <w:sz w:val="20"/>
          <w:szCs w:val="21"/>
        </w:rPr>
        <w:t>ould</w:t>
      </w:r>
      <w:r w:rsidR="005001AA">
        <w:rPr>
          <w:rFonts w:ascii="Century Gothic" w:hAnsi="Century Gothic" w:cstheme="minorHAnsi"/>
          <w:sz w:val="20"/>
          <w:szCs w:val="21"/>
        </w:rPr>
        <w:t xml:space="preserve"> jointly </w:t>
      </w:r>
      <w:r w:rsidR="000052B1">
        <w:rPr>
          <w:rFonts w:ascii="Century Gothic" w:hAnsi="Century Gothic" w:cstheme="minorHAnsi"/>
          <w:sz w:val="20"/>
          <w:szCs w:val="21"/>
        </w:rPr>
        <w:t>agree to increase uptake of SAF</w:t>
      </w:r>
      <w:r w:rsidR="00A636D3">
        <w:rPr>
          <w:rFonts w:ascii="Century Gothic" w:hAnsi="Century Gothic" w:cstheme="minorHAnsi"/>
          <w:sz w:val="20"/>
          <w:szCs w:val="21"/>
        </w:rPr>
        <w:t xml:space="preserve"> (for instance, within Europe, the United States or India)</w:t>
      </w:r>
      <w:r w:rsidR="000052B1">
        <w:rPr>
          <w:rFonts w:ascii="Century Gothic" w:hAnsi="Century Gothic" w:cstheme="minorHAnsi"/>
          <w:sz w:val="20"/>
          <w:szCs w:val="21"/>
        </w:rPr>
        <w:t>.</w:t>
      </w:r>
      <w:r w:rsidR="000C1B4B">
        <w:rPr>
          <w:rFonts w:ascii="Century Gothic" w:hAnsi="Century Gothic" w:cstheme="minorHAnsi"/>
          <w:sz w:val="20"/>
          <w:szCs w:val="21"/>
        </w:rPr>
        <w:t xml:space="preserve"> This approach is currently being pursued by the Clean Skies for Tomorrow Initiative, under the WEF-ETC Mission Possible Platform umbrella.</w:t>
      </w:r>
    </w:p>
    <w:p w14:paraId="5444847E" w14:textId="7EF23778" w:rsidR="00390839" w:rsidRDefault="000052B1" w:rsidP="00390839">
      <w:pPr>
        <w:pStyle w:val="ListParagraph"/>
        <w:numPr>
          <w:ilvl w:val="0"/>
          <w:numId w:val="42"/>
        </w:numPr>
        <w:spacing w:after="120"/>
        <w:contextualSpacing w:val="0"/>
        <w:rPr>
          <w:rFonts w:ascii="Century Gothic" w:hAnsi="Century Gothic" w:cstheme="minorHAnsi"/>
          <w:sz w:val="20"/>
          <w:szCs w:val="21"/>
        </w:rPr>
      </w:pPr>
      <w:r>
        <w:rPr>
          <w:rFonts w:ascii="Century Gothic" w:hAnsi="Century Gothic" w:cstheme="minorHAnsi"/>
          <w:sz w:val="20"/>
          <w:szCs w:val="21"/>
        </w:rPr>
        <w:t>This would have to be done on a scale that mitigates competitiveness risks, by coordinating several major airports within a regional zone (</w:t>
      </w:r>
      <w:r w:rsidR="002F1B00">
        <w:rPr>
          <w:rFonts w:ascii="Century Gothic" w:hAnsi="Century Gothic" w:cstheme="minorHAnsi"/>
          <w:sz w:val="20"/>
          <w:szCs w:val="21"/>
        </w:rPr>
        <w:t xml:space="preserve">Western </w:t>
      </w:r>
      <w:r>
        <w:rPr>
          <w:rFonts w:ascii="Century Gothic" w:hAnsi="Century Gothic" w:cstheme="minorHAnsi"/>
          <w:sz w:val="20"/>
          <w:szCs w:val="21"/>
        </w:rPr>
        <w:t xml:space="preserve">Europe, </w:t>
      </w:r>
      <w:r w:rsidR="002F1B00">
        <w:rPr>
          <w:rFonts w:ascii="Century Gothic" w:hAnsi="Century Gothic" w:cstheme="minorHAnsi"/>
          <w:sz w:val="20"/>
          <w:szCs w:val="21"/>
        </w:rPr>
        <w:t xml:space="preserve">all or part of the </w:t>
      </w:r>
      <w:r>
        <w:rPr>
          <w:rFonts w:ascii="Century Gothic" w:hAnsi="Century Gothic" w:cstheme="minorHAnsi"/>
          <w:sz w:val="20"/>
          <w:szCs w:val="21"/>
        </w:rPr>
        <w:t xml:space="preserve">US, </w:t>
      </w:r>
      <w:r w:rsidR="0007376E">
        <w:rPr>
          <w:rFonts w:ascii="Century Gothic" w:hAnsi="Century Gothic" w:cstheme="minorHAnsi"/>
          <w:sz w:val="20"/>
          <w:szCs w:val="21"/>
        </w:rPr>
        <w:t xml:space="preserve">Eastern </w:t>
      </w:r>
      <w:r>
        <w:rPr>
          <w:rFonts w:ascii="Century Gothic" w:hAnsi="Century Gothic" w:cstheme="minorHAnsi"/>
          <w:sz w:val="20"/>
          <w:szCs w:val="21"/>
        </w:rPr>
        <w:t>China)</w:t>
      </w:r>
      <w:r w:rsidR="002F1B00">
        <w:rPr>
          <w:rFonts w:ascii="Century Gothic" w:hAnsi="Century Gothic" w:cstheme="minorHAnsi"/>
          <w:sz w:val="20"/>
          <w:szCs w:val="21"/>
        </w:rPr>
        <w:t xml:space="preserve"> and all airlines operating between these airports</w:t>
      </w:r>
      <w:r w:rsidR="00047840">
        <w:rPr>
          <w:rFonts w:ascii="Century Gothic" w:hAnsi="Century Gothic" w:cstheme="minorHAnsi"/>
          <w:sz w:val="20"/>
          <w:szCs w:val="21"/>
        </w:rPr>
        <w:t>.</w:t>
      </w:r>
    </w:p>
    <w:p w14:paraId="1C48F793" w14:textId="44AB82FF" w:rsidR="00390839" w:rsidRDefault="00390839" w:rsidP="00390839">
      <w:pPr>
        <w:pStyle w:val="ListParagraph"/>
        <w:numPr>
          <w:ilvl w:val="0"/>
          <w:numId w:val="42"/>
        </w:numPr>
        <w:spacing w:after="120"/>
        <w:contextualSpacing w:val="0"/>
        <w:rPr>
          <w:rFonts w:ascii="Century Gothic" w:hAnsi="Century Gothic" w:cstheme="minorHAnsi"/>
          <w:sz w:val="20"/>
          <w:szCs w:val="21"/>
        </w:rPr>
      </w:pPr>
      <w:r>
        <w:rPr>
          <w:rFonts w:ascii="Century Gothic" w:hAnsi="Century Gothic" w:cstheme="minorHAnsi"/>
          <w:sz w:val="20"/>
          <w:szCs w:val="21"/>
        </w:rPr>
        <w:t xml:space="preserve">The role of airports in stimulating demand can be significant. Only a limited number of airports needs to provide and/or mandate SAFs </w:t>
      </w:r>
      <w:r>
        <w:rPr>
          <w:rFonts w:ascii="Century Gothic" w:hAnsi="Century Gothic" w:cstheme="minorHAnsi"/>
          <w:sz w:val="20"/>
          <w:szCs w:val="21"/>
        </w:rPr>
        <w:t>to impact a large proportion of the traffic (as less than 5% of all airports handle 90% of international flights).</w:t>
      </w:r>
      <w:r w:rsidR="00543ADA">
        <w:rPr>
          <w:rFonts w:ascii="Century Gothic" w:hAnsi="Century Gothic" w:cstheme="minorHAnsi"/>
          <w:sz w:val="20"/>
          <w:szCs w:val="21"/>
        </w:rPr>
        <w:t xml:space="preserve"> </w:t>
      </w:r>
    </w:p>
    <w:p w14:paraId="4236DB62" w14:textId="26F481B4" w:rsidR="00F07C01" w:rsidRDefault="005D579E" w:rsidP="00D22497">
      <w:pPr>
        <w:pStyle w:val="ListParagraph"/>
        <w:numPr>
          <w:ilvl w:val="1"/>
          <w:numId w:val="1"/>
        </w:numPr>
        <w:spacing w:after="120"/>
        <w:ind w:left="426"/>
        <w:contextualSpacing w:val="0"/>
        <w:rPr>
          <w:rFonts w:ascii="Century Gothic" w:hAnsi="Century Gothic" w:cstheme="minorHAnsi"/>
          <w:sz w:val="20"/>
          <w:szCs w:val="21"/>
        </w:rPr>
      </w:pPr>
      <w:r>
        <w:rPr>
          <w:rFonts w:ascii="Century Gothic" w:hAnsi="Century Gothic" w:cstheme="minorHAnsi"/>
          <w:sz w:val="20"/>
          <w:szCs w:val="21"/>
        </w:rPr>
        <w:t>Meanwhile, s</w:t>
      </w:r>
      <w:r w:rsidR="00862001">
        <w:rPr>
          <w:rFonts w:ascii="Century Gothic" w:hAnsi="Century Gothic" w:cstheme="minorHAnsi"/>
          <w:sz w:val="20"/>
          <w:szCs w:val="21"/>
        </w:rPr>
        <w:t xml:space="preserve">upply </w:t>
      </w:r>
      <w:r>
        <w:rPr>
          <w:rFonts w:ascii="Century Gothic" w:hAnsi="Century Gothic" w:cstheme="minorHAnsi"/>
          <w:sz w:val="20"/>
          <w:szCs w:val="21"/>
        </w:rPr>
        <w:t>could</w:t>
      </w:r>
      <w:r w:rsidR="000D1D09">
        <w:rPr>
          <w:rFonts w:ascii="Century Gothic" w:hAnsi="Century Gothic" w:cstheme="minorHAnsi"/>
          <w:sz w:val="20"/>
          <w:szCs w:val="21"/>
        </w:rPr>
        <w:t xml:space="preserve"> be derived from</w:t>
      </w:r>
      <w:r>
        <w:rPr>
          <w:rFonts w:ascii="Century Gothic" w:hAnsi="Century Gothic" w:cstheme="minorHAnsi"/>
          <w:sz w:val="20"/>
          <w:szCs w:val="21"/>
        </w:rPr>
        <w:t xml:space="preserve"> (</w:t>
      </w:r>
      <w:proofErr w:type="spellStart"/>
      <w:r>
        <w:rPr>
          <w:rFonts w:ascii="Century Gothic" w:hAnsi="Century Gothic" w:cstheme="minorHAnsi"/>
          <w:sz w:val="20"/>
          <w:szCs w:val="21"/>
        </w:rPr>
        <w:t>i</w:t>
      </w:r>
      <w:proofErr w:type="spellEnd"/>
      <w:r>
        <w:rPr>
          <w:rFonts w:ascii="Century Gothic" w:hAnsi="Century Gothic" w:cstheme="minorHAnsi"/>
          <w:sz w:val="20"/>
          <w:szCs w:val="21"/>
        </w:rPr>
        <w:t xml:space="preserve">) local production hubs in </w:t>
      </w:r>
      <w:r>
        <w:rPr>
          <w:rFonts w:ascii="Century Gothic" w:hAnsi="Century Gothic" w:cstheme="minorHAnsi"/>
          <w:sz w:val="20"/>
          <w:szCs w:val="21"/>
        </w:rPr>
        <w:t>the regions where demand for SAF would be growing (</w:t>
      </w:r>
      <w:r w:rsidR="000B11C8">
        <w:rPr>
          <w:rFonts w:ascii="Century Gothic" w:hAnsi="Century Gothic" w:cstheme="minorHAnsi"/>
          <w:sz w:val="20"/>
          <w:szCs w:val="21"/>
        </w:rPr>
        <w:t xml:space="preserve">with a potential focus on waste-based and synthetic fuels), (ii) </w:t>
      </w:r>
      <w:r w:rsidR="000D1D09">
        <w:rPr>
          <w:rFonts w:ascii="Century Gothic" w:hAnsi="Century Gothic" w:cstheme="minorHAnsi"/>
          <w:sz w:val="20"/>
          <w:szCs w:val="21"/>
        </w:rPr>
        <w:t xml:space="preserve">production hubs </w:t>
      </w:r>
      <w:r w:rsidR="000B11C8">
        <w:rPr>
          <w:rFonts w:ascii="Century Gothic" w:hAnsi="Century Gothic" w:cstheme="minorHAnsi"/>
          <w:sz w:val="20"/>
          <w:szCs w:val="21"/>
        </w:rPr>
        <w:t>in countries where</w:t>
      </w:r>
      <w:r w:rsidR="000D1D09">
        <w:rPr>
          <w:rFonts w:ascii="Century Gothic" w:hAnsi="Century Gothic" w:cstheme="minorHAnsi"/>
          <w:sz w:val="20"/>
          <w:szCs w:val="21"/>
        </w:rPr>
        <w:t xml:space="preserve"> </w:t>
      </w:r>
      <w:r w:rsidR="00A25B82">
        <w:rPr>
          <w:rFonts w:ascii="Century Gothic" w:hAnsi="Century Gothic" w:cstheme="minorHAnsi"/>
          <w:sz w:val="20"/>
          <w:szCs w:val="21"/>
        </w:rPr>
        <w:t xml:space="preserve">SAF production can support economic growth on a national level and </w:t>
      </w:r>
      <w:r w:rsidR="000B11C8">
        <w:rPr>
          <w:rFonts w:ascii="Century Gothic" w:hAnsi="Century Gothic" w:cstheme="minorHAnsi"/>
          <w:sz w:val="20"/>
          <w:szCs w:val="21"/>
        </w:rPr>
        <w:t xml:space="preserve">leverage either large bioenergy resources or cheap renewable electricity for </w:t>
      </w:r>
      <w:proofErr w:type="spellStart"/>
      <w:r w:rsidR="000B11C8">
        <w:rPr>
          <w:rFonts w:ascii="Century Gothic" w:hAnsi="Century Gothic" w:cstheme="minorHAnsi"/>
          <w:sz w:val="20"/>
          <w:szCs w:val="21"/>
        </w:rPr>
        <w:t>synfuels</w:t>
      </w:r>
      <w:proofErr w:type="spellEnd"/>
      <w:r w:rsidR="000B11C8">
        <w:rPr>
          <w:rFonts w:ascii="Century Gothic" w:hAnsi="Century Gothic" w:cstheme="minorHAnsi"/>
          <w:sz w:val="20"/>
          <w:szCs w:val="21"/>
        </w:rPr>
        <w:t xml:space="preserve"> production (Latin America for the former, </w:t>
      </w:r>
      <w:r w:rsidR="00543790">
        <w:rPr>
          <w:rFonts w:ascii="Century Gothic" w:hAnsi="Century Gothic" w:cstheme="minorHAnsi"/>
          <w:sz w:val="20"/>
          <w:szCs w:val="21"/>
        </w:rPr>
        <w:t>India, the Middle East, or North Africa</w:t>
      </w:r>
      <w:r w:rsidR="00247A63">
        <w:rPr>
          <w:rFonts w:ascii="Century Gothic" w:hAnsi="Century Gothic" w:cstheme="minorHAnsi"/>
          <w:sz w:val="20"/>
          <w:szCs w:val="21"/>
        </w:rPr>
        <w:t xml:space="preserve"> for the latter).</w:t>
      </w:r>
      <w:r w:rsidR="001A0838">
        <w:rPr>
          <w:rFonts w:ascii="Century Gothic" w:hAnsi="Century Gothic" w:cstheme="minorHAnsi"/>
          <w:sz w:val="20"/>
          <w:szCs w:val="21"/>
        </w:rPr>
        <w:t xml:space="preserve"> </w:t>
      </w:r>
      <w:r w:rsidR="00507397">
        <w:rPr>
          <w:rFonts w:ascii="Century Gothic" w:hAnsi="Century Gothic" w:cstheme="minorHAnsi"/>
          <w:sz w:val="20"/>
          <w:szCs w:val="21"/>
        </w:rPr>
        <w:t xml:space="preserve">Existing fuel infrastructure would allow it </w:t>
      </w:r>
      <w:proofErr w:type="gramStart"/>
      <w:r w:rsidR="00507397">
        <w:rPr>
          <w:rFonts w:ascii="Century Gothic" w:hAnsi="Century Gothic" w:cstheme="minorHAnsi"/>
          <w:sz w:val="20"/>
          <w:szCs w:val="21"/>
        </w:rPr>
        <w:t>be</w:t>
      </w:r>
      <w:proofErr w:type="gramEnd"/>
      <w:r w:rsidR="00507397">
        <w:rPr>
          <w:rFonts w:ascii="Century Gothic" w:hAnsi="Century Gothic" w:cstheme="minorHAnsi"/>
          <w:sz w:val="20"/>
          <w:szCs w:val="21"/>
        </w:rPr>
        <w:t xml:space="preserve"> moved globally</w:t>
      </w:r>
      <w:r w:rsidR="001A0838">
        <w:rPr>
          <w:rFonts w:ascii="Century Gothic" w:hAnsi="Century Gothic" w:cstheme="minorHAnsi"/>
          <w:sz w:val="20"/>
          <w:szCs w:val="21"/>
        </w:rPr>
        <w:t xml:space="preserve">, especially if a digital traceability and credit exchange system is put in place to enable </w:t>
      </w:r>
      <w:r w:rsidR="00FA5A55">
        <w:rPr>
          <w:rFonts w:ascii="Century Gothic" w:hAnsi="Century Gothic" w:cstheme="minorHAnsi"/>
          <w:sz w:val="20"/>
          <w:szCs w:val="21"/>
        </w:rPr>
        <w:t>trading.</w:t>
      </w:r>
    </w:p>
    <w:p w14:paraId="4062CF01" w14:textId="21F563F6" w:rsidR="001D35FE" w:rsidRDefault="00390839" w:rsidP="00D22497">
      <w:pPr>
        <w:pStyle w:val="ListParagraph"/>
        <w:numPr>
          <w:ilvl w:val="1"/>
          <w:numId w:val="1"/>
        </w:numPr>
        <w:spacing w:after="120"/>
        <w:ind w:left="426"/>
        <w:contextualSpacing w:val="0"/>
        <w:rPr>
          <w:rFonts w:ascii="Century Gothic" w:hAnsi="Century Gothic" w:cstheme="minorHAnsi"/>
          <w:sz w:val="20"/>
          <w:szCs w:val="21"/>
        </w:rPr>
      </w:pPr>
      <w:r>
        <w:rPr>
          <w:rFonts w:ascii="Century Gothic" w:hAnsi="Century Gothic" w:cstheme="minorHAnsi"/>
          <w:sz w:val="20"/>
          <w:szCs w:val="21"/>
        </w:rPr>
        <w:t>As for</w:t>
      </w:r>
      <w:r w:rsidR="00D02508">
        <w:rPr>
          <w:rFonts w:ascii="Century Gothic" w:hAnsi="Century Gothic" w:cstheme="minorHAnsi"/>
          <w:sz w:val="20"/>
          <w:szCs w:val="21"/>
        </w:rPr>
        <w:t xml:space="preserve"> e</w:t>
      </w:r>
      <w:r w:rsidR="001D35FE">
        <w:rPr>
          <w:rFonts w:ascii="Century Gothic" w:hAnsi="Century Gothic" w:cstheme="minorHAnsi"/>
          <w:sz w:val="20"/>
          <w:szCs w:val="21"/>
        </w:rPr>
        <w:t xml:space="preserve">lectrified aviation, </w:t>
      </w:r>
      <w:r>
        <w:rPr>
          <w:rFonts w:ascii="Century Gothic" w:hAnsi="Century Gothic" w:cstheme="minorHAnsi"/>
          <w:sz w:val="20"/>
          <w:szCs w:val="21"/>
        </w:rPr>
        <w:t xml:space="preserve">adoption will likely be driven by favourable economics. </w:t>
      </w:r>
      <w:r w:rsidR="008C4404">
        <w:rPr>
          <w:rFonts w:ascii="Century Gothic" w:hAnsi="Century Gothic" w:cstheme="minorHAnsi"/>
          <w:sz w:val="20"/>
          <w:szCs w:val="21"/>
        </w:rPr>
        <w:t>The s</w:t>
      </w:r>
      <w:r w:rsidR="001D35FE">
        <w:rPr>
          <w:rFonts w:ascii="Century Gothic" w:hAnsi="Century Gothic" w:cstheme="minorHAnsi"/>
          <w:sz w:val="20"/>
          <w:szCs w:val="21"/>
        </w:rPr>
        <w:t xml:space="preserve">hort-routes </w:t>
      </w:r>
      <w:r w:rsidR="008C4404">
        <w:rPr>
          <w:rFonts w:ascii="Century Gothic" w:hAnsi="Century Gothic" w:cstheme="minorHAnsi"/>
          <w:sz w:val="20"/>
          <w:szCs w:val="21"/>
        </w:rPr>
        <w:t xml:space="preserve">required </w:t>
      </w:r>
      <w:r w:rsidR="001D35FE">
        <w:rPr>
          <w:rFonts w:ascii="Century Gothic" w:hAnsi="Century Gothic" w:cstheme="minorHAnsi"/>
          <w:sz w:val="20"/>
          <w:szCs w:val="21"/>
        </w:rPr>
        <w:t>for initial market entry</w:t>
      </w:r>
      <w:r w:rsidR="008C4404">
        <w:rPr>
          <w:rFonts w:ascii="Century Gothic" w:hAnsi="Century Gothic" w:cstheme="minorHAnsi"/>
          <w:sz w:val="20"/>
          <w:szCs w:val="21"/>
        </w:rPr>
        <w:t xml:space="preserve"> are likely to be found</w:t>
      </w:r>
      <w:r w:rsidR="001D35FE">
        <w:rPr>
          <w:rFonts w:ascii="Century Gothic" w:hAnsi="Century Gothic" w:cstheme="minorHAnsi"/>
          <w:sz w:val="20"/>
          <w:szCs w:val="21"/>
        </w:rPr>
        <w:t xml:space="preserve"> in island nations </w:t>
      </w:r>
      <w:r w:rsidR="008E543B">
        <w:rPr>
          <w:rFonts w:ascii="Century Gothic" w:hAnsi="Century Gothic" w:cstheme="minorHAnsi"/>
          <w:sz w:val="20"/>
          <w:szCs w:val="21"/>
        </w:rPr>
        <w:t xml:space="preserve">or regions such as the UK, Hawaii, Indonesia, etc. At the same time, countries </w:t>
      </w:r>
      <w:r w:rsidR="008C4404">
        <w:rPr>
          <w:rFonts w:ascii="Century Gothic" w:hAnsi="Century Gothic" w:cstheme="minorHAnsi"/>
          <w:sz w:val="20"/>
          <w:szCs w:val="21"/>
        </w:rPr>
        <w:t>where geography limits modal shift opportunities for short haul</w:t>
      </w:r>
      <w:r w:rsidR="000D06A6">
        <w:rPr>
          <w:rFonts w:ascii="Century Gothic" w:hAnsi="Century Gothic" w:cstheme="minorHAnsi"/>
          <w:sz w:val="20"/>
          <w:szCs w:val="21"/>
        </w:rPr>
        <w:t xml:space="preserve"> flights and where </w:t>
      </w:r>
      <w:r w:rsidR="008E543B">
        <w:rPr>
          <w:rFonts w:ascii="Century Gothic" w:hAnsi="Century Gothic" w:cstheme="minorHAnsi"/>
          <w:sz w:val="20"/>
          <w:szCs w:val="21"/>
        </w:rPr>
        <w:t>strong carbon emission reduction targe</w:t>
      </w:r>
      <w:r w:rsidR="00937F48">
        <w:rPr>
          <w:rFonts w:ascii="Century Gothic" w:hAnsi="Century Gothic" w:cstheme="minorHAnsi"/>
          <w:sz w:val="20"/>
          <w:szCs w:val="21"/>
        </w:rPr>
        <w:t xml:space="preserve">ts </w:t>
      </w:r>
      <w:r w:rsidR="000D06A6">
        <w:rPr>
          <w:rFonts w:ascii="Century Gothic" w:hAnsi="Century Gothic" w:cstheme="minorHAnsi"/>
          <w:sz w:val="20"/>
          <w:szCs w:val="21"/>
        </w:rPr>
        <w:t>are already in place</w:t>
      </w:r>
      <w:r w:rsidR="00937F48">
        <w:rPr>
          <w:rFonts w:ascii="Century Gothic" w:hAnsi="Century Gothic" w:cstheme="minorHAnsi"/>
          <w:sz w:val="20"/>
          <w:szCs w:val="21"/>
        </w:rPr>
        <w:t xml:space="preserve"> such as Sweden or Norway</w:t>
      </w:r>
      <w:r w:rsidR="000D06A6">
        <w:rPr>
          <w:rFonts w:ascii="Century Gothic" w:hAnsi="Century Gothic" w:cstheme="minorHAnsi"/>
          <w:sz w:val="20"/>
          <w:szCs w:val="21"/>
        </w:rPr>
        <w:t xml:space="preserve">, could represent another </w:t>
      </w:r>
      <w:r w:rsidR="000D06A6" w:rsidRPr="00FA5A55">
        <w:rPr>
          <w:rFonts w:ascii="Century Gothic" w:hAnsi="Century Gothic" w:cstheme="minorHAnsi"/>
          <w:sz w:val="20"/>
          <w:szCs w:val="21"/>
        </w:rPr>
        <w:t>initial market.</w:t>
      </w:r>
      <w:r w:rsidR="00937F48" w:rsidRPr="00FA5A55">
        <w:rPr>
          <w:rFonts w:ascii="Century Gothic" w:hAnsi="Century Gothic" w:cstheme="minorHAnsi"/>
          <w:sz w:val="20"/>
          <w:szCs w:val="21"/>
        </w:rPr>
        <w:t xml:space="preserve"> </w:t>
      </w:r>
      <w:r w:rsidR="00BA2DE3" w:rsidRPr="00FA5A55">
        <w:rPr>
          <w:rFonts w:ascii="Century Gothic" w:hAnsi="Century Gothic" w:cstheme="minorHAnsi"/>
          <w:sz w:val="20"/>
          <w:szCs w:val="21"/>
        </w:rPr>
        <w:t xml:space="preserve">Norway’s first scheduled electric flight </w:t>
      </w:r>
      <w:r w:rsidR="000D06A6" w:rsidRPr="00FA5A55">
        <w:rPr>
          <w:rFonts w:ascii="Century Gothic" w:hAnsi="Century Gothic" w:cstheme="minorHAnsi"/>
          <w:sz w:val="20"/>
          <w:szCs w:val="21"/>
        </w:rPr>
        <w:t xml:space="preserve">is expected </w:t>
      </w:r>
      <w:r w:rsidR="00BA2DE3" w:rsidRPr="00FA5A55">
        <w:rPr>
          <w:rFonts w:ascii="Century Gothic" w:hAnsi="Century Gothic" w:cstheme="minorHAnsi"/>
          <w:sz w:val="20"/>
          <w:szCs w:val="21"/>
        </w:rPr>
        <w:t>to take place before 2025.</w:t>
      </w:r>
      <w:r w:rsidR="00140C88" w:rsidRPr="00FA5A55">
        <w:rPr>
          <w:rFonts w:ascii="Century Gothic" w:hAnsi="Century Gothic" w:cstheme="minorHAnsi"/>
          <w:sz w:val="20"/>
          <w:szCs w:val="21"/>
        </w:rPr>
        <w:t xml:space="preserve"> This is promoted by Norway’s airport operator </w:t>
      </w:r>
      <w:proofErr w:type="spellStart"/>
      <w:r w:rsidR="00140C88" w:rsidRPr="00FA5A55">
        <w:rPr>
          <w:rFonts w:ascii="Century Gothic" w:hAnsi="Century Gothic" w:cstheme="minorHAnsi"/>
          <w:sz w:val="20"/>
          <w:szCs w:val="21"/>
        </w:rPr>
        <w:t>Avinor</w:t>
      </w:r>
      <w:proofErr w:type="spellEnd"/>
      <w:r w:rsidR="00140C88" w:rsidRPr="00FA5A55">
        <w:rPr>
          <w:rFonts w:ascii="Century Gothic" w:hAnsi="Century Gothic" w:cstheme="minorHAnsi"/>
          <w:sz w:val="20"/>
          <w:szCs w:val="21"/>
        </w:rPr>
        <w:t xml:space="preserve">, </w:t>
      </w:r>
      <w:r w:rsidR="00F02C3B" w:rsidRPr="00FA5A55">
        <w:rPr>
          <w:rFonts w:ascii="Century Gothic" w:hAnsi="Century Gothic" w:cstheme="minorHAnsi"/>
          <w:sz w:val="20"/>
          <w:szCs w:val="21"/>
        </w:rPr>
        <w:t xml:space="preserve">which is tasked by the government to find ways to achieve strong decarbonisation in the aviation sector. Norwegian airlines such as </w:t>
      </w:r>
      <w:proofErr w:type="spellStart"/>
      <w:r w:rsidR="00F02C3B" w:rsidRPr="00FA5A55">
        <w:rPr>
          <w:rFonts w:ascii="Century Gothic" w:hAnsi="Century Gothic" w:cstheme="minorHAnsi"/>
          <w:sz w:val="20"/>
          <w:szCs w:val="21"/>
        </w:rPr>
        <w:t>Wideroe</w:t>
      </w:r>
      <w:proofErr w:type="spellEnd"/>
      <w:r w:rsidR="00F02C3B" w:rsidRPr="00FA5A55">
        <w:rPr>
          <w:rFonts w:ascii="Century Gothic" w:hAnsi="Century Gothic" w:cstheme="minorHAnsi"/>
          <w:sz w:val="20"/>
          <w:szCs w:val="21"/>
        </w:rPr>
        <w:t xml:space="preserve"> have bought into this and expect to replace their ag</w:t>
      </w:r>
      <w:r w:rsidR="00A4418A" w:rsidRPr="00FA5A55">
        <w:rPr>
          <w:rFonts w:ascii="Century Gothic" w:hAnsi="Century Gothic" w:cstheme="minorHAnsi"/>
          <w:sz w:val="20"/>
          <w:szCs w:val="21"/>
        </w:rPr>
        <w:t>e</w:t>
      </w:r>
      <w:r w:rsidR="00F02C3B" w:rsidRPr="00FA5A55">
        <w:rPr>
          <w:rFonts w:ascii="Century Gothic" w:hAnsi="Century Gothic" w:cstheme="minorHAnsi"/>
          <w:sz w:val="20"/>
          <w:szCs w:val="21"/>
        </w:rPr>
        <w:t>ing fleets with low-emission, electrified aircraft</w:t>
      </w:r>
      <w:r w:rsidR="00A4418A" w:rsidRPr="00FA5A55">
        <w:rPr>
          <w:rFonts w:ascii="Century Gothic" w:hAnsi="Century Gothic" w:cstheme="minorHAnsi"/>
          <w:sz w:val="20"/>
          <w:szCs w:val="21"/>
        </w:rPr>
        <w:t>s</w:t>
      </w:r>
      <w:r w:rsidR="00F02C3B" w:rsidRPr="00FA5A55">
        <w:rPr>
          <w:rFonts w:ascii="Century Gothic" w:hAnsi="Century Gothic" w:cstheme="minorHAnsi"/>
          <w:sz w:val="20"/>
          <w:szCs w:val="21"/>
        </w:rPr>
        <w:t>.</w:t>
      </w:r>
      <w:r w:rsidR="00C00124" w:rsidRPr="00FA5A55">
        <w:rPr>
          <w:rFonts w:ascii="Century Gothic" w:hAnsi="Century Gothic" w:cstheme="minorHAnsi"/>
          <w:sz w:val="20"/>
          <w:szCs w:val="21"/>
        </w:rPr>
        <w:t xml:space="preserve"> Similarly, Hawaiian operator Mokulele airlines or Canadian operator Harbour Air expect to commercially operate electric aircraft</w:t>
      </w:r>
      <w:r w:rsidR="00A4418A" w:rsidRPr="00FA5A55">
        <w:rPr>
          <w:rFonts w:ascii="Century Gothic" w:hAnsi="Century Gothic" w:cstheme="minorHAnsi"/>
          <w:sz w:val="20"/>
          <w:szCs w:val="21"/>
        </w:rPr>
        <w:t>s</w:t>
      </w:r>
      <w:r w:rsidR="00C00124" w:rsidRPr="00FA5A55">
        <w:rPr>
          <w:rFonts w:ascii="Century Gothic" w:hAnsi="Century Gothic" w:cstheme="minorHAnsi"/>
          <w:sz w:val="20"/>
          <w:szCs w:val="21"/>
        </w:rPr>
        <w:t xml:space="preserve"> within the next few years.</w:t>
      </w:r>
    </w:p>
    <w:p w14:paraId="53D202DE" w14:textId="77777777" w:rsidR="00D02508" w:rsidRPr="00D02508" w:rsidRDefault="00D02508" w:rsidP="00D02508">
      <w:pPr>
        <w:spacing w:after="120"/>
        <w:rPr>
          <w:rFonts w:ascii="Century Gothic" w:hAnsi="Century Gothic" w:cstheme="minorHAnsi"/>
          <w:sz w:val="20"/>
          <w:szCs w:val="21"/>
        </w:rPr>
      </w:pPr>
    </w:p>
    <w:p w14:paraId="32A3BF0A" w14:textId="6459855F" w:rsidR="002162F1" w:rsidRPr="00042C01" w:rsidRDefault="002028F6" w:rsidP="00D22497">
      <w:pPr>
        <w:pStyle w:val="paragraph"/>
        <w:numPr>
          <w:ilvl w:val="0"/>
          <w:numId w:val="1"/>
        </w:numPr>
        <w:spacing w:before="0" w:beforeAutospacing="0" w:after="120" w:afterAutospacing="0" w:line="259" w:lineRule="auto"/>
        <w:ind w:left="420" w:hanging="420"/>
        <w:textAlignment w:val="baseline"/>
        <w:rPr>
          <w:rStyle w:val="normaltextrun"/>
          <w:rFonts w:ascii="Century Gothic" w:hAnsi="Century Gothic" w:cs="Arial"/>
          <w:b/>
          <w:bCs/>
          <w:color w:val="002060"/>
          <w:sz w:val="22"/>
          <w:szCs w:val="22"/>
        </w:rPr>
      </w:pPr>
      <w:r w:rsidRPr="00042C01">
        <w:rPr>
          <w:rStyle w:val="normaltextrun"/>
          <w:rFonts w:ascii="Century Gothic" w:hAnsi="Century Gothic" w:cs="Arial"/>
          <w:b/>
          <w:bCs/>
          <w:color w:val="002060"/>
          <w:sz w:val="22"/>
          <w:szCs w:val="22"/>
        </w:rPr>
        <w:t xml:space="preserve">RECONFIGURATION: </w:t>
      </w:r>
      <w:r w:rsidR="0041150C" w:rsidRPr="00042C01">
        <w:rPr>
          <w:rStyle w:val="normaltextrun"/>
          <w:rFonts w:ascii="Century Gothic" w:hAnsi="Century Gothic" w:cs="Arial"/>
          <w:b/>
          <w:bCs/>
          <w:color w:val="002060"/>
          <w:sz w:val="22"/>
          <w:szCs w:val="22"/>
        </w:rPr>
        <w:t>W</w:t>
      </w:r>
      <w:r w:rsidR="002162F1" w:rsidRPr="00042C01">
        <w:rPr>
          <w:rStyle w:val="normaltextrun"/>
          <w:rFonts w:ascii="Century Gothic" w:hAnsi="Century Gothic" w:cs="Arial"/>
          <w:b/>
          <w:bCs/>
          <w:color w:val="002060"/>
          <w:sz w:val="22"/>
          <w:szCs w:val="22"/>
        </w:rPr>
        <w:t>hat actions could be taken and by whom</w:t>
      </w:r>
      <w:r w:rsidR="000E0B36" w:rsidRPr="00042C01">
        <w:rPr>
          <w:rStyle w:val="normaltextrun"/>
          <w:rFonts w:ascii="Century Gothic" w:hAnsi="Century Gothic" w:cs="Arial"/>
          <w:b/>
          <w:bCs/>
          <w:color w:val="002060"/>
          <w:sz w:val="22"/>
          <w:szCs w:val="22"/>
        </w:rPr>
        <w:t>?</w:t>
      </w:r>
    </w:p>
    <w:p w14:paraId="595E670D" w14:textId="7AFEB81D" w:rsidR="00711BD5" w:rsidRDefault="00CE5B3A" w:rsidP="00D22497">
      <w:pPr>
        <w:pStyle w:val="paragraph"/>
        <w:spacing w:before="0" w:beforeAutospacing="0" w:after="120" w:afterAutospacing="0" w:line="259" w:lineRule="auto"/>
        <w:ind w:left="426"/>
        <w:textAlignment w:val="baseline"/>
        <w:rPr>
          <w:rStyle w:val="normaltextrun"/>
          <w:rFonts w:ascii="Century Gothic" w:hAnsi="Century Gothic" w:cs="Arial"/>
          <w:i/>
          <w:iCs/>
          <w:color w:val="002060"/>
          <w:sz w:val="22"/>
          <w:szCs w:val="22"/>
        </w:rPr>
      </w:pPr>
      <w:r w:rsidRPr="0008498A">
        <w:rPr>
          <w:rStyle w:val="normaltextrun"/>
          <w:rFonts w:ascii="Century Gothic" w:hAnsi="Century Gothic" w:cs="Arial"/>
          <w:i/>
          <w:iCs/>
          <w:color w:val="002060"/>
          <w:sz w:val="22"/>
          <w:szCs w:val="22"/>
        </w:rPr>
        <w:t xml:space="preserve">In the short term, </w:t>
      </w:r>
      <w:r w:rsidR="00212D55">
        <w:rPr>
          <w:rStyle w:val="normaltextrun"/>
          <w:rFonts w:ascii="Century Gothic" w:hAnsi="Century Gothic" w:cs="Arial"/>
          <w:i/>
          <w:iCs/>
          <w:color w:val="002060"/>
          <w:sz w:val="22"/>
          <w:szCs w:val="22"/>
        </w:rPr>
        <w:t>4</w:t>
      </w:r>
      <w:r w:rsidRPr="0008498A">
        <w:rPr>
          <w:rStyle w:val="normaltextrun"/>
          <w:rFonts w:ascii="Century Gothic" w:hAnsi="Century Gothic" w:cs="Arial"/>
          <w:i/>
          <w:iCs/>
          <w:color w:val="002060"/>
          <w:sz w:val="22"/>
          <w:szCs w:val="22"/>
        </w:rPr>
        <w:t xml:space="preserve"> major </w:t>
      </w:r>
      <w:r w:rsidR="00863A77" w:rsidRPr="0008498A">
        <w:rPr>
          <w:rStyle w:val="normaltextrun"/>
          <w:rFonts w:ascii="Century Gothic" w:hAnsi="Century Gothic" w:cs="Arial"/>
          <w:i/>
          <w:iCs/>
          <w:color w:val="002060"/>
          <w:sz w:val="22"/>
          <w:szCs w:val="22"/>
        </w:rPr>
        <w:t xml:space="preserve">types of action could be pursued to unlock </w:t>
      </w:r>
      <w:r w:rsidR="000D06A6">
        <w:rPr>
          <w:rStyle w:val="normaltextrun"/>
          <w:rFonts w:ascii="Century Gothic" w:hAnsi="Century Gothic" w:cs="Arial"/>
          <w:i/>
          <w:iCs/>
          <w:color w:val="002060"/>
          <w:sz w:val="22"/>
          <w:szCs w:val="22"/>
        </w:rPr>
        <w:t>low-carbon</w:t>
      </w:r>
      <w:r w:rsidR="00DF0DBE" w:rsidRPr="0008498A">
        <w:rPr>
          <w:rStyle w:val="normaltextrun"/>
          <w:rFonts w:ascii="Century Gothic" w:hAnsi="Century Gothic" w:cs="Arial"/>
          <w:i/>
          <w:iCs/>
          <w:color w:val="002060"/>
          <w:sz w:val="22"/>
          <w:szCs w:val="22"/>
        </w:rPr>
        <w:t xml:space="preserve"> aviation</w:t>
      </w:r>
      <w:r w:rsidR="00863A77" w:rsidRPr="0008498A">
        <w:rPr>
          <w:rStyle w:val="normaltextrun"/>
          <w:rFonts w:ascii="Century Gothic" w:hAnsi="Century Gothic" w:cs="Arial"/>
          <w:i/>
          <w:iCs/>
          <w:color w:val="002060"/>
          <w:sz w:val="22"/>
          <w:szCs w:val="22"/>
        </w:rPr>
        <w:t xml:space="preserve">: (i) </w:t>
      </w:r>
      <w:r w:rsidR="00D4336B">
        <w:rPr>
          <w:rStyle w:val="normaltextrun"/>
          <w:rFonts w:ascii="Century Gothic" w:hAnsi="Century Gothic" w:cs="Arial"/>
          <w:i/>
          <w:iCs/>
          <w:color w:val="002060"/>
          <w:sz w:val="22"/>
          <w:szCs w:val="22"/>
        </w:rPr>
        <w:t>a</w:t>
      </w:r>
      <w:r w:rsidR="005C1DD7" w:rsidRPr="0008498A">
        <w:rPr>
          <w:rStyle w:val="normaltextrun"/>
          <w:rFonts w:ascii="Century Gothic" w:hAnsi="Century Gothic" w:cs="Arial"/>
          <w:i/>
          <w:iCs/>
          <w:color w:val="002060"/>
          <w:sz w:val="22"/>
          <w:szCs w:val="22"/>
        </w:rPr>
        <w:t xml:space="preserve"> “green buyers’ alliance</w:t>
      </w:r>
      <w:r w:rsidR="00D4336B">
        <w:rPr>
          <w:rStyle w:val="normaltextrun"/>
          <w:rFonts w:ascii="Century Gothic" w:hAnsi="Century Gothic" w:cs="Arial"/>
          <w:i/>
          <w:iCs/>
          <w:color w:val="002060"/>
          <w:sz w:val="22"/>
          <w:szCs w:val="22"/>
        </w:rPr>
        <w:t>” for aviation</w:t>
      </w:r>
      <w:r w:rsidR="000573F1" w:rsidRPr="0008498A">
        <w:rPr>
          <w:rStyle w:val="normaltextrun"/>
          <w:rFonts w:ascii="Century Gothic" w:hAnsi="Century Gothic" w:cs="Arial"/>
          <w:i/>
          <w:iCs/>
          <w:color w:val="002060"/>
          <w:sz w:val="22"/>
          <w:szCs w:val="22"/>
        </w:rPr>
        <w:t>,</w:t>
      </w:r>
      <w:r w:rsidR="002D0474" w:rsidRPr="0008498A">
        <w:rPr>
          <w:rStyle w:val="normaltextrun"/>
          <w:rFonts w:ascii="Century Gothic" w:hAnsi="Century Gothic" w:cs="Arial"/>
          <w:i/>
          <w:iCs/>
          <w:color w:val="002060"/>
          <w:sz w:val="22"/>
          <w:szCs w:val="22"/>
        </w:rPr>
        <w:t xml:space="preserve"> (i</w:t>
      </w:r>
      <w:r w:rsidR="00863A77" w:rsidRPr="0008498A">
        <w:rPr>
          <w:rStyle w:val="normaltextrun"/>
          <w:rFonts w:ascii="Century Gothic" w:hAnsi="Century Gothic" w:cs="Arial"/>
          <w:i/>
          <w:iCs/>
          <w:color w:val="002060"/>
          <w:sz w:val="22"/>
          <w:szCs w:val="22"/>
        </w:rPr>
        <w:t>i</w:t>
      </w:r>
      <w:r w:rsidR="002D0474" w:rsidRPr="0008498A">
        <w:rPr>
          <w:rStyle w:val="normaltextrun"/>
          <w:rFonts w:ascii="Century Gothic" w:hAnsi="Century Gothic" w:cs="Arial"/>
          <w:i/>
          <w:iCs/>
          <w:color w:val="002060"/>
          <w:sz w:val="22"/>
          <w:szCs w:val="22"/>
        </w:rPr>
        <w:t xml:space="preserve">) </w:t>
      </w:r>
      <w:r w:rsidR="000573F1" w:rsidRPr="0008498A">
        <w:rPr>
          <w:rStyle w:val="normaltextrun"/>
          <w:rFonts w:ascii="Century Gothic" w:hAnsi="Century Gothic" w:cs="Arial"/>
          <w:i/>
          <w:iCs/>
          <w:color w:val="002060"/>
          <w:sz w:val="22"/>
          <w:szCs w:val="22"/>
        </w:rPr>
        <w:t>government</w:t>
      </w:r>
      <w:r w:rsidR="00D4336B">
        <w:rPr>
          <w:rStyle w:val="normaltextrun"/>
          <w:rFonts w:ascii="Century Gothic" w:hAnsi="Century Gothic" w:cs="Arial"/>
          <w:i/>
          <w:iCs/>
          <w:color w:val="002060"/>
          <w:sz w:val="22"/>
          <w:szCs w:val="22"/>
        </w:rPr>
        <w:t>/airport</w:t>
      </w:r>
      <w:r w:rsidR="000573F1" w:rsidRPr="0008498A">
        <w:rPr>
          <w:rStyle w:val="normaltextrun"/>
          <w:rFonts w:ascii="Century Gothic" w:hAnsi="Century Gothic" w:cs="Arial"/>
          <w:i/>
          <w:iCs/>
          <w:color w:val="002060"/>
          <w:sz w:val="22"/>
          <w:szCs w:val="22"/>
        </w:rPr>
        <w:t xml:space="preserve"> mandated blends of </w:t>
      </w:r>
      <w:r w:rsidR="00D4336B">
        <w:rPr>
          <w:rStyle w:val="normaltextrun"/>
          <w:rFonts w:ascii="Century Gothic" w:hAnsi="Century Gothic" w:cs="Arial"/>
          <w:i/>
          <w:iCs/>
          <w:color w:val="002060"/>
          <w:sz w:val="22"/>
          <w:szCs w:val="22"/>
        </w:rPr>
        <w:t>SAF</w:t>
      </w:r>
      <w:r w:rsidR="00863A77" w:rsidRPr="0008498A">
        <w:rPr>
          <w:rStyle w:val="normaltextrun"/>
          <w:rFonts w:ascii="Century Gothic" w:hAnsi="Century Gothic" w:cs="Arial"/>
          <w:i/>
          <w:iCs/>
          <w:color w:val="002060"/>
          <w:sz w:val="22"/>
          <w:szCs w:val="22"/>
        </w:rPr>
        <w:t>, (i</w:t>
      </w:r>
      <w:r w:rsidR="00D4336B">
        <w:rPr>
          <w:rStyle w:val="normaltextrun"/>
          <w:rFonts w:ascii="Century Gothic" w:hAnsi="Century Gothic" w:cs="Arial"/>
          <w:i/>
          <w:iCs/>
          <w:color w:val="002060"/>
          <w:sz w:val="22"/>
          <w:szCs w:val="22"/>
        </w:rPr>
        <w:t>ii</w:t>
      </w:r>
      <w:r w:rsidR="00863A77" w:rsidRPr="0008498A">
        <w:rPr>
          <w:rStyle w:val="normaltextrun"/>
          <w:rFonts w:ascii="Century Gothic" w:hAnsi="Century Gothic" w:cs="Arial"/>
          <w:i/>
          <w:iCs/>
          <w:color w:val="002060"/>
          <w:sz w:val="22"/>
          <w:szCs w:val="22"/>
        </w:rPr>
        <w:t>)</w:t>
      </w:r>
      <w:r w:rsidR="00212D55">
        <w:rPr>
          <w:rStyle w:val="normaltextrun"/>
          <w:rFonts w:ascii="Century Gothic" w:hAnsi="Century Gothic" w:cs="Arial"/>
          <w:i/>
          <w:iCs/>
          <w:color w:val="002060"/>
          <w:sz w:val="22"/>
          <w:szCs w:val="22"/>
        </w:rPr>
        <w:t xml:space="preserve"> government/airport mandated taxes on high-carbon aviation, (iv) </w:t>
      </w:r>
      <w:r w:rsidR="004A18EE" w:rsidRPr="0008498A">
        <w:rPr>
          <w:rStyle w:val="normaltextrun"/>
          <w:rFonts w:ascii="Century Gothic" w:hAnsi="Century Gothic" w:cs="Arial"/>
          <w:i/>
          <w:iCs/>
          <w:color w:val="002060"/>
          <w:sz w:val="22"/>
          <w:szCs w:val="22"/>
        </w:rPr>
        <w:t>infrastructure and R&amp;D support for electrified aviation</w:t>
      </w:r>
      <w:r w:rsidR="00863A77" w:rsidRPr="0008498A">
        <w:rPr>
          <w:rStyle w:val="normaltextrun"/>
          <w:rFonts w:ascii="Century Gothic" w:hAnsi="Century Gothic" w:cs="Arial"/>
          <w:i/>
          <w:iCs/>
          <w:color w:val="002060"/>
          <w:sz w:val="22"/>
          <w:szCs w:val="22"/>
        </w:rPr>
        <w:t xml:space="preserve">. </w:t>
      </w:r>
      <w:r w:rsidR="00863A77" w:rsidRPr="00212D55">
        <w:rPr>
          <w:rStyle w:val="normaltextrun"/>
          <w:rFonts w:ascii="Century Gothic" w:hAnsi="Century Gothic" w:cs="Arial"/>
          <w:i/>
          <w:iCs/>
          <w:color w:val="002060"/>
          <w:sz w:val="22"/>
          <w:szCs w:val="22"/>
        </w:rPr>
        <w:t xml:space="preserve">In the longer term, </w:t>
      </w:r>
      <w:r w:rsidR="00212D55">
        <w:rPr>
          <w:rStyle w:val="normaltextrun"/>
          <w:rFonts w:ascii="Century Gothic" w:hAnsi="Century Gothic" w:cs="Arial"/>
          <w:i/>
          <w:iCs/>
          <w:color w:val="002060"/>
          <w:sz w:val="22"/>
          <w:szCs w:val="22"/>
        </w:rPr>
        <w:t xml:space="preserve">a renewed </w:t>
      </w:r>
      <w:r w:rsidR="00212D55" w:rsidRPr="0008498A">
        <w:rPr>
          <w:rStyle w:val="normaltextrun"/>
          <w:rFonts w:ascii="Century Gothic" w:hAnsi="Century Gothic" w:cs="Arial"/>
          <w:i/>
          <w:iCs/>
          <w:color w:val="002060"/>
          <w:sz w:val="22"/>
          <w:szCs w:val="22"/>
        </w:rPr>
        <w:t>ICAO commitment to net-zero by 2050</w:t>
      </w:r>
      <w:r w:rsidR="00212D55">
        <w:rPr>
          <w:rStyle w:val="normaltextrun"/>
          <w:rFonts w:ascii="Century Gothic" w:hAnsi="Century Gothic" w:cs="Arial"/>
          <w:i/>
          <w:iCs/>
          <w:color w:val="002060"/>
          <w:sz w:val="22"/>
          <w:szCs w:val="22"/>
        </w:rPr>
        <w:t xml:space="preserve"> (instead of </w:t>
      </w:r>
      <w:r w:rsidR="00B332B7">
        <w:rPr>
          <w:rStyle w:val="normaltextrun"/>
          <w:rFonts w:ascii="Century Gothic" w:hAnsi="Century Gothic" w:cs="Arial"/>
          <w:i/>
          <w:iCs/>
          <w:color w:val="002060"/>
          <w:sz w:val="22"/>
          <w:szCs w:val="22"/>
        </w:rPr>
        <w:t xml:space="preserve">-50%) combined with </w:t>
      </w:r>
      <w:r w:rsidR="00863A77" w:rsidRPr="00212D55">
        <w:rPr>
          <w:rStyle w:val="normaltextrun"/>
          <w:rFonts w:ascii="Century Gothic" w:hAnsi="Century Gothic" w:cs="Arial"/>
          <w:i/>
          <w:iCs/>
          <w:color w:val="002060"/>
          <w:sz w:val="22"/>
          <w:szCs w:val="22"/>
        </w:rPr>
        <w:t xml:space="preserve">some form of </w:t>
      </w:r>
      <w:r w:rsidR="00B332B7">
        <w:rPr>
          <w:rStyle w:val="normaltextrun"/>
          <w:rFonts w:ascii="Century Gothic" w:hAnsi="Century Gothic" w:cs="Arial"/>
          <w:i/>
          <w:iCs/>
          <w:color w:val="002060"/>
          <w:sz w:val="22"/>
          <w:szCs w:val="22"/>
        </w:rPr>
        <w:t xml:space="preserve">international </w:t>
      </w:r>
      <w:r w:rsidR="00863A77" w:rsidRPr="00212D55">
        <w:rPr>
          <w:rStyle w:val="normaltextrun"/>
          <w:rFonts w:ascii="Century Gothic" w:hAnsi="Century Gothic" w:cs="Arial"/>
          <w:i/>
          <w:iCs/>
          <w:color w:val="002060"/>
          <w:sz w:val="22"/>
          <w:szCs w:val="22"/>
        </w:rPr>
        <w:t xml:space="preserve">carbon pricing or emissions standard on </w:t>
      </w:r>
      <w:r w:rsidR="004A18EE" w:rsidRPr="00212D55">
        <w:rPr>
          <w:rStyle w:val="normaltextrun"/>
          <w:rFonts w:ascii="Century Gothic" w:hAnsi="Century Gothic" w:cs="Arial"/>
          <w:i/>
          <w:iCs/>
          <w:color w:val="002060"/>
          <w:sz w:val="22"/>
          <w:szCs w:val="22"/>
        </w:rPr>
        <w:t>aviation</w:t>
      </w:r>
      <w:r w:rsidR="00863A77" w:rsidRPr="00212D55">
        <w:rPr>
          <w:rStyle w:val="normaltextrun"/>
          <w:rFonts w:ascii="Century Gothic" w:hAnsi="Century Gothic" w:cs="Arial"/>
          <w:i/>
          <w:iCs/>
          <w:color w:val="002060"/>
          <w:sz w:val="22"/>
          <w:szCs w:val="22"/>
        </w:rPr>
        <w:t xml:space="preserve"> will be essential to </w:t>
      </w:r>
      <w:r w:rsidR="00B332B7">
        <w:rPr>
          <w:rStyle w:val="normaltextrun"/>
          <w:rFonts w:ascii="Century Gothic" w:hAnsi="Century Gothic" w:cs="Arial"/>
          <w:i/>
          <w:iCs/>
          <w:color w:val="002060"/>
          <w:sz w:val="22"/>
          <w:szCs w:val="22"/>
        </w:rPr>
        <w:t>drive full decarbonisation.</w:t>
      </w:r>
    </w:p>
    <w:p w14:paraId="055672C3" w14:textId="2EA05F38" w:rsidR="002B4D31" w:rsidRDefault="002B4D31" w:rsidP="002B4D31">
      <w:pPr>
        <w:pStyle w:val="ListParagraph"/>
        <w:numPr>
          <w:ilvl w:val="1"/>
          <w:numId w:val="1"/>
        </w:numPr>
        <w:spacing w:after="120"/>
        <w:ind w:left="426"/>
        <w:contextualSpacing w:val="0"/>
        <w:rPr>
          <w:rFonts w:ascii="Century Gothic" w:hAnsi="Century Gothic" w:cstheme="minorHAnsi"/>
          <w:sz w:val="20"/>
          <w:szCs w:val="21"/>
        </w:rPr>
      </w:pPr>
      <w:r>
        <w:rPr>
          <w:rFonts w:ascii="Century Gothic" w:hAnsi="Century Gothic" w:cstheme="minorHAnsi"/>
          <w:sz w:val="20"/>
          <w:szCs w:val="21"/>
        </w:rPr>
        <w:t>To establish early demand for sustainable aviation fuels will require (</w:t>
      </w:r>
      <w:proofErr w:type="spellStart"/>
      <w:r>
        <w:rPr>
          <w:rFonts w:ascii="Century Gothic" w:hAnsi="Century Gothic" w:cstheme="minorHAnsi"/>
          <w:sz w:val="20"/>
          <w:szCs w:val="21"/>
        </w:rPr>
        <w:t>i</w:t>
      </w:r>
      <w:proofErr w:type="spellEnd"/>
      <w:r>
        <w:rPr>
          <w:rFonts w:ascii="Century Gothic" w:hAnsi="Century Gothic" w:cstheme="minorHAnsi"/>
          <w:sz w:val="20"/>
          <w:szCs w:val="21"/>
        </w:rPr>
        <w:t>) the definition of a clearly differentiated “green flight” offer</w:t>
      </w:r>
      <w:r w:rsidR="001B43CD">
        <w:rPr>
          <w:rFonts w:ascii="Century Gothic" w:hAnsi="Century Gothic" w:cstheme="minorHAnsi"/>
          <w:sz w:val="20"/>
          <w:szCs w:val="21"/>
        </w:rPr>
        <w:t xml:space="preserve"> (with a labelling system defining what constitutes a green flight or not) and (ii) upfront </w:t>
      </w:r>
      <w:r>
        <w:rPr>
          <w:rFonts w:ascii="Century Gothic" w:hAnsi="Century Gothic" w:cstheme="minorHAnsi"/>
          <w:sz w:val="20"/>
          <w:szCs w:val="21"/>
        </w:rPr>
        <w:t>commitment</w:t>
      </w:r>
      <w:r w:rsidR="001B43CD">
        <w:rPr>
          <w:rFonts w:ascii="Century Gothic" w:hAnsi="Century Gothic" w:cstheme="minorHAnsi"/>
          <w:sz w:val="20"/>
          <w:szCs w:val="21"/>
        </w:rPr>
        <w:t>s</w:t>
      </w:r>
      <w:r>
        <w:rPr>
          <w:rFonts w:ascii="Century Gothic" w:hAnsi="Century Gothic" w:cstheme="minorHAnsi"/>
          <w:sz w:val="20"/>
          <w:szCs w:val="21"/>
        </w:rPr>
        <w:t xml:space="preserve"> </w:t>
      </w:r>
      <w:r w:rsidR="001B43CD">
        <w:rPr>
          <w:rFonts w:ascii="Century Gothic" w:hAnsi="Century Gothic" w:cstheme="minorHAnsi"/>
          <w:sz w:val="20"/>
          <w:szCs w:val="21"/>
        </w:rPr>
        <w:t>for the offtake of this “green flight” offer, not only at airline level, but at end-consumer level. As discussed in point 5.2, this is most likely to initially come from a voluntary coalition of corporate buyers</w:t>
      </w:r>
      <w:r w:rsidR="00725E88">
        <w:rPr>
          <w:rFonts w:ascii="Century Gothic" w:hAnsi="Century Gothic" w:cstheme="minorHAnsi"/>
          <w:sz w:val="20"/>
          <w:szCs w:val="21"/>
        </w:rPr>
        <w:t>, which could for instance include major professional services firms.</w:t>
      </w:r>
    </w:p>
    <w:p w14:paraId="4D024602" w14:textId="691A1A4E" w:rsidR="005E3368" w:rsidRDefault="005E3368" w:rsidP="005E3368">
      <w:pPr>
        <w:pStyle w:val="ListParagraph"/>
        <w:numPr>
          <w:ilvl w:val="1"/>
          <w:numId w:val="1"/>
        </w:numPr>
        <w:spacing w:after="120"/>
        <w:ind w:left="426"/>
        <w:contextualSpacing w:val="0"/>
        <w:rPr>
          <w:rFonts w:ascii="Century Gothic" w:hAnsi="Century Gothic" w:cstheme="minorHAnsi"/>
          <w:sz w:val="20"/>
          <w:szCs w:val="21"/>
        </w:rPr>
      </w:pPr>
      <w:r>
        <w:rPr>
          <w:rFonts w:ascii="Century Gothic" w:hAnsi="Century Gothic" w:cstheme="minorHAnsi"/>
          <w:sz w:val="20"/>
          <w:szCs w:val="21"/>
        </w:rPr>
        <w:t xml:space="preserve">As described in point 5.3, new obligations could be put in place on a regional scale, either in the form of fuel mandates with increasing mandated SAF blends or in the form of increased airports taxes for non-compliant airlines. These could be put in place by airlines or governments, </w:t>
      </w:r>
      <w:proofErr w:type="gramStart"/>
      <w:r>
        <w:rPr>
          <w:rFonts w:ascii="Century Gothic" w:hAnsi="Century Gothic" w:cstheme="minorHAnsi"/>
          <w:sz w:val="20"/>
          <w:szCs w:val="21"/>
        </w:rPr>
        <w:t>taking into account</w:t>
      </w:r>
      <w:proofErr w:type="gramEnd"/>
      <w:r>
        <w:rPr>
          <w:rFonts w:ascii="Century Gothic" w:hAnsi="Century Gothic" w:cstheme="minorHAnsi"/>
          <w:sz w:val="20"/>
          <w:szCs w:val="21"/>
        </w:rPr>
        <w:t xml:space="preserve"> the need to differentiate intra-zone and extra-zone </w:t>
      </w:r>
      <w:r>
        <w:rPr>
          <w:rFonts w:ascii="Century Gothic" w:hAnsi="Century Gothic" w:cstheme="minorHAnsi"/>
          <w:sz w:val="20"/>
          <w:szCs w:val="21"/>
        </w:rPr>
        <w:t>flights (although this distinction might sometimes be imperfect).</w:t>
      </w:r>
    </w:p>
    <w:p w14:paraId="297018F3" w14:textId="74DBDC3D" w:rsidR="00A37586" w:rsidRDefault="00A37586" w:rsidP="000C31C9">
      <w:pPr>
        <w:pStyle w:val="ListParagraph"/>
        <w:numPr>
          <w:ilvl w:val="1"/>
          <w:numId w:val="1"/>
        </w:numPr>
        <w:spacing w:after="120"/>
        <w:ind w:left="426"/>
        <w:contextualSpacing w:val="0"/>
        <w:rPr>
          <w:rFonts w:ascii="Century Gothic" w:hAnsi="Century Gothic" w:cstheme="minorHAnsi"/>
          <w:sz w:val="20"/>
          <w:szCs w:val="21"/>
        </w:rPr>
      </w:pPr>
      <w:r>
        <w:rPr>
          <w:rFonts w:ascii="Century Gothic" w:hAnsi="Century Gothic" w:cstheme="minorHAnsi"/>
          <w:sz w:val="20"/>
          <w:szCs w:val="21"/>
        </w:rPr>
        <w:t>Examples of flight taxes already exist in certain European countries such as Germany, Sweden, or, most recently, the Netherlands and France</w:t>
      </w:r>
      <w:r>
        <w:rPr>
          <w:rStyle w:val="FootnoteReference"/>
          <w:rFonts w:ascii="Century Gothic" w:hAnsi="Century Gothic" w:cstheme="minorHAnsi"/>
          <w:sz w:val="20"/>
          <w:szCs w:val="21"/>
        </w:rPr>
        <w:footnoteReference w:id="28"/>
      </w:r>
      <w:r>
        <w:rPr>
          <w:rFonts w:ascii="Century Gothic" w:hAnsi="Century Gothic" w:cstheme="minorHAnsi"/>
          <w:sz w:val="20"/>
          <w:szCs w:val="21"/>
        </w:rPr>
        <w:t>. The taxes are usually per passenger departing an airport in the specific country, ranging from</w:t>
      </w:r>
      <w:r w:rsidR="00DF5A37">
        <w:rPr>
          <w:rFonts w:ascii="Century Gothic" w:hAnsi="Century Gothic" w:cstheme="minorHAnsi"/>
          <w:sz w:val="20"/>
          <w:szCs w:val="21"/>
        </w:rPr>
        <w:t xml:space="preserve"> a symbolic</w:t>
      </w:r>
      <w:r>
        <w:rPr>
          <w:rFonts w:ascii="Century Gothic" w:hAnsi="Century Gothic" w:cstheme="minorHAnsi"/>
          <w:sz w:val="20"/>
          <w:szCs w:val="21"/>
        </w:rPr>
        <w:t xml:space="preserve"> 1.5 EUR for trips within the EU from French airports to</w:t>
      </w:r>
      <w:r w:rsidR="000C31C9">
        <w:rPr>
          <w:rFonts w:ascii="Century Gothic" w:hAnsi="Century Gothic" w:cstheme="minorHAnsi"/>
          <w:sz w:val="20"/>
          <w:szCs w:val="21"/>
        </w:rPr>
        <w:t xml:space="preserve"> a more significant</w:t>
      </w:r>
      <w:r>
        <w:rPr>
          <w:rFonts w:ascii="Century Gothic" w:hAnsi="Century Gothic" w:cstheme="minorHAnsi"/>
          <w:sz w:val="20"/>
          <w:szCs w:val="21"/>
        </w:rPr>
        <w:t xml:space="preserve"> 42 EUR for trips longer than 6,000 km from German airports.</w:t>
      </w:r>
      <w:r w:rsidR="00C73F7E">
        <w:rPr>
          <w:rFonts w:ascii="Century Gothic" w:hAnsi="Century Gothic" w:cstheme="minorHAnsi"/>
          <w:sz w:val="20"/>
          <w:szCs w:val="21"/>
        </w:rPr>
        <w:t xml:space="preserve"> These prices, however, are currently too low to </w:t>
      </w:r>
      <w:r w:rsidR="00DF5A37">
        <w:rPr>
          <w:rFonts w:ascii="Century Gothic" w:hAnsi="Century Gothic" w:cstheme="minorHAnsi"/>
          <w:sz w:val="20"/>
          <w:szCs w:val="21"/>
        </w:rPr>
        <w:t>make a fuel switch to SAF economic for airlines</w:t>
      </w:r>
      <w:r w:rsidR="001473CF">
        <w:rPr>
          <w:rFonts w:ascii="Century Gothic" w:hAnsi="Century Gothic" w:cstheme="minorHAnsi"/>
          <w:sz w:val="20"/>
          <w:szCs w:val="21"/>
        </w:rPr>
        <w:t xml:space="preserve">. </w:t>
      </w:r>
      <w:r w:rsidR="00CC02CE">
        <w:rPr>
          <w:rFonts w:ascii="Century Gothic" w:hAnsi="Century Gothic" w:cstheme="minorHAnsi"/>
          <w:sz w:val="20"/>
          <w:szCs w:val="21"/>
        </w:rPr>
        <w:t>A</w:t>
      </w:r>
      <w:r w:rsidR="001473CF">
        <w:rPr>
          <w:rFonts w:ascii="Century Gothic" w:hAnsi="Century Gothic" w:cstheme="minorHAnsi"/>
          <w:sz w:val="20"/>
          <w:szCs w:val="21"/>
        </w:rPr>
        <w:t xml:space="preserve"> </w:t>
      </w:r>
      <w:r w:rsidR="001473CF" w:rsidRPr="001473CF">
        <w:rPr>
          <w:rFonts w:ascii="Century Gothic" w:hAnsi="Century Gothic" w:cstheme="minorHAnsi"/>
          <w:sz w:val="20"/>
          <w:szCs w:val="21"/>
        </w:rPr>
        <w:t>carbon price of ~US$115-230 per tonne of CO2</w:t>
      </w:r>
      <w:r w:rsidR="00CC02CE">
        <w:rPr>
          <w:rFonts w:ascii="Century Gothic" w:hAnsi="Century Gothic" w:cstheme="minorHAnsi"/>
          <w:sz w:val="20"/>
          <w:szCs w:val="21"/>
        </w:rPr>
        <w:t>, which could translate to a similar tax per passenger for long-haul flights</w:t>
      </w:r>
      <w:r w:rsidR="002773F7">
        <w:rPr>
          <w:rFonts w:ascii="Century Gothic" w:hAnsi="Century Gothic" w:cstheme="minorHAnsi"/>
          <w:sz w:val="20"/>
          <w:szCs w:val="21"/>
        </w:rPr>
        <w:t>, could be required to trigger a fuel switch given current cost differential.</w:t>
      </w:r>
    </w:p>
    <w:p w14:paraId="5E3BF8C9" w14:textId="15F4E165" w:rsidR="000C31C9" w:rsidRDefault="000C31C9" w:rsidP="000C31C9">
      <w:pPr>
        <w:pStyle w:val="ListParagraph"/>
        <w:numPr>
          <w:ilvl w:val="1"/>
          <w:numId w:val="1"/>
        </w:numPr>
        <w:spacing w:after="120"/>
        <w:ind w:left="426"/>
        <w:contextualSpacing w:val="0"/>
        <w:rPr>
          <w:rFonts w:ascii="Century Gothic" w:hAnsi="Century Gothic" w:cstheme="minorHAnsi"/>
          <w:sz w:val="20"/>
          <w:szCs w:val="21"/>
        </w:rPr>
      </w:pPr>
      <w:r>
        <w:rPr>
          <w:rFonts w:ascii="Century Gothic" w:hAnsi="Century Gothic" w:cstheme="minorHAnsi"/>
          <w:sz w:val="20"/>
          <w:szCs w:val="21"/>
        </w:rPr>
        <w:t xml:space="preserve">Meanwhile, </w:t>
      </w:r>
      <w:r>
        <w:rPr>
          <w:rFonts w:ascii="Century Gothic" w:hAnsi="Century Gothic" w:cstheme="minorHAnsi"/>
          <w:sz w:val="20"/>
          <w:szCs w:val="21"/>
        </w:rPr>
        <w:t>electrified aircraft</w:t>
      </w:r>
      <w:r w:rsidR="00CD0625">
        <w:rPr>
          <w:rFonts w:ascii="Century Gothic" w:hAnsi="Century Gothic" w:cstheme="minorHAnsi"/>
          <w:sz w:val="20"/>
          <w:szCs w:val="21"/>
        </w:rPr>
        <w:t>s</w:t>
      </w:r>
      <w:r>
        <w:rPr>
          <w:rFonts w:ascii="Century Gothic" w:hAnsi="Century Gothic" w:cstheme="minorHAnsi"/>
          <w:sz w:val="20"/>
          <w:szCs w:val="21"/>
        </w:rPr>
        <w:t xml:space="preserve"> </w:t>
      </w:r>
      <w:r w:rsidR="00265052">
        <w:rPr>
          <w:rFonts w:ascii="Century Gothic" w:hAnsi="Century Gothic" w:cstheme="minorHAnsi"/>
          <w:sz w:val="20"/>
          <w:szCs w:val="21"/>
        </w:rPr>
        <w:t>producer (</w:t>
      </w:r>
      <w:r w:rsidR="00F617F7">
        <w:rPr>
          <w:rFonts w:ascii="Century Gothic" w:hAnsi="Century Gothic" w:cstheme="minorHAnsi"/>
          <w:sz w:val="20"/>
          <w:szCs w:val="21"/>
        </w:rPr>
        <w:t>which include major airframe manufacturers like</w:t>
      </w:r>
      <w:r w:rsidR="00265052">
        <w:rPr>
          <w:rFonts w:ascii="Century Gothic" w:hAnsi="Century Gothic" w:cstheme="minorHAnsi"/>
          <w:sz w:val="20"/>
          <w:szCs w:val="21"/>
        </w:rPr>
        <w:t xml:space="preserve"> Airbus</w:t>
      </w:r>
      <w:r w:rsidR="00F617F7">
        <w:rPr>
          <w:rFonts w:ascii="Century Gothic" w:hAnsi="Century Gothic" w:cstheme="minorHAnsi"/>
          <w:sz w:val="20"/>
          <w:szCs w:val="21"/>
        </w:rPr>
        <w:t xml:space="preserve"> and </w:t>
      </w:r>
      <w:r w:rsidR="00265052">
        <w:rPr>
          <w:rFonts w:ascii="Century Gothic" w:hAnsi="Century Gothic" w:cstheme="minorHAnsi"/>
          <w:sz w:val="20"/>
          <w:szCs w:val="21"/>
        </w:rPr>
        <w:t>Boeing</w:t>
      </w:r>
      <w:r w:rsidR="00F617F7">
        <w:rPr>
          <w:rFonts w:ascii="Century Gothic" w:hAnsi="Century Gothic" w:cstheme="minorHAnsi"/>
          <w:sz w:val="20"/>
          <w:szCs w:val="21"/>
        </w:rPr>
        <w:t xml:space="preserve">, engine manufacturers like </w:t>
      </w:r>
      <w:r w:rsidR="00265052">
        <w:rPr>
          <w:rFonts w:ascii="Century Gothic" w:hAnsi="Century Gothic" w:cstheme="minorHAnsi"/>
          <w:sz w:val="20"/>
          <w:szCs w:val="21"/>
        </w:rPr>
        <w:t>Roll</w:t>
      </w:r>
      <w:r w:rsidR="00F617F7">
        <w:rPr>
          <w:rFonts w:ascii="Century Gothic" w:hAnsi="Century Gothic" w:cstheme="minorHAnsi"/>
          <w:sz w:val="20"/>
          <w:szCs w:val="21"/>
        </w:rPr>
        <w:t>s</w:t>
      </w:r>
      <w:r w:rsidR="00F617F7">
        <w:rPr>
          <w:rFonts w:ascii="Century Gothic" w:hAnsi="Century Gothic" w:cstheme="minorHAnsi"/>
          <w:sz w:val="20"/>
          <w:szCs w:val="21"/>
        </w:rPr>
        <w:t>-</w:t>
      </w:r>
      <w:r w:rsidR="00265052">
        <w:rPr>
          <w:rFonts w:ascii="Century Gothic" w:hAnsi="Century Gothic" w:cstheme="minorHAnsi"/>
          <w:sz w:val="20"/>
          <w:szCs w:val="21"/>
        </w:rPr>
        <w:t>Royce</w:t>
      </w:r>
      <w:r w:rsidR="00F617F7">
        <w:rPr>
          <w:rFonts w:ascii="Century Gothic" w:hAnsi="Century Gothic" w:cstheme="minorHAnsi"/>
          <w:sz w:val="20"/>
          <w:szCs w:val="21"/>
        </w:rPr>
        <w:t>, and start-ups</w:t>
      </w:r>
      <w:r w:rsidR="00265052">
        <w:rPr>
          <w:rFonts w:ascii="Century Gothic" w:hAnsi="Century Gothic" w:cstheme="minorHAnsi"/>
          <w:sz w:val="20"/>
          <w:szCs w:val="21"/>
        </w:rPr>
        <w:t xml:space="preserve">) </w:t>
      </w:r>
      <w:r>
        <w:rPr>
          <w:rFonts w:ascii="Century Gothic" w:hAnsi="Century Gothic" w:cstheme="minorHAnsi"/>
          <w:sz w:val="20"/>
          <w:szCs w:val="21"/>
        </w:rPr>
        <w:t xml:space="preserve">require additional R&amp;D support until </w:t>
      </w:r>
      <w:r>
        <w:rPr>
          <w:rFonts w:ascii="Century Gothic" w:hAnsi="Century Gothic" w:cstheme="minorHAnsi"/>
          <w:sz w:val="20"/>
          <w:szCs w:val="21"/>
        </w:rPr>
        <w:t xml:space="preserve">they reach certification stage. In addition to that, early commercial deployments can be supported by infrastructure investments </w:t>
      </w:r>
      <w:r w:rsidR="00CD0625">
        <w:rPr>
          <w:rFonts w:ascii="Century Gothic" w:hAnsi="Century Gothic" w:cstheme="minorHAnsi"/>
          <w:sz w:val="20"/>
          <w:szCs w:val="21"/>
        </w:rPr>
        <w:t xml:space="preserve">at airports </w:t>
      </w:r>
      <w:r>
        <w:rPr>
          <w:rFonts w:ascii="Century Gothic" w:hAnsi="Century Gothic" w:cstheme="minorHAnsi"/>
          <w:sz w:val="20"/>
          <w:szCs w:val="21"/>
        </w:rPr>
        <w:t>(</w:t>
      </w:r>
      <w:r w:rsidR="00CD0625">
        <w:rPr>
          <w:rFonts w:ascii="Century Gothic" w:hAnsi="Century Gothic" w:cstheme="minorHAnsi"/>
          <w:sz w:val="20"/>
          <w:szCs w:val="21"/>
        </w:rPr>
        <w:t xml:space="preserve">battery recharging and </w:t>
      </w:r>
      <w:r>
        <w:rPr>
          <w:rFonts w:ascii="Century Gothic" w:hAnsi="Century Gothic" w:cstheme="minorHAnsi"/>
          <w:sz w:val="20"/>
          <w:szCs w:val="21"/>
        </w:rPr>
        <w:t>hydrogen fuelling), zero-emission requirements in relevant PSO tenders, or co-financing of initial aircraft acquisitions.</w:t>
      </w:r>
    </w:p>
    <w:p w14:paraId="54CC20DD" w14:textId="1F2CADA8" w:rsidR="008A2970" w:rsidRDefault="00CD0625" w:rsidP="008A2970">
      <w:pPr>
        <w:pStyle w:val="ListParagraph"/>
        <w:numPr>
          <w:ilvl w:val="1"/>
          <w:numId w:val="1"/>
        </w:numPr>
        <w:spacing w:after="120"/>
        <w:ind w:left="426"/>
        <w:contextualSpacing w:val="0"/>
        <w:rPr>
          <w:rFonts w:ascii="Century Gothic" w:hAnsi="Century Gothic" w:cstheme="minorHAnsi"/>
          <w:sz w:val="20"/>
          <w:szCs w:val="21"/>
        </w:rPr>
      </w:pPr>
      <w:r>
        <w:rPr>
          <w:rFonts w:ascii="Century Gothic" w:hAnsi="Century Gothic" w:cstheme="minorHAnsi"/>
          <w:sz w:val="20"/>
          <w:szCs w:val="21"/>
        </w:rPr>
        <w:t xml:space="preserve">In the longer term, </w:t>
      </w:r>
      <w:r w:rsidR="005247A6">
        <w:rPr>
          <w:rFonts w:ascii="Century Gothic" w:hAnsi="Century Gothic" w:cstheme="minorHAnsi"/>
          <w:sz w:val="20"/>
          <w:szCs w:val="21"/>
        </w:rPr>
        <w:t xml:space="preserve">international regulation </w:t>
      </w:r>
      <w:r w:rsidR="00EF318B">
        <w:rPr>
          <w:rFonts w:ascii="Century Gothic" w:hAnsi="Century Gothic" w:cstheme="minorHAnsi"/>
          <w:sz w:val="20"/>
          <w:szCs w:val="21"/>
        </w:rPr>
        <w:t>will be required to</w:t>
      </w:r>
      <w:r w:rsidR="005247A6">
        <w:rPr>
          <w:rFonts w:ascii="Century Gothic" w:hAnsi="Century Gothic" w:cstheme="minorHAnsi"/>
          <w:sz w:val="20"/>
          <w:szCs w:val="21"/>
        </w:rPr>
        <w:t xml:space="preserve"> drive </w:t>
      </w:r>
      <w:r w:rsidR="00EF318B">
        <w:rPr>
          <w:rFonts w:ascii="Century Gothic" w:hAnsi="Century Gothic" w:cstheme="minorHAnsi"/>
          <w:sz w:val="20"/>
          <w:szCs w:val="21"/>
        </w:rPr>
        <w:t xml:space="preserve">the deployment of SAF at scale if these remain more expensive than the alternative, despite cost reductions. </w:t>
      </w:r>
      <w:r w:rsidR="008A2970">
        <w:rPr>
          <w:rFonts w:ascii="Century Gothic" w:hAnsi="Century Gothic" w:cstheme="minorHAnsi"/>
          <w:sz w:val="20"/>
          <w:szCs w:val="21"/>
        </w:rPr>
        <w:t xml:space="preserve">Coordination within ICAO, IATA, and member states should ensure that the level of ambition of aviation’s decarbonisation targets is increased, ideally to net-zero emissions by 2050, </w:t>
      </w:r>
      <w:r w:rsidR="003778A9">
        <w:rPr>
          <w:rFonts w:ascii="Century Gothic" w:hAnsi="Century Gothic" w:cstheme="minorHAnsi"/>
          <w:sz w:val="20"/>
          <w:szCs w:val="21"/>
        </w:rPr>
        <w:t>and</w:t>
      </w:r>
      <w:r w:rsidR="008A2970">
        <w:rPr>
          <w:rFonts w:ascii="Century Gothic" w:hAnsi="Century Gothic" w:cstheme="minorHAnsi"/>
          <w:sz w:val="20"/>
          <w:szCs w:val="21"/>
        </w:rPr>
        <w:t xml:space="preserve"> that efforts across the globe are aligned</w:t>
      </w:r>
      <w:r w:rsidR="003778A9">
        <w:rPr>
          <w:rFonts w:ascii="Century Gothic" w:hAnsi="Century Gothic" w:cstheme="minorHAnsi"/>
          <w:sz w:val="20"/>
          <w:szCs w:val="21"/>
        </w:rPr>
        <w:t xml:space="preserve"> to avoid competition distortions. Two </w:t>
      </w:r>
      <w:r w:rsidR="002F23CF">
        <w:rPr>
          <w:rFonts w:ascii="Century Gothic" w:hAnsi="Century Gothic" w:cstheme="minorHAnsi"/>
          <w:sz w:val="20"/>
          <w:szCs w:val="21"/>
        </w:rPr>
        <w:t xml:space="preserve">mechanisms could then drive uptake: fuel mandates, which have the advantage of creating a certainty on fuel switch, and </w:t>
      </w:r>
      <w:r w:rsidR="00BC33B9">
        <w:rPr>
          <w:rFonts w:ascii="Century Gothic" w:hAnsi="Century Gothic" w:cstheme="minorHAnsi"/>
          <w:sz w:val="20"/>
          <w:szCs w:val="21"/>
        </w:rPr>
        <w:t>prices, which would have to be high enough to really trigger a fuel switch.</w:t>
      </w:r>
    </w:p>
    <w:p w14:paraId="25703B9D" w14:textId="6764A283" w:rsidR="004E5DF1" w:rsidRDefault="00BC33B9" w:rsidP="004E5DF1">
      <w:pPr>
        <w:pStyle w:val="ListParagraph"/>
        <w:numPr>
          <w:ilvl w:val="1"/>
          <w:numId w:val="1"/>
        </w:numPr>
        <w:spacing w:after="120"/>
        <w:ind w:left="426"/>
        <w:contextualSpacing w:val="0"/>
        <w:rPr>
          <w:rFonts w:ascii="Century Gothic" w:hAnsi="Century Gothic" w:cstheme="minorHAnsi"/>
          <w:sz w:val="20"/>
          <w:szCs w:val="21"/>
        </w:rPr>
      </w:pPr>
      <w:r>
        <w:rPr>
          <w:rFonts w:ascii="Century Gothic" w:hAnsi="Century Gothic" w:cstheme="minorHAnsi"/>
          <w:sz w:val="20"/>
          <w:szCs w:val="21"/>
        </w:rPr>
        <w:t xml:space="preserve">Individual countries could also follow the lead of </w:t>
      </w:r>
      <w:r w:rsidR="004E5DF1">
        <w:rPr>
          <w:rFonts w:ascii="Century Gothic" w:hAnsi="Century Gothic" w:cstheme="minorHAnsi"/>
          <w:sz w:val="20"/>
          <w:szCs w:val="21"/>
        </w:rPr>
        <w:t>Norway or Sweden</w:t>
      </w:r>
      <w:r w:rsidR="00DD01C6">
        <w:rPr>
          <w:rFonts w:ascii="Century Gothic" w:hAnsi="Century Gothic" w:cstheme="minorHAnsi"/>
          <w:sz w:val="20"/>
          <w:szCs w:val="21"/>
        </w:rPr>
        <w:t>, which</w:t>
      </w:r>
      <w:r w:rsidR="004E5DF1">
        <w:rPr>
          <w:rFonts w:ascii="Century Gothic" w:hAnsi="Century Gothic" w:cstheme="minorHAnsi"/>
          <w:sz w:val="20"/>
          <w:szCs w:val="21"/>
        </w:rPr>
        <w:t xml:space="preserve"> </w:t>
      </w:r>
      <w:r w:rsidR="00FF00DA">
        <w:rPr>
          <w:rFonts w:ascii="Century Gothic" w:hAnsi="Century Gothic" w:cstheme="minorHAnsi"/>
          <w:sz w:val="20"/>
          <w:szCs w:val="21"/>
        </w:rPr>
        <w:t xml:space="preserve">will </w:t>
      </w:r>
      <w:r w:rsidR="004E5DF1">
        <w:rPr>
          <w:rFonts w:ascii="Century Gothic" w:hAnsi="Century Gothic" w:cstheme="minorHAnsi"/>
          <w:sz w:val="20"/>
          <w:szCs w:val="21"/>
        </w:rPr>
        <w:t>manda</w:t>
      </w:r>
      <w:r w:rsidR="00DD01C6">
        <w:rPr>
          <w:rFonts w:ascii="Century Gothic" w:hAnsi="Century Gothic" w:cstheme="minorHAnsi"/>
          <w:sz w:val="20"/>
          <w:szCs w:val="21"/>
        </w:rPr>
        <w:t xml:space="preserve">te </w:t>
      </w:r>
      <w:r w:rsidR="00FF00DA">
        <w:rPr>
          <w:rFonts w:ascii="Century Gothic" w:hAnsi="Century Gothic" w:cstheme="minorHAnsi"/>
          <w:sz w:val="20"/>
          <w:szCs w:val="21"/>
        </w:rPr>
        <w:t xml:space="preserve">that any aircraft </w:t>
      </w:r>
      <w:r w:rsidR="00920AE6">
        <w:rPr>
          <w:rFonts w:ascii="Century Gothic" w:hAnsi="Century Gothic" w:cstheme="minorHAnsi"/>
          <w:sz w:val="20"/>
          <w:szCs w:val="21"/>
        </w:rPr>
        <w:t>refuelling at their airports</w:t>
      </w:r>
      <w:r w:rsidR="004E5DF1">
        <w:rPr>
          <w:rFonts w:ascii="Century Gothic" w:hAnsi="Century Gothic" w:cstheme="minorHAnsi"/>
          <w:sz w:val="20"/>
          <w:szCs w:val="21"/>
        </w:rPr>
        <w:t xml:space="preserve"> </w:t>
      </w:r>
      <w:r w:rsidR="00FF00DA">
        <w:rPr>
          <w:rFonts w:ascii="Century Gothic" w:hAnsi="Century Gothic" w:cstheme="minorHAnsi"/>
          <w:sz w:val="20"/>
          <w:szCs w:val="21"/>
        </w:rPr>
        <w:t xml:space="preserve">must use </w:t>
      </w:r>
      <w:r w:rsidR="004E5DF1">
        <w:rPr>
          <w:rFonts w:ascii="Century Gothic" w:hAnsi="Century Gothic" w:cstheme="minorHAnsi"/>
          <w:sz w:val="20"/>
          <w:szCs w:val="21"/>
        </w:rPr>
        <w:t xml:space="preserve">SAF blends from as early as 2020, with more aspirational goals (e.g. Sweden aims at fossil-free aviation by 2045) in the long-term. Initially small blends (e.g., </w:t>
      </w:r>
      <w:r w:rsidR="008F5B88">
        <w:rPr>
          <w:rFonts w:ascii="Century Gothic" w:hAnsi="Century Gothic" w:cstheme="minorHAnsi"/>
          <w:sz w:val="20"/>
          <w:szCs w:val="21"/>
        </w:rPr>
        <w:t xml:space="preserve">Norway mandates </w:t>
      </w:r>
      <w:r w:rsidR="004E5DF1">
        <w:rPr>
          <w:rFonts w:ascii="Century Gothic" w:hAnsi="Century Gothic" w:cstheme="minorHAnsi"/>
          <w:sz w:val="20"/>
          <w:szCs w:val="21"/>
        </w:rPr>
        <w:t>0.</w:t>
      </w:r>
      <w:r w:rsidR="008F5B88">
        <w:rPr>
          <w:rFonts w:ascii="Century Gothic" w:hAnsi="Century Gothic" w:cstheme="minorHAnsi"/>
          <w:sz w:val="20"/>
          <w:szCs w:val="21"/>
        </w:rPr>
        <w:t>5</w:t>
      </w:r>
      <w:r w:rsidR="004E5DF1">
        <w:rPr>
          <w:rFonts w:ascii="Century Gothic" w:hAnsi="Century Gothic" w:cstheme="minorHAnsi"/>
          <w:sz w:val="20"/>
          <w:szCs w:val="21"/>
        </w:rPr>
        <w:t xml:space="preserve">% </w:t>
      </w:r>
      <w:r w:rsidR="00A60BA0">
        <w:rPr>
          <w:rFonts w:ascii="Century Gothic" w:hAnsi="Century Gothic" w:cstheme="minorHAnsi"/>
          <w:sz w:val="20"/>
          <w:szCs w:val="21"/>
        </w:rPr>
        <w:t>by</w:t>
      </w:r>
      <w:r w:rsidR="004E5DF1">
        <w:rPr>
          <w:rFonts w:ascii="Century Gothic" w:hAnsi="Century Gothic" w:cstheme="minorHAnsi"/>
          <w:sz w:val="20"/>
          <w:szCs w:val="21"/>
        </w:rPr>
        <w:t xml:space="preserve"> 2020) can be increased gradually over time</w:t>
      </w:r>
      <w:r>
        <w:rPr>
          <w:rFonts w:ascii="Century Gothic" w:hAnsi="Century Gothic" w:cstheme="minorHAnsi"/>
          <w:sz w:val="20"/>
          <w:szCs w:val="21"/>
        </w:rPr>
        <w:t>, and possibly limited to some intra-zone corridors</w:t>
      </w:r>
      <w:r w:rsidR="004E5DF1">
        <w:rPr>
          <w:rFonts w:ascii="Century Gothic" w:hAnsi="Century Gothic" w:cstheme="minorHAnsi"/>
          <w:sz w:val="20"/>
          <w:szCs w:val="21"/>
        </w:rPr>
        <w:t xml:space="preserve">. </w:t>
      </w:r>
      <w:r>
        <w:rPr>
          <w:rFonts w:ascii="Century Gothic" w:hAnsi="Century Gothic" w:cstheme="minorHAnsi"/>
          <w:sz w:val="20"/>
          <w:szCs w:val="21"/>
        </w:rPr>
        <w:t>M</w:t>
      </w:r>
      <w:r w:rsidR="004E5DF1">
        <w:rPr>
          <w:rFonts w:ascii="Century Gothic" w:hAnsi="Century Gothic" w:cstheme="minorHAnsi"/>
          <w:sz w:val="20"/>
          <w:szCs w:val="21"/>
        </w:rPr>
        <w:t>ost countries</w:t>
      </w:r>
      <w:r>
        <w:rPr>
          <w:rFonts w:ascii="Century Gothic" w:hAnsi="Century Gothic" w:cstheme="minorHAnsi"/>
          <w:sz w:val="20"/>
          <w:szCs w:val="21"/>
        </w:rPr>
        <w:t xml:space="preserve"> also</w:t>
      </w:r>
      <w:r w:rsidR="004E5DF1">
        <w:rPr>
          <w:rFonts w:ascii="Century Gothic" w:hAnsi="Century Gothic" w:cstheme="minorHAnsi"/>
          <w:sz w:val="20"/>
          <w:szCs w:val="21"/>
        </w:rPr>
        <w:t xml:space="preserve"> subsidise certain routes through public service offerings (PSOs)</w:t>
      </w:r>
      <w:r>
        <w:rPr>
          <w:rFonts w:ascii="Century Gothic" w:hAnsi="Century Gothic" w:cstheme="minorHAnsi"/>
          <w:sz w:val="20"/>
          <w:szCs w:val="21"/>
        </w:rPr>
        <w:t xml:space="preserve"> and could mandate </w:t>
      </w:r>
      <w:r w:rsidR="004E5DF1">
        <w:rPr>
          <w:rFonts w:ascii="Century Gothic" w:hAnsi="Century Gothic" w:cstheme="minorHAnsi"/>
          <w:sz w:val="20"/>
          <w:szCs w:val="21"/>
        </w:rPr>
        <w:t xml:space="preserve">SAF blends </w:t>
      </w:r>
      <w:r>
        <w:rPr>
          <w:rFonts w:ascii="Century Gothic" w:hAnsi="Century Gothic" w:cstheme="minorHAnsi"/>
          <w:sz w:val="20"/>
          <w:szCs w:val="21"/>
        </w:rPr>
        <w:t>on these</w:t>
      </w:r>
      <w:r w:rsidR="004E5DF1">
        <w:rPr>
          <w:rFonts w:ascii="Century Gothic" w:hAnsi="Century Gothic" w:cstheme="minorHAnsi"/>
          <w:sz w:val="20"/>
          <w:szCs w:val="21"/>
        </w:rPr>
        <w:t>.</w:t>
      </w:r>
    </w:p>
    <w:p w14:paraId="6F995057" w14:textId="03B6EBFF" w:rsidR="005960D1" w:rsidRDefault="005960D1">
      <w:pPr>
        <w:rPr>
          <w:rFonts w:ascii="Century Gothic" w:hAnsi="Century Gothic" w:cstheme="minorHAnsi"/>
          <w:sz w:val="20"/>
          <w:szCs w:val="21"/>
        </w:rPr>
      </w:pPr>
      <w:r>
        <w:rPr>
          <w:rFonts w:ascii="Century Gothic" w:hAnsi="Century Gothic" w:cstheme="minorHAnsi"/>
          <w:sz w:val="20"/>
          <w:szCs w:val="21"/>
        </w:rPr>
        <w:br w:type="page"/>
      </w:r>
    </w:p>
    <w:p w14:paraId="55BD36F7" w14:textId="5C24F87C" w:rsidR="005960D1" w:rsidRPr="00BC33B9" w:rsidRDefault="005960D1" w:rsidP="005960D1">
      <w:pPr>
        <w:spacing w:after="120"/>
        <w:ind w:left="66"/>
        <w:rPr>
          <w:rFonts w:ascii="Century Gothic" w:hAnsi="Century Gothic" w:cstheme="minorHAnsi"/>
          <w:b/>
          <w:sz w:val="20"/>
          <w:szCs w:val="21"/>
        </w:rPr>
      </w:pPr>
      <w:r w:rsidRPr="00BC33B9">
        <w:rPr>
          <w:rFonts w:ascii="Century Gothic" w:hAnsi="Century Gothic" w:cstheme="minorHAnsi"/>
          <w:b/>
          <w:sz w:val="20"/>
          <w:szCs w:val="21"/>
        </w:rPr>
        <w:t>Announced sustainable aviation fuel production facilities</w:t>
      </w:r>
      <w:r w:rsidRPr="00BC33B9">
        <w:rPr>
          <w:rStyle w:val="FootnoteReference"/>
          <w:rFonts w:ascii="Century Gothic" w:hAnsi="Century Gothic" w:cstheme="minorHAnsi"/>
          <w:b/>
          <w:sz w:val="20"/>
          <w:szCs w:val="21"/>
        </w:rPr>
        <w:footnoteReference w:id="29"/>
      </w:r>
    </w:p>
    <w:tbl>
      <w:tblPr>
        <w:tblStyle w:val="TableGrid"/>
        <w:tblW w:w="0" w:type="auto"/>
        <w:tblInd w:w="66" w:type="dxa"/>
        <w:tblLook w:val="04A0" w:firstRow="1" w:lastRow="0" w:firstColumn="1" w:lastColumn="0" w:noHBand="0" w:noVBand="1"/>
      </w:tblPr>
      <w:tblGrid>
        <w:gridCol w:w="2235"/>
        <w:gridCol w:w="2238"/>
        <w:gridCol w:w="2238"/>
        <w:gridCol w:w="2239"/>
      </w:tblGrid>
      <w:tr w:rsidR="005960D1" w14:paraId="56BDB2CF" w14:textId="77777777" w:rsidTr="00A4418A">
        <w:tc>
          <w:tcPr>
            <w:tcW w:w="2235" w:type="dxa"/>
          </w:tcPr>
          <w:p w14:paraId="56F28C34" w14:textId="77777777" w:rsidR="005960D1" w:rsidRPr="00454FC9" w:rsidRDefault="005960D1" w:rsidP="00A4418A">
            <w:pPr>
              <w:spacing w:after="120" w:line="259" w:lineRule="auto"/>
              <w:rPr>
                <w:rFonts w:ascii="Century Gothic" w:hAnsi="Century Gothic" w:cstheme="minorHAnsi"/>
                <w:b/>
                <w:sz w:val="20"/>
                <w:szCs w:val="21"/>
              </w:rPr>
            </w:pPr>
            <w:r w:rsidRPr="00454FC9">
              <w:rPr>
                <w:rFonts w:ascii="Century Gothic" w:hAnsi="Century Gothic" w:cstheme="minorHAnsi"/>
                <w:b/>
                <w:sz w:val="20"/>
                <w:szCs w:val="21"/>
              </w:rPr>
              <w:t>Producer</w:t>
            </w:r>
          </w:p>
        </w:tc>
        <w:tc>
          <w:tcPr>
            <w:tcW w:w="2238" w:type="dxa"/>
          </w:tcPr>
          <w:p w14:paraId="31F98500" w14:textId="77777777" w:rsidR="005960D1" w:rsidRPr="00454FC9" w:rsidRDefault="005960D1" w:rsidP="00A4418A">
            <w:pPr>
              <w:spacing w:after="120" w:line="259" w:lineRule="auto"/>
              <w:rPr>
                <w:rFonts w:ascii="Century Gothic" w:hAnsi="Century Gothic" w:cstheme="minorHAnsi"/>
                <w:b/>
                <w:sz w:val="20"/>
                <w:szCs w:val="21"/>
              </w:rPr>
            </w:pPr>
            <w:r w:rsidRPr="00454FC9">
              <w:rPr>
                <w:rFonts w:ascii="Century Gothic" w:hAnsi="Century Gothic" w:cstheme="minorHAnsi"/>
                <w:b/>
                <w:sz w:val="20"/>
                <w:szCs w:val="21"/>
              </w:rPr>
              <w:t>Purchaser</w:t>
            </w:r>
          </w:p>
        </w:tc>
        <w:tc>
          <w:tcPr>
            <w:tcW w:w="2238" w:type="dxa"/>
          </w:tcPr>
          <w:p w14:paraId="4C70303C" w14:textId="77777777" w:rsidR="005960D1" w:rsidRPr="00454FC9" w:rsidRDefault="005960D1" w:rsidP="00A4418A">
            <w:pPr>
              <w:spacing w:after="120" w:line="259" w:lineRule="auto"/>
              <w:rPr>
                <w:rFonts w:ascii="Century Gothic" w:hAnsi="Century Gothic" w:cstheme="minorHAnsi"/>
                <w:b/>
                <w:sz w:val="20"/>
                <w:szCs w:val="21"/>
              </w:rPr>
            </w:pPr>
            <w:r w:rsidRPr="00454FC9">
              <w:rPr>
                <w:rFonts w:ascii="Century Gothic" w:hAnsi="Century Gothic" w:cstheme="minorHAnsi"/>
                <w:b/>
                <w:sz w:val="20"/>
                <w:szCs w:val="21"/>
              </w:rPr>
              <w:t>Off-take production per year (Mt)</w:t>
            </w:r>
          </w:p>
        </w:tc>
        <w:tc>
          <w:tcPr>
            <w:tcW w:w="2239" w:type="dxa"/>
          </w:tcPr>
          <w:p w14:paraId="06F74278" w14:textId="77777777" w:rsidR="005960D1" w:rsidRPr="00454FC9" w:rsidRDefault="005960D1" w:rsidP="00A4418A">
            <w:pPr>
              <w:spacing w:after="120" w:line="259" w:lineRule="auto"/>
              <w:rPr>
                <w:rFonts w:ascii="Century Gothic" w:hAnsi="Century Gothic" w:cstheme="minorHAnsi"/>
                <w:b/>
                <w:sz w:val="20"/>
                <w:szCs w:val="21"/>
              </w:rPr>
            </w:pPr>
            <w:r w:rsidRPr="00454FC9">
              <w:rPr>
                <w:rFonts w:ascii="Century Gothic" w:hAnsi="Century Gothic" w:cstheme="minorHAnsi"/>
                <w:b/>
                <w:sz w:val="20"/>
                <w:szCs w:val="21"/>
              </w:rPr>
              <w:t>Start / length of agreement</w:t>
            </w:r>
          </w:p>
        </w:tc>
      </w:tr>
      <w:tr w:rsidR="005960D1" w14:paraId="334A6C40" w14:textId="77777777" w:rsidTr="00A4418A">
        <w:tc>
          <w:tcPr>
            <w:tcW w:w="2235" w:type="dxa"/>
          </w:tcPr>
          <w:p w14:paraId="46819866"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Air Total</w:t>
            </w:r>
          </w:p>
        </w:tc>
        <w:tc>
          <w:tcPr>
            <w:tcW w:w="2238" w:type="dxa"/>
          </w:tcPr>
          <w:p w14:paraId="74C05BCA"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Airbus / China Airlines</w:t>
            </w:r>
          </w:p>
        </w:tc>
        <w:tc>
          <w:tcPr>
            <w:tcW w:w="2238" w:type="dxa"/>
          </w:tcPr>
          <w:p w14:paraId="128E5350"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5 A350-900 deliveries at 10% blend</w:t>
            </w:r>
          </w:p>
        </w:tc>
        <w:tc>
          <w:tcPr>
            <w:tcW w:w="2239" w:type="dxa"/>
          </w:tcPr>
          <w:p w14:paraId="791EF282"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2017 / N/A</w:t>
            </w:r>
          </w:p>
        </w:tc>
      </w:tr>
      <w:tr w:rsidR="005960D1" w14:paraId="24181B11" w14:textId="77777777" w:rsidTr="00A4418A">
        <w:tc>
          <w:tcPr>
            <w:tcW w:w="2235" w:type="dxa"/>
            <w:vMerge w:val="restart"/>
          </w:tcPr>
          <w:p w14:paraId="49279304" w14:textId="77777777" w:rsidR="005960D1" w:rsidRDefault="005960D1" w:rsidP="00A4418A">
            <w:pPr>
              <w:spacing w:after="120" w:line="259" w:lineRule="auto"/>
              <w:rPr>
                <w:rFonts w:ascii="Century Gothic" w:hAnsi="Century Gothic" w:cstheme="minorHAnsi"/>
                <w:sz w:val="20"/>
                <w:szCs w:val="21"/>
              </w:rPr>
            </w:pPr>
            <w:proofErr w:type="spellStart"/>
            <w:r>
              <w:rPr>
                <w:rFonts w:ascii="Century Gothic" w:hAnsi="Century Gothic" w:cstheme="minorHAnsi"/>
                <w:sz w:val="20"/>
                <w:szCs w:val="21"/>
              </w:rPr>
              <w:t>AltAir</w:t>
            </w:r>
            <w:proofErr w:type="spellEnd"/>
          </w:p>
        </w:tc>
        <w:tc>
          <w:tcPr>
            <w:tcW w:w="2238" w:type="dxa"/>
          </w:tcPr>
          <w:p w14:paraId="0E3FCA09"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United Airlines</w:t>
            </w:r>
          </w:p>
        </w:tc>
        <w:tc>
          <w:tcPr>
            <w:tcW w:w="2238" w:type="dxa"/>
          </w:tcPr>
          <w:p w14:paraId="40367CFB"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0.015</w:t>
            </w:r>
          </w:p>
        </w:tc>
        <w:tc>
          <w:tcPr>
            <w:tcW w:w="2239" w:type="dxa"/>
          </w:tcPr>
          <w:p w14:paraId="05658E7E"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2016 / 3</w:t>
            </w:r>
          </w:p>
        </w:tc>
      </w:tr>
      <w:tr w:rsidR="005960D1" w14:paraId="16B68B77" w14:textId="77777777" w:rsidTr="00A4418A">
        <w:tc>
          <w:tcPr>
            <w:tcW w:w="2235" w:type="dxa"/>
            <w:vMerge/>
          </w:tcPr>
          <w:p w14:paraId="4BD323DB" w14:textId="77777777" w:rsidR="005960D1" w:rsidRDefault="005960D1" w:rsidP="00A4418A">
            <w:pPr>
              <w:spacing w:after="120" w:line="259" w:lineRule="auto"/>
              <w:rPr>
                <w:rFonts w:ascii="Century Gothic" w:hAnsi="Century Gothic" w:cstheme="minorHAnsi"/>
                <w:sz w:val="20"/>
                <w:szCs w:val="21"/>
              </w:rPr>
            </w:pPr>
          </w:p>
        </w:tc>
        <w:tc>
          <w:tcPr>
            <w:tcW w:w="2238" w:type="dxa"/>
          </w:tcPr>
          <w:p w14:paraId="7E1369BD"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Gulfstream / World Fuel</w:t>
            </w:r>
          </w:p>
        </w:tc>
        <w:tc>
          <w:tcPr>
            <w:tcW w:w="2238" w:type="dxa"/>
          </w:tcPr>
          <w:p w14:paraId="49CC680D"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N/A</w:t>
            </w:r>
          </w:p>
        </w:tc>
        <w:tc>
          <w:tcPr>
            <w:tcW w:w="2239" w:type="dxa"/>
          </w:tcPr>
          <w:p w14:paraId="41C0A63F"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N/A / 3</w:t>
            </w:r>
          </w:p>
        </w:tc>
      </w:tr>
      <w:tr w:rsidR="005960D1" w14:paraId="7647AEC2" w14:textId="77777777" w:rsidTr="00A4418A">
        <w:tc>
          <w:tcPr>
            <w:tcW w:w="2235" w:type="dxa"/>
            <w:vMerge/>
          </w:tcPr>
          <w:p w14:paraId="74112021" w14:textId="77777777" w:rsidR="005960D1" w:rsidRDefault="005960D1" w:rsidP="00A4418A">
            <w:pPr>
              <w:spacing w:after="120" w:line="259" w:lineRule="auto"/>
              <w:rPr>
                <w:rFonts w:ascii="Century Gothic" w:hAnsi="Century Gothic" w:cstheme="minorHAnsi"/>
                <w:sz w:val="20"/>
                <w:szCs w:val="21"/>
              </w:rPr>
            </w:pPr>
          </w:p>
        </w:tc>
        <w:tc>
          <w:tcPr>
            <w:tcW w:w="2238" w:type="dxa"/>
          </w:tcPr>
          <w:p w14:paraId="500A9244" w14:textId="77777777" w:rsidR="005960D1" w:rsidRDefault="005960D1" w:rsidP="00A4418A">
            <w:pPr>
              <w:spacing w:after="120" w:line="259" w:lineRule="auto"/>
              <w:rPr>
                <w:rFonts w:ascii="Century Gothic" w:hAnsi="Century Gothic" w:cstheme="minorHAnsi"/>
                <w:sz w:val="20"/>
                <w:szCs w:val="21"/>
              </w:rPr>
            </w:pPr>
            <w:proofErr w:type="spellStart"/>
            <w:r>
              <w:rPr>
                <w:rFonts w:ascii="Century Gothic" w:hAnsi="Century Gothic" w:cstheme="minorHAnsi"/>
                <w:sz w:val="20"/>
                <w:szCs w:val="21"/>
              </w:rPr>
              <w:t>SkyNRG</w:t>
            </w:r>
            <w:proofErr w:type="spellEnd"/>
            <w:r>
              <w:rPr>
                <w:rFonts w:ascii="Century Gothic" w:hAnsi="Century Gothic" w:cstheme="minorHAnsi"/>
                <w:sz w:val="20"/>
                <w:szCs w:val="21"/>
              </w:rPr>
              <w:t xml:space="preserve"> / KLM</w:t>
            </w:r>
          </w:p>
        </w:tc>
        <w:tc>
          <w:tcPr>
            <w:tcW w:w="2238" w:type="dxa"/>
          </w:tcPr>
          <w:p w14:paraId="409A1358"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N/A</w:t>
            </w:r>
          </w:p>
        </w:tc>
        <w:tc>
          <w:tcPr>
            <w:tcW w:w="2239" w:type="dxa"/>
          </w:tcPr>
          <w:p w14:paraId="71E4EC3C"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2016 / 3</w:t>
            </w:r>
          </w:p>
        </w:tc>
      </w:tr>
      <w:tr w:rsidR="005960D1" w14:paraId="145D1AB0" w14:textId="77777777" w:rsidTr="00A4418A">
        <w:tc>
          <w:tcPr>
            <w:tcW w:w="2235" w:type="dxa"/>
          </w:tcPr>
          <w:p w14:paraId="37083726" w14:textId="77777777" w:rsidR="005960D1" w:rsidRDefault="005960D1" w:rsidP="00A4418A">
            <w:pPr>
              <w:spacing w:after="120" w:line="259" w:lineRule="auto"/>
              <w:rPr>
                <w:rFonts w:ascii="Century Gothic" w:hAnsi="Century Gothic" w:cstheme="minorHAnsi"/>
                <w:sz w:val="20"/>
                <w:szCs w:val="21"/>
              </w:rPr>
            </w:pPr>
            <w:proofErr w:type="spellStart"/>
            <w:r>
              <w:rPr>
                <w:rFonts w:ascii="Century Gothic" w:hAnsi="Century Gothic" w:cstheme="minorHAnsi"/>
                <w:sz w:val="20"/>
                <w:szCs w:val="21"/>
              </w:rPr>
              <w:t>AltAir</w:t>
            </w:r>
            <w:proofErr w:type="spellEnd"/>
            <w:r>
              <w:rPr>
                <w:rFonts w:ascii="Century Gothic" w:hAnsi="Century Gothic" w:cstheme="minorHAnsi"/>
                <w:sz w:val="20"/>
                <w:szCs w:val="21"/>
              </w:rPr>
              <w:t xml:space="preserve"> / Neste</w:t>
            </w:r>
          </w:p>
        </w:tc>
        <w:tc>
          <w:tcPr>
            <w:tcW w:w="2238" w:type="dxa"/>
          </w:tcPr>
          <w:p w14:paraId="51386B38"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 xml:space="preserve">KLM / SAS / Lufthansa / </w:t>
            </w:r>
            <w:proofErr w:type="spellStart"/>
            <w:r>
              <w:rPr>
                <w:rFonts w:ascii="Century Gothic" w:hAnsi="Century Gothic" w:cstheme="minorHAnsi"/>
                <w:sz w:val="20"/>
                <w:szCs w:val="21"/>
              </w:rPr>
              <w:t>AirBP</w:t>
            </w:r>
            <w:proofErr w:type="spellEnd"/>
          </w:p>
        </w:tc>
        <w:tc>
          <w:tcPr>
            <w:tcW w:w="2238" w:type="dxa"/>
          </w:tcPr>
          <w:p w14:paraId="7C7628F1"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0.001</w:t>
            </w:r>
          </w:p>
        </w:tc>
        <w:tc>
          <w:tcPr>
            <w:tcW w:w="2239" w:type="dxa"/>
          </w:tcPr>
          <w:p w14:paraId="5C0DB171"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2016 / N/A</w:t>
            </w:r>
          </w:p>
        </w:tc>
      </w:tr>
      <w:tr w:rsidR="005960D1" w14:paraId="72256318" w14:textId="77777777" w:rsidTr="00A4418A">
        <w:tc>
          <w:tcPr>
            <w:tcW w:w="2235" w:type="dxa"/>
          </w:tcPr>
          <w:p w14:paraId="52D59539"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Amyris / Total</w:t>
            </w:r>
          </w:p>
        </w:tc>
        <w:tc>
          <w:tcPr>
            <w:tcW w:w="2238" w:type="dxa"/>
          </w:tcPr>
          <w:p w14:paraId="66CA89E4"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Airbus / Cathay Pacific</w:t>
            </w:r>
          </w:p>
        </w:tc>
        <w:tc>
          <w:tcPr>
            <w:tcW w:w="2238" w:type="dxa"/>
          </w:tcPr>
          <w:p w14:paraId="0318D609"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48 A350 deliveries at 10% blend</w:t>
            </w:r>
          </w:p>
        </w:tc>
        <w:tc>
          <w:tcPr>
            <w:tcW w:w="2239" w:type="dxa"/>
          </w:tcPr>
          <w:p w14:paraId="6AD7C174"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2016 / N/A</w:t>
            </w:r>
          </w:p>
        </w:tc>
      </w:tr>
      <w:tr w:rsidR="005960D1" w14:paraId="579E5F99" w14:textId="77777777" w:rsidTr="00A4418A">
        <w:tc>
          <w:tcPr>
            <w:tcW w:w="2235" w:type="dxa"/>
            <w:vMerge w:val="restart"/>
          </w:tcPr>
          <w:p w14:paraId="1F578C7A"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Fulcrum</w:t>
            </w:r>
          </w:p>
        </w:tc>
        <w:tc>
          <w:tcPr>
            <w:tcW w:w="2238" w:type="dxa"/>
          </w:tcPr>
          <w:p w14:paraId="7CB4E86D"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Cathay Pacific</w:t>
            </w:r>
          </w:p>
        </w:tc>
        <w:tc>
          <w:tcPr>
            <w:tcW w:w="2238" w:type="dxa"/>
          </w:tcPr>
          <w:p w14:paraId="4345A212"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0.106</w:t>
            </w:r>
          </w:p>
        </w:tc>
        <w:tc>
          <w:tcPr>
            <w:tcW w:w="2239" w:type="dxa"/>
          </w:tcPr>
          <w:p w14:paraId="61676BC5"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N/A / 10</w:t>
            </w:r>
          </w:p>
        </w:tc>
      </w:tr>
      <w:tr w:rsidR="005960D1" w14:paraId="4C55E2D7" w14:textId="77777777" w:rsidTr="00A4418A">
        <w:tc>
          <w:tcPr>
            <w:tcW w:w="2235" w:type="dxa"/>
            <w:vMerge/>
          </w:tcPr>
          <w:p w14:paraId="71C65429" w14:textId="77777777" w:rsidR="005960D1" w:rsidRDefault="005960D1" w:rsidP="00A4418A">
            <w:pPr>
              <w:spacing w:after="120" w:line="259" w:lineRule="auto"/>
              <w:rPr>
                <w:rFonts w:ascii="Century Gothic" w:hAnsi="Century Gothic" w:cstheme="minorHAnsi"/>
                <w:sz w:val="20"/>
                <w:szCs w:val="21"/>
              </w:rPr>
            </w:pPr>
          </w:p>
        </w:tc>
        <w:tc>
          <w:tcPr>
            <w:tcW w:w="2238" w:type="dxa"/>
          </w:tcPr>
          <w:p w14:paraId="60979218"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United Airlines</w:t>
            </w:r>
          </w:p>
        </w:tc>
        <w:tc>
          <w:tcPr>
            <w:tcW w:w="2238" w:type="dxa"/>
          </w:tcPr>
          <w:p w14:paraId="31CC7D75"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0.274-0.547</w:t>
            </w:r>
          </w:p>
        </w:tc>
        <w:tc>
          <w:tcPr>
            <w:tcW w:w="2239" w:type="dxa"/>
          </w:tcPr>
          <w:p w14:paraId="0CF5CA13"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N/A / 10</w:t>
            </w:r>
          </w:p>
        </w:tc>
      </w:tr>
      <w:tr w:rsidR="005960D1" w14:paraId="3D62A137" w14:textId="77777777" w:rsidTr="00A4418A">
        <w:tc>
          <w:tcPr>
            <w:tcW w:w="2235" w:type="dxa"/>
            <w:vMerge/>
          </w:tcPr>
          <w:p w14:paraId="15EC24D4" w14:textId="77777777" w:rsidR="005960D1" w:rsidRDefault="005960D1" w:rsidP="00A4418A">
            <w:pPr>
              <w:spacing w:after="120" w:line="259" w:lineRule="auto"/>
              <w:rPr>
                <w:rFonts w:ascii="Century Gothic" w:hAnsi="Century Gothic" w:cstheme="minorHAnsi"/>
                <w:sz w:val="20"/>
                <w:szCs w:val="21"/>
              </w:rPr>
            </w:pPr>
          </w:p>
        </w:tc>
        <w:tc>
          <w:tcPr>
            <w:tcW w:w="2238" w:type="dxa"/>
          </w:tcPr>
          <w:p w14:paraId="1F4DA0E0"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Air BP</w:t>
            </w:r>
          </w:p>
        </w:tc>
        <w:tc>
          <w:tcPr>
            <w:tcW w:w="2238" w:type="dxa"/>
          </w:tcPr>
          <w:p w14:paraId="00216C46"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0.152</w:t>
            </w:r>
          </w:p>
        </w:tc>
        <w:tc>
          <w:tcPr>
            <w:tcW w:w="2239" w:type="dxa"/>
          </w:tcPr>
          <w:p w14:paraId="1D436411"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N/A / 10</w:t>
            </w:r>
          </w:p>
        </w:tc>
      </w:tr>
      <w:tr w:rsidR="005960D1" w14:paraId="017E1F87" w14:textId="77777777" w:rsidTr="00A4418A">
        <w:tc>
          <w:tcPr>
            <w:tcW w:w="2235" w:type="dxa"/>
          </w:tcPr>
          <w:p w14:paraId="0BCF9652" w14:textId="77777777" w:rsidR="005960D1" w:rsidRDefault="005960D1" w:rsidP="00A4418A">
            <w:pPr>
              <w:spacing w:after="120" w:line="259" w:lineRule="auto"/>
              <w:rPr>
                <w:rFonts w:ascii="Century Gothic" w:hAnsi="Century Gothic" w:cstheme="minorHAnsi"/>
                <w:sz w:val="20"/>
                <w:szCs w:val="21"/>
              </w:rPr>
            </w:pPr>
            <w:proofErr w:type="spellStart"/>
            <w:r>
              <w:rPr>
                <w:rFonts w:ascii="Century Gothic" w:hAnsi="Century Gothic" w:cstheme="minorHAnsi"/>
                <w:sz w:val="20"/>
                <w:szCs w:val="21"/>
              </w:rPr>
              <w:t>Gevo</w:t>
            </w:r>
            <w:proofErr w:type="spellEnd"/>
          </w:p>
        </w:tc>
        <w:tc>
          <w:tcPr>
            <w:tcW w:w="2238" w:type="dxa"/>
          </w:tcPr>
          <w:p w14:paraId="35C68B60"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Lufthansa</w:t>
            </w:r>
          </w:p>
        </w:tc>
        <w:tc>
          <w:tcPr>
            <w:tcW w:w="2238" w:type="dxa"/>
          </w:tcPr>
          <w:p w14:paraId="1CDDB593"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0.024</w:t>
            </w:r>
          </w:p>
        </w:tc>
        <w:tc>
          <w:tcPr>
            <w:tcW w:w="2239" w:type="dxa"/>
          </w:tcPr>
          <w:p w14:paraId="008B77C3"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N/A / 5</w:t>
            </w:r>
          </w:p>
        </w:tc>
      </w:tr>
      <w:tr w:rsidR="005960D1" w14:paraId="777CF85B" w14:textId="77777777" w:rsidTr="00A4418A">
        <w:tc>
          <w:tcPr>
            <w:tcW w:w="2235" w:type="dxa"/>
            <w:vMerge w:val="restart"/>
          </w:tcPr>
          <w:p w14:paraId="5E8C2D8C" w14:textId="77777777" w:rsidR="005960D1" w:rsidRDefault="005960D1" w:rsidP="00A4418A">
            <w:pPr>
              <w:spacing w:after="120" w:line="259" w:lineRule="auto"/>
              <w:rPr>
                <w:rFonts w:ascii="Century Gothic" w:hAnsi="Century Gothic" w:cstheme="minorHAnsi"/>
                <w:sz w:val="20"/>
                <w:szCs w:val="21"/>
              </w:rPr>
            </w:pPr>
            <w:proofErr w:type="spellStart"/>
            <w:r>
              <w:rPr>
                <w:rFonts w:ascii="Century Gothic" w:hAnsi="Century Gothic" w:cstheme="minorHAnsi"/>
                <w:sz w:val="20"/>
                <w:szCs w:val="21"/>
              </w:rPr>
              <w:t>RedRock</w:t>
            </w:r>
            <w:proofErr w:type="spellEnd"/>
          </w:p>
        </w:tc>
        <w:tc>
          <w:tcPr>
            <w:tcW w:w="2238" w:type="dxa"/>
          </w:tcPr>
          <w:p w14:paraId="42BC3F58"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Southwest</w:t>
            </w:r>
          </w:p>
        </w:tc>
        <w:tc>
          <w:tcPr>
            <w:tcW w:w="2238" w:type="dxa"/>
          </w:tcPr>
          <w:p w14:paraId="4AD6D847"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0.152</w:t>
            </w:r>
          </w:p>
        </w:tc>
        <w:tc>
          <w:tcPr>
            <w:tcW w:w="2239" w:type="dxa"/>
          </w:tcPr>
          <w:p w14:paraId="2F33F64F"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 xml:space="preserve">N/A / N/A </w:t>
            </w:r>
          </w:p>
        </w:tc>
      </w:tr>
      <w:tr w:rsidR="005960D1" w14:paraId="0EF706DE" w14:textId="77777777" w:rsidTr="00A4418A">
        <w:tc>
          <w:tcPr>
            <w:tcW w:w="2235" w:type="dxa"/>
            <w:vMerge/>
          </w:tcPr>
          <w:p w14:paraId="1050BC17" w14:textId="77777777" w:rsidR="005960D1" w:rsidRDefault="005960D1" w:rsidP="00A4418A">
            <w:pPr>
              <w:spacing w:after="120" w:line="259" w:lineRule="auto"/>
              <w:rPr>
                <w:rFonts w:ascii="Century Gothic" w:hAnsi="Century Gothic" w:cstheme="minorHAnsi"/>
                <w:sz w:val="20"/>
                <w:szCs w:val="21"/>
              </w:rPr>
            </w:pPr>
          </w:p>
        </w:tc>
        <w:tc>
          <w:tcPr>
            <w:tcW w:w="2238" w:type="dxa"/>
          </w:tcPr>
          <w:p w14:paraId="044C69BE"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FedEx</w:t>
            </w:r>
          </w:p>
        </w:tc>
        <w:tc>
          <w:tcPr>
            <w:tcW w:w="2238" w:type="dxa"/>
          </w:tcPr>
          <w:p w14:paraId="02815806"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0.024</w:t>
            </w:r>
          </w:p>
        </w:tc>
        <w:tc>
          <w:tcPr>
            <w:tcW w:w="2239" w:type="dxa"/>
          </w:tcPr>
          <w:p w14:paraId="371A81EC"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N/A / 7</w:t>
            </w:r>
          </w:p>
        </w:tc>
      </w:tr>
      <w:tr w:rsidR="005960D1" w14:paraId="2BE86780" w14:textId="77777777" w:rsidTr="00A4418A">
        <w:tc>
          <w:tcPr>
            <w:tcW w:w="2235" w:type="dxa"/>
            <w:vMerge w:val="restart"/>
          </w:tcPr>
          <w:p w14:paraId="35CF2BBF"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SG Preston</w:t>
            </w:r>
          </w:p>
        </w:tc>
        <w:tc>
          <w:tcPr>
            <w:tcW w:w="2238" w:type="dxa"/>
          </w:tcPr>
          <w:p w14:paraId="67CE0198"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Jet Blue</w:t>
            </w:r>
          </w:p>
        </w:tc>
        <w:tc>
          <w:tcPr>
            <w:tcW w:w="2238" w:type="dxa"/>
          </w:tcPr>
          <w:p w14:paraId="652021CC"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0.03</w:t>
            </w:r>
          </w:p>
        </w:tc>
        <w:tc>
          <w:tcPr>
            <w:tcW w:w="2239" w:type="dxa"/>
          </w:tcPr>
          <w:p w14:paraId="1CBD796F"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2019 / 10</w:t>
            </w:r>
          </w:p>
        </w:tc>
      </w:tr>
      <w:tr w:rsidR="005960D1" w14:paraId="4FABD9F5" w14:textId="77777777" w:rsidTr="00A4418A">
        <w:tc>
          <w:tcPr>
            <w:tcW w:w="2235" w:type="dxa"/>
            <w:vMerge/>
          </w:tcPr>
          <w:p w14:paraId="0DD75A9E" w14:textId="77777777" w:rsidR="005960D1" w:rsidRDefault="005960D1" w:rsidP="00A4418A">
            <w:pPr>
              <w:spacing w:after="120" w:line="259" w:lineRule="auto"/>
              <w:rPr>
                <w:rFonts w:ascii="Century Gothic" w:hAnsi="Century Gothic" w:cstheme="minorHAnsi"/>
                <w:sz w:val="20"/>
                <w:szCs w:val="21"/>
              </w:rPr>
            </w:pPr>
          </w:p>
        </w:tc>
        <w:tc>
          <w:tcPr>
            <w:tcW w:w="2238" w:type="dxa"/>
          </w:tcPr>
          <w:p w14:paraId="19BC0CF5"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Qantas</w:t>
            </w:r>
          </w:p>
        </w:tc>
        <w:tc>
          <w:tcPr>
            <w:tcW w:w="2238" w:type="dxa"/>
          </w:tcPr>
          <w:p w14:paraId="5E49D743"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0.024</w:t>
            </w:r>
          </w:p>
        </w:tc>
        <w:tc>
          <w:tcPr>
            <w:tcW w:w="2239" w:type="dxa"/>
          </w:tcPr>
          <w:p w14:paraId="51D41163"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2020 / 10</w:t>
            </w:r>
          </w:p>
        </w:tc>
      </w:tr>
      <w:tr w:rsidR="005960D1" w14:paraId="3AB57F4C" w14:textId="77777777" w:rsidTr="00A4418A">
        <w:tc>
          <w:tcPr>
            <w:tcW w:w="2235" w:type="dxa"/>
          </w:tcPr>
          <w:p w14:paraId="30F4727F" w14:textId="77777777" w:rsidR="005960D1" w:rsidRDefault="005960D1" w:rsidP="00A4418A">
            <w:pPr>
              <w:spacing w:after="120" w:line="259" w:lineRule="auto"/>
              <w:rPr>
                <w:rFonts w:ascii="Century Gothic" w:hAnsi="Century Gothic" w:cstheme="minorHAnsi"/>
                <w:sz w:val="20"/>
                <w:szCs w:val="21"/>
              </w:rPr>
            </w:pPr>
            <w:proofErr w:type="spellStart"/>
            <w:r>
              <w:rPr>
                <w:rFonts w:ascii="Century Gothic" w:hAnsi="Century Gothic" w:cstheme="minorHAnsi"/>
                <w:sz w:val="20"/>
                <w:szCs w:val="21"/>
              </w:rPr>
              <w:t>SkyNRG</w:t>
            </w:r>
            <w:proofErr w:type="spellEnd"/>
            <w:r>
              <w:rPr>
                <w:rFonts w:ascii="Century Gothic" w:hAnsi="Century Gothic" w:cstheme="minorHAnsi"/>
                <w:sz w:val="20"/>
                <w:szCs w:val="21"/>
              </w:rPr>
              <w:t>, SHV</w:t>
            </w:r>
          </w:p>
        </w:tc>
        <w:tc>
          <w:tcPr>
            <w:tcW w:w="2238" w:type="dxa"/>
          </w:tcPr>
          <w:p w14:paraId="2CD9314E"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KLM</w:t>
            </w:r>
          </w:p>
        </w:tc>
        <w:tc>
          <w:tcPr>
            <w:tcW w:w="2238" w:type="dxa"/>
          </w:tcPr>
          <w:p w14:paraId="23453589"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0.075</w:t>
            </w:r>
          </w:p>
        </w:tc>
        <w:tc>
          <w:tcPr>
            <w:tcW w:w="2239" w:type="dxa"/>
          </w:tcPr>
          <w:p w14:paraId="31238517" w14:textId="77777777" w:rsidR="005960D1" w:rsidRDefault="005960D1" w:rsidP="00A4418A">
            <w:pPr>
              <w:spacing w:after="120" w:line="259" w:lineRule="auto"/>
              <w:rPr>
                <w:rFonts w:ascii="Century Gothic" w:hAnsi="Century Gothic" w:cstheme="minorHAnsi"/>
                <w:sz w:val="20"/>
                <w:szCs w:val="21"/>
              </w:rPr>
            </w:pPr>
            <w:r>
              <w:rPr>
                <w:rFonts w:ascii="Century Gothic" w:hAnsi="Century Gothic" w:cstheme="minorHAnsi"/>
                <w:sz w:val="20"/>
                <w:szCs w:val="21"/>
              </w:rPr>
              <w:t>2022 / 10</w:t>
            </w:r>
          </w:p>
        </w:tc>
      </w:tr>
      <w:tr w:rsidR="00346E81" w14:paraId="07D347E2" w14:textId="77777777" w:rsidTr="00A4418A">
        <w:tc>
          <w:tcPr>
            <w:tcW w:w="2235" w:type="dxa"/>
          </w:tcPr>
          <w:p w14:paraId="55EF5AEA" w14:textId="3B6F745A" w:rsidR="00346E81" w:rsidRDefault="00346E81" w:rsidP="00346E81">
            <w:pPr>
              <w:spacing w:after="120"/>
              <w:rPr>
                <w:rFonts w:ascii="Century Gothic" w:hAnsi="Century Gothic" w:cstheme="minorHAnsi"/>
                <w:sz w:val="20"/>
                <w:szCs w:val="21"/>
              </w:rPr>
            </w:pPr>
            <w:r>
              <w:rPr>
                <w:rFonts w:ascii="Century Gothic" w:hAnsi="Century Gothic" w:cstheme="minorHAnsi"/>
                <w:sz w:val="20"/>
                <w:szCs w:val="21"/>
              </w:rPr>
              <w:t>World Energy</w:t>
            </w:r>
          </w:p>
        </w:tc>
        <w:tc>
          <w:tcPr>
            <w:tcW w:w="2238" w:type="dxa"/>
          </w:tcPr>
          <w:p w14:paraId="5A7FAA1C" w14:textId="3DCF66D4" w:rsidR="00346E81" w:rsidRDefault="00346E81" w:rsidP="00346E81">
            <w:pPr>
              <w:spacing w:after="120"/>
              <w:rPr>
                <w:rFonts w:ascii="Century Gothic" w:hAnsi="Century Gothic" w:cstheme="minorHAnsi"/>
                <w:sz w:val="20"/>
                <w:szCs w:val="21"/>
              </w:rPr>
            </w:pPr>
            <w:r>
              <w:rPr>
                <w:rFonts w:ascii="Century Gothic" w:hAnsi="Century Gothic" w:cstheme="minorHAnsi"/>
                <w:sz w:val="20"/>
                <w:szCs w:val="21"/>
              </w:rPr>
              <w:t>United, KLM, Gulfstream, Lufthansa, SAS, others</w:t>
            </w:r>
          </w:p>
        </w:tc>
        <w:tc>
          <w:tcPr>
            <w:tcW w:w="2238" w:type="dxa"/>
          </w:tcPr>
          <w:p w14:paraId="6EADCB9C" w14:textId="58A8AD74" w:rsidR="00346E81" w:rsidRDefault="00346E81" w:rsidP="00346E81">
            <w:pPr>
              <w:spacing w:after="120"/>
              <w:rPr>
                <w:rFonts w:ascii="Century Gothic" w:hAnsi="Century Gothic" w:cstheme="minorHAnsi"/>
                <w:sz w:val="20"/>
                <w:szCs w:val="21"/>
              </w:rPr>
            </w:pPr>
            <w:r>
              <w:rPr>
                <w:rFonts w:ascii="Century Gothic" w:hAnsi="Century Gothic" w:cstheme="minorHAnsi"/>
                <w:sz w:val="20"/>
                <w:szCs w:val="21"/>
              </w:rPr>
              <w:t>0.462</w:t>
            </w:r>
          </w:p>
        </w:tc>
        <w:tc>
          <w:tcPr>
            <w:tcW w:w="2239" w:type="dxa"/>
          </w:tcPr>
          <w:p w14:paraId="1C691EE7" w14:textId="5A131E32" w:rsidR="00346E81" w:rsidRDefault="00346E81" w:rsidP="00346E81">
            <w:pPr>
              <w:spacing w:after="120"/>
              <w:rPr>
                <w:rFonts w:ascii="Century Gothic" w:hAnsi="Century Gothic" w:cstheme="minorHAnsi"/>
                <w:sz w:val="20"/>
                <w:szCs w:val="21"/>
              </w:rPr>
            </w:pPr>
            <w:r>
              <w:rPr>
                <w:rFonts w:ascii="Century Gothic" w:hAnsi="Century Gothic" w:cstheme="minorHAnsi"/>
                <w:sz w:val="20"/>
                <w:szCs w:val="21"/>
              </w:rPr>
              <w:t>N/A / N/A</w:t>
            </w:r>
          </w:p>
        </w:tc>
      </w:tr>
    </w:tbl>
    <w:p w14:paraId="24EA8481" w14:textId="77777777" w:rsidR="005960D1" w:rsidRDefault="005960D1" w:rsidP="005960D1">
      <w:pPr>
        <w:spacing w:after="120"/>
        <w:rPr>
          <w:rFonts w:ascii="Century Gothic" w:hAnsi="Century Gothic" w:cstheme="minorHAnsi"/>
          <w:sz w:val="20"/>
          <w:szCs w:val="21"/>
        </w:rPr>
      </w:pPr>
    </w:p>
    <w:p w14:paraId="1B88449F" w14:textId="77777777" w:rsidR="005960D1" w:rsidRPr="00181707" w:rsidRDefault="005960D1" w:rsidP="00181707">
      <w:pPr>
        <w:spacing w:before="40" w:after="120"/>
        <w:ind w:left="66"/>
        <w:rPr>
          <w:rFonts w:ascii="Century Gothic" w:hAnsi="Century Gothic" w:cstheme="minorHAnsi"/>
          <w:sz w:val="20"/>
          <w:szCs w:val="21"/>
        </w:rPr>
      </w:pPr>
    </w:p>
    <w:sectPr w:rsidR="005960D1" w:rsidRPr="00181707" w:rsidSect="0023722F">
      <w:headerReference w:type="even" r:id="rId14"/>
      <w:headerReference w:type="default" r:id="rId15"/>
      <w:footerReference w:type="default" r:id="rId16"/>
      <w:headerReference w:type="first" r:id="rId17"/>
      <w:pgSz w:w="11906" w:h="16838"/>
      <w:pgMar w:top="1440" w:right="1440"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7E4A2" w14:textId="77777777" w:rsidR="00F60743" w:rsidRDefault="00F60743" w:rsidP="002E1177">
      <w:pPr>
        <w:spacing w:after="0" w:line="240" w:lineRule="auto"/>
      </w:pPr>
      <w:r>
        <w:separator/>
      </w:r>
    </w:p>
  </w:endnote>
  <w:endnote w:type="continuationSeparator" w:id="0">
    <w:p w14:paraId="0B9699A7" w14:textId="77777777" w:rsidR="00F60743" w:rsidRDefault="00F60743" w:rsidP="002E1177">
      <w:pPr>
        <w:spacing w:after="0" w:line="240" w:lineRule="auto"/>
      </w:pPr>
      <w:r>
        <w:continuationSeparator/>
      </w:r>
    </w:p>
  </w:endnote>
  <w:endnote w:type="continuationNotice" w:id="1">
    <w:p w14:paraId="45EB28BE" w14:textId="77777777" w:rsidR="00330CE9" w:rsidRDefault="00330C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NimbusSanLig">
    <w:altName w:val="Calibri"/>
    <w:panose1 w:val="00000000000000000000"/>
    <w:charset w:val="00"/>
    <w:family w:val="swiss"/>
    <w:notTrueType/>
    <w:pitch w:val="default"/>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enturyGothic">
    <w:altName w:val="Times New Roman"/>
    <w:panose1 w:val="00000000000000000000"/>
    <w:charset w:val="00"/>
    <w:family w:val="swiss"/>
    <w:notTrueType/>
    <w:pitch w:val="default"/>
    <w:sig w:usb0="00000003" w:usb1="09060000" w:usb2="00000010"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7172031"/>
      <w:docPartObj>
        <w:docPartGallery w:val="Page Numbers (Bottom of Page)"/>
        <w:docPartUnique/>
      </w:docPartObj>
    </w:sdtPr>
    <w:sdtEndPr>
      <w:rPr>
        <w:noProof/>
        <w:sz w:val="18"/>
      </w:rPr>
    </w:sdtEndPr>
    <w:sdtContent>
      <w:p w14:paraId="02EC0A8E" w14:textId="54B0B40C" w:rsidR="00DE70A6" w:rsidRPr="00DE70A6" w:rsidRDefault="00DE70A6" w:rsidP="00DE70A6">
        <w:pPr>
          <w:pStyle w:val="Footer"/>
          <w:jc w:val="center"/>
          <w:rPr>
            <w:sz w:val="18"/>
          </w:rPr>
        </w:pPr>
        <w:r w:rsidRPr="00DE70A6">
          <w:rPr>
            <w:sz w:val="18"/>
          </w:rPr>
          <w:fldChar w:fldCharType="begin"/>
        </w:r>
        <w:r w:rsidRPr="00DE70A6">
          <w:rPr>
            <w:sz w:val="18"/>
          </w:rPr>
          <w:instrText xml:space="preserve"> PAGE   \* MERGEFORMAT </w:instrText>
        </w:r>
        <w:r w:rsidRPr="00DE70A6">
          <w:rPr>
            <w:sz w:val="18"/>
          </w:rPr>
          <w:fldChar w:fldCharType="separate"/>
        </w:r>
        <w:r w:rsidRPr="00DE70A6">
          <w:rPr>
            <w:noProof/>
            <w:sz w:val="18"/>
          </w:rPr>
          <w:t>2</w:t>
        </w:r>
        <w:r w:rsidRPr="00DE70A6">
          <w:rPr>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1BDC4" w14:textId="77777777" w:rsidR="00F60743" w:rsidRDefault="00F60743" w:rsidP="002E1177">
      <w:pPr>
        <w:spacing w:after="0" w:line="240" w:lineRule="auto"/>
      </w:pPr>
      <w:r>
        <w:separator/>
      </w:r>
    </w:p>
  </w:footnote>
  <w:footnote w:type="continuationSeparator" w:id="0">
    <w:p w14:paraId="0446F624" w14:textId="77777777" w:rsidR="00F60743" w:rsidRDefault="00F60743" w:rsidP="002E1177">
      <w:pPr>
        <w:spacing w:after="0" w:line="240" w:lineRule="auto"/>
      </w:pPr>
      <w:r>
        <w:continuationSeparator/>
      </w:r>
    </w:p>
  </w:footnote>
  <w:footnote w:type="continuationNotice" w:id="1">
    <w:p w14:paraId="3288E1D7" w14:textId="77777777" w:rsidR="00330CE9" w:rsidRDefault="00330CE9">
      <w:pPr>
        <w:spacing w:after="0" w:line="240" w:lineRule="auto"/>
      </w:pPr>
    </w:p>
  </w:footnote>
  <w:footnote w:id="2">
    <w:p w14:paraId="76748592" w14:textId="2EA0682C" w:rsidR="00A4418A" w:rsidRPr="007E35BE" w:rsidRDefault="00A4418A">
      <w:pPr>
        <w:pStyle w:val="FootnoteText"/>
        <w:rPr>
          <w:rFonts w:cstheme="minorHAnsi"/>
          <w:lang w:val="en-US"/>
        </w:rPr>
      </w:pPr>
      <w:r w:rsidRPr="007E35BE">
        <w:rPr>
          <w:rStyle w:val="FootnoteReference"/>
          <w:rFonts w:cstheme="minorHAnsi"/>
        </w:rPr>
        <w:footnoteRef/>
      </w:r>
      <w:r w:rsidRPr="007E35BE">
        <w:rPr>
          <w:rFonts w:cstheme="minorHAnsi"/>
        </w:rPr>
        <w:t xml:space="preserve"> </w:t>
      </w:r>
      <w:hyperlink r:id="rId1" w:history="1">
        <w:r w:rsidRPr="007E35BE">
          <w:rPr>
            <w:rStyle w:val="Hyperlink"/>
            <w:rFonts w:cstheme="minorHAnsi"/>
            <w:color w:val="auto"/>
            <w:u w:val="none"/>
          </w:rPr>
          <w:t>ETC</w:t>
        </w:r>
      </w:hyperlink>
      <w:r w:rsidRPr="007E35BE">
        <w:rPr>
          <w:rStyle w:val="Hyperlink"/>
          <w:rFonts w:cstheme="minorHAnsi"/>
          <w:color w:val="auto"/>
          <w:u w:val="none"/>
        </w:rPr>
        <w:t xml:space="preserve"> </w:t>
      </w:r>
      <w:r w:rsidRPr="007E35BE">
        <w:rPr>
          <w:rStyle w:val="Hyperlink"/>
          <w:rFonts w:cstheme="minorHAnsi"/>
          <w:color w:val="auto"/>
          <w:u w:val="none"/>
          <w:lang w:val="en-US"/>
        </w:rPr>
        <w:t xml:space="preserve">(2018) – Mission Possible, </w:t>
      </w:r>
      <w:r>
        <w:rPr>
          <w:rStyle w:val="Hyperlink"/>
          <w:rFonts w:cstheme="minorHAnsi"/>
          <w:color w:val="auto"/>
          <w:u w:val="none"/>
          <w:lang w:val="en-US"/>
        </w:rPr>
        <w:t xml:space="preserve">Sectoral Focus, </w:t>
      </w:r>
      <w:r w:rsidRPr="007E35BE">
        <w:rPr>
          <w:rStyle w:val="Hyperlink"/>
          <w:rFonts w:cstheme="minorHAnsi"/>
          <w:color w:val="auto"/>
          <w:u w:val="none"/>
          <w:lang w:val="en-US"/>
        </w:rPr>
        <w:t>Aviation</w:t>
      </w:r>
      <w:r>
        <w:rPr>
          <w:rStyle w:val="Hyperlink"/>
          <w:rFonts w:cstheme="minorHAnsi"/>
          <w:color w:val="auto"/>
          <w:u w:val="none"/>
          <w:lang w:val="en-US"/>
        </w:rPr>
        <w:t xml:space="preserve"> (</w:t>
      </w:r>
      <w:hyperlink r:id="rId2" w:history="1">
        <w:r>
          <w:rPr>
            <w:rStyle w:val="Hyperlink"/>
          </w:rPr>
          <w:t>http://www.energy-transitions.org/sites/default/files/ETC%20sectoral%20focus%20-%20Aviation_final.pdf</w:t>
        </w:r>
      </w:hyperlink>
      <w:r>
        <w:t>)</w:t>
      </w:r>
    </w:p>
  </w:footnote>
  <w:footnote w:id="3">
    <w:p w14:paraId="325D7CC1" w14:textId="77777777" w:rsidR="00A4418A" w:rsidRPr="00B05B67" w:rsidRDefault="00A4418A" w:rsidP="001E300E">
      <w:pPr>
        <w:pStyle w:val="FootnoteText"/>
      </w:pPr>
      <w:r>
        <w:rPr>
          <w:rStyle w:val="FootnoteReference"/>
        </w:rPr>
        <w:footnoteRef/>
      </w:r>
      <w:r>
        <w:t xml:space="preserve"> </w:t>
      </w:r>
      <w:proofErr w:type="spellStart"/>
      <w:r>
        <w:t>Eurocontrol</w:t>
      </w:r>
      <w:proofErr w:type="spellEnd"/>
      <w:r>
        <w:t xml:space="preserve"> (2019) – European Aviation Environmental Report 2019</w:t>
      </w:r>
    </w:p>
  </w:footnote>
  <w:footnote w:id="4">
    <w:p w14:paraId="065AEA45" w14:textId="77777777" w:rsidR="00A4418A" w:rsidRPr="009B6B67" w:rsidRDefault="00A4418A" w:rsidP="00773DF4">
      <w:pPr>
        <w:pStyle w:val="FootnoteText"/>
      </w:pPr>
      <w:r>
        <w:rPr>
          <w:rStyle w:val="FootnoteReference"/>
        </w:rPr>
        <w:footnoteRef/>
      </w:r>
      <w:r w:rsidRPr="009B6B67">
        <w:t xml:space="preserve"> IATA (2019) – Industry Fact Sheet</w:t>
      </w:r>
    </w:p>
  </w:footnote>
  <w:footnote w:id="5">
    <w:p w14:paraId="6F5CB1A1" w14:textId="77777777" w:rsidR="00A4418A" w:rsidRPr="009B6B67" w:rsidRDefault="00A4418A" w:rsidP="00773DF4">
      <w:pPr>
        <w:pStyle w:val="FootnoteText"/>
      </w:pPr>
      <w:r>
        <w:rPr>
          <w:rStyle w:val="FootnoteReference"/>
        </w:rPr>
        <w:footnoteRef/>
      </w:r>
      <w:r w:rsidRPr="009B6B67">
        <w:t xml:space="preserve"> IATA (2019) – Industry Fact Sheet</w:t>
      </w:r>
    </w:p>
  </w:footnote>
  <w:footnote w:id="6">
    <w:p w14:paraId="5BCF22A8" w14:textId="77777777" w:rsidR="00A4418A" w:rsidRPr="00D520DA" w:rsidRDefault="00A4418A" w:rsidP="004C23F9">
      <w:pPr>
        <w:pStyle w:val="FootnoteText"/>
        <w:rPr>
          <w:lang w:val="en-US"/>
        </w:rPr>
      </w:pPr>
      <w:r>
        <w:rPr>
          <w:rStyle w:val="FootnoteReference"/>
        </w:rPr>
        <w:footnoteRef/>
      </w:r>
      <w:r w:rsidRPr="009B6B67">
        <w:t xml:space="preserve"> Schäfer et al. </w:t>
      </w:r>
      <w:r w:rsidRPr="00877DCC">
        <w:t>(2018)</w:t>
      </w:r>
      <w:r>
        <w:rPr>
          <w:lang w:val="en-US"/>
        </w:rPr>
        <w:t xml:space="preserve"> – Technological, economic, and environmental prospects of all-electric aircraft</w:t>
      </w:r>
    </w:p>
  </w:footnote>
  <w:footnote w:id="7">
    <w:p w14:paraId="59D215A5" w14:textId="77777777" w:rsidR="00A4418A" w:rsidRPr="00175B9D" w:rsidRDefault="00A4418A" w:rsidP="0090060C">
      <w:pPr>
        <w:pStyle w:val="FootnoteText"/>
        <w:rPr>
          <w:lang w:val="en-US"/>
        </w:rPr>
      </w:pPr>
      <w:r>
        <w:rPr>
          <w:rStyle w:val="FootnoteReference"/>
        </w:rPr>
        <w:footnoteRef/>
      </w:r>
      <w:r>
        <w:t xml:space="preserve"> </w:t>
      </w:r>
      <w:r>
        <w:rPr>
          <w:lang w:val="en-US"/>
        </w:rPr>
        <w:t>ICAO, IATA, and Flight Global (2018) – World Airlines Ranking</w:t>
      </w:r>
    </w:p>
  </w:footnote>
  <w:footnote w:id="8">
    <w:p w14:paraId="110F5E20" w14:textId="77777777" w:rsidR="00A4418A" w:rsidRPr="00CE1896" w:rsidRDefault="00A4418A" w:rsidP="00FA4DB0">
      <w:pPr>
        <w:pStyle w:val="FootnoteText"/>
      </w:pPr>
      <w:r>
        <w:rPr>
          <w:rStyle w:val="FootnoteReference"/>
        </w:rPr>
        <w:footnoteRef/>
      </w:r>
      <w:r>
        <w:t xml:space="preserve"> ICAO (2019) – Freedoms of the Air</w:t>
      </w:r>
    </w:p>
  </w:footnote>
  <w:footnote w:id="9">
    <w:p w14:paraId="168917F0" w14:textId="77777777" w:rsidR="00BE51B8" w:rsidRPr="00B5500D" w:rsidRDefault="00BE51B8" w:rsidP="00BE51B8">
      <w:pPr>
        <w:pStyle w:val="FootnoteText"/>
        <w:rPr>
          <w:lang w:val="en-US"/>
        </w:rPr>
      </w:pPr>
      <w:r>
        <w:rPr>
          <w:rStyle w:val="FootnoteReference"/>
        </w:rPr>
        <w:footnoteRef/>
      </w:r>
      <w:r>
        <w:t xml:space="preserve"> </w:t>
      </w:r>
      <w:r>
        <w:rPr>
          <w:lang w:val="en-US"/>
        </w:rPr>
        <w:t xml:space="preserve">EIA (2019) – U.S. Gulf Coast </w:t>
      </w:r>
      <w:proofErr w:type="spellStart"/>
      <w:r>
        <w:rPr>
          <w:lang w:val="en-US"/>
        </w:rPr>
        <w:t>Kersone</w:t>
      </w:r>
      <w:proofErr w:type="spellEnd"/>
      <w:r>
        <w:rPr>
          <w:lang w:val="en-US"/>
        </w:rPr>
        <w:t>-Type Jet Fuel Spot Price</w:t>
      </w:r>
    </w:p>
  </w:footnote>
  <w:footnote w:id="10">
    <w:p w14:paraId="59C7E274" w14:textId="5844773E" w:rsidR="00A4418A" w:rsidRPr="00F91FF6" w:rsidRDefault="00A4418A">
      <w:pPr>
        <w:pStyle w:val="FootnoteText"/>
      </w:pPr>
      <w:r>
        <w:rPr>
          <w:rStyle w:val="FootnoteReference"/>
        </w:rPr>
        <w:footnoteRef/>
      </w:r>
      <w:r>
        <w:t xml:space="preserve"> </w:t>
      </w:r>
      <w:hyperlink r:id="rId3" w:history="1">
        <w:r>
          <w:rPr>
            <w:rStyle w:val="Hyperlink"/>
          </w:rPr>
          <w:t>https://www.mordorintelligence.com/industry-reports/jet-fuel-market</w:t>
        </w:r>
      </w:hyperlink>
    </w:p>
  </w:footnote>
  <w:footnote w:id="11">
    <w:p w14:paraId="6FDE6AA1" w14:textId="33DBC585" w:rsidR="00A4418A" w:rsidRDefault="00A4418A">
      <w:pPr>
        <w:pStyle w:val="FootnoteText"/>
      </w:pPr>
      <w:r>
        <w:rPr>
          <w:rStyle w:val="FootnoteReference"/>
        </w:rPr>
        <w:footnoteRef/>
      </w:r>
      <w:r>
        <w:t xml:space="preserve"> ETC (2018) – Mission Possible, Sectoral Focus, Aviation</w:t>
      </w:r>
    </w:p>
  </w:footnote>
  <w:footnote w:id="12">
    <w:p w14:paraId="17A2AE3B" w14:textId="77777777" w:rsidR="00A4418A" w:rsidRPr="00AF49AC" w:rsidRDefault="00A4418A" w:rsidP="00FB3300">
      <w:pPr>
        <w:pStyle w:val="FootnoteText"/>
        <w:rPr>
          <w:lang w:val="en-US"/>
        </w:rPr>
      </w:pPr>
      <w:r>
        <w:rPr>
          <w:rStyle w:val="FootnoteReference"/>
        </w:rPr>
        <w:footnoteRef/>
      </w:r>
      <w:r>
        <w:t xml:space="preserve"> </w:t>
      </w:r>
      <w:r>
        <w:rPr>
          <w:lang w:val="en-US"/>
        </w:rPr>
        <w:t>ICAO (2016) – ICAO Environmental report 2016</w:t>
      </w:r>
    </w:p>
  </w:footnote>
  <w:footnote w:id="13">
    <w:p w14:paraId="0EE93BC1" w14:textId="77777777" w:rsidR="00A4418A" w:rsidRPr="00A6799D" w:rsidRDefault="00A4418A" w:rsidP="003C3C88">
      <w:pPr>
        <w:pStyle w:val="FootnoteText"/>
      </w:pPr>
      <w:r>
        <w:rPr>
          <w:rStyle w:val="FootnoteReference"/>
        </w:rPr>
        <w:footnoteRef/>
      </w:r>
      <w:r>
        <w:t xml:space="preserve"> Swedavia (2019) – Passenger statistics for December and full-year 2018</w:t>
      </w:r>
    </w:p>
  </w:footnote>
  <w:footnote w:id="14">
    <w:p w14:paraId="358C69DF" w14:textId="77777777" w:rsidR="00A4418A" w:rsidRPr="009F50CD" w:rsidRDefault="00A4418A" w:rsidP="00B149E2">
      <w:pPr>
        <w:pStyle w:val="FootnoteText"/>
        <w:rPr>
          <w:lang w:val="en-US"/>
        </w:rPr>
      </w:pPr>
      <w:r>
        <w:rPr>
          <w:rStyle w:val="FootnoteReference"/>
        </w:rPr>
        <w:footnoteRef/>
      </w:r>
      <w:r>
        <w:t xml:space="preserve"> </w:t>
      </w:r>
      <w:r>
        <w:rPr>
          <w:lang w:val="en-US"/>
        </w:rPr>
        <w:t xml:space="preserve">Public announcements by various electric aviation startups, e.g., </w:t>
      </w:r>
      <w:proofErr w:type="spellStart"/>
      <w:r>
        <w:rPr>
          <w:lang w:val="en-US"/>
        </w:rPr>
        <w:t>Eviation</w:t>
      </w:r>
      <w:proofErr w:type="spellEnd"/>
      <w:r>
        <w:rPr>
          <w:lang w:val="en-US"/>
        </w:rPr>
        <w:t xml:space="preserve">, </w:t>
      </w:r>
      <w:proofErr w:type="spellStart"/>
      <w:r>
        <w:rPr>
          <w:lang w:val="en-US"/>
        </w:rPr>
        <w:t>ZeroAvia</w:t>
      </w:r>
      <w:proofErr w:type="spellEnd"/>
      <w:r>
        <w:rPr>
          <w:lang w:val="en-US"/>
        </w:rPr>
        <w:t xml:space="preserve">, </w:t>
      </w:r>
      <w:proofErr w:type="spellStart"/>
      <w:r>
        <w:rPr>
          <w:lang w:val="en-US"/>
        </w:rPr>
        <w:t>Ampaire</w:t>
      </w:r>
      <w:proofErr w:type="spellEnd"/>
    </w:p>
  </w:footnote>
  <w:footnote w:id="15">
    <w:p w14:paraId="11483AEB" w14:textId="77777777" w:rsidR="00A4418A" w:rsidRPr="00497CEE" w:rsidRDefault="00A4418A" w:rsidP="00E33920">
      <w:pPr>
        <w:pStyle w:val="FootnoteText"/>
      </w:pPr>
      <w:r>
        <w:rPr>
          <w:rStyle w:val="FootnoteReference"/>
        </w:rPr>
        <w:footnoteRef/>
      </w:r>
      <w:r>
        <w:t xml:space="preserve"> Roland Berger (2018) – Aircraft Electrical Propulsion</w:t>
      </w:r>
    </w:p>
  </w:footnote>
  <w:footnote w:id="16">
    <w:p w14:paraId="6EB57EDB" w14:textId="77777777" w:rsidR="00A4418A" w:rsidRPr="003C3C88" w:rsidRDefault="00A4418A" w:rsidP="00A73F5D">
      <w:pPr>
        <w:spacing w:after="0" w:line="240" w:lineRule="auto"/>
        <w:rPr>
          <w:sz w:val="20"/>
          <w:szCs w:val="20"/>
        </w:rPr>
      </w:pPr>
      <w:r>
        <w:rPr>
          <w:rStyle w:val="FootnoteReference"/>
        </w:rPr>
        <w:footnoteRef/>
      </w:r>
      <w:r>
        <w:t xml:space="preserve"> </w:t>
      </w:r>
      <w:r w:rsidRPr="003C3C88">
        <w:rPr>
          <w:sz w:val="20"/>
          <w:szCs w:val="20"/>
        </w:rPr>
        <w:t>Fischer-</w:t>
      </w:r>
      <w:proofErr w:type="spellStart"/>
      <w:r w:rsidRPr="003C3C88">
        <w:rPr>
          <w:sz w:val="20"/>
          <w:szCs w:val="20"/>
        </w:rPr>
        <w:t>Tropsch</w:t>
      </w:r>
      <w:proofErr w:type="spellEnd"/>
      <w:r w:rsidRPr="003C3C88">
        <w:rPr>
          <w:sz w:val="20"/>
          <w:szCs w:val="20"/>
        </w:rPr>
        <w:t xml:space="preserve"> </w:t>
      </w:r>
      <w:proofErr w:type="spellStart"/>
      <w:r w:rsidRPr="003C3C88">
        <w:rPr>
          <w:sz w:val="20"/>
          <w:szCs w:val="20"/>
        </w:rPr>
        <w:t>hydroprocessed</w:t>
      </w:r>
      <w:proofErr w:type="spellEnd"/>
      <w:r w:rsidRPr="003C3C88">
        <w:rPr>
          <w:sz w:val="20"/>
          <w:szCs w:val="20"/>
        </w:rPr>
        <w:t xml:space="preserve"> kerosene (FT-SPK)</w:t>
      </w:r>
      <w:r>
        <w:rPr>
          <w:sz w:val="20"/>
          <w:szCs w:val="20"/>
        </w:rPr>
        <w:t xml:space="preserve">, </w:t>
      </w:r>
      <w:proofErr w:type="spellStart"/>
      <w:r w:rsidRPr="003C3C88">
        <w:rPr>
          <w:sz w:val="20"/>
          <w:szCs w:val="20"/>
        </w:rPr>
        <w:t>Hydroprocessed</w:t>
      </w:r>
      <w:proofErr w:type="spellEnd"/>
      <w:r w:rsidRPr="003C3C88">
        <w:rPr>
          <w:sz w:val="20"/>
          <w:szCs w:val="20"/>
        </w:rPr>
        <w:t xml:space="preserve"> esters and fatty acids kerosene (HEFA-SPK)</w:t>
      </w:r>
      <w:r>
        <w:rPr>
          <w:sz w:val="20"/>
          <w:szCs w:val="20"/>
        </w:rPr>
        <w:t xml:space="preserve">, </w:t>
      </w:r>
      <w:r w:rsidRPr="003C3C88">
        <w:rPr>
          <w:sz w:val="20"/>
          <w:szCs w:val="20"/>
        </w:rPr>
        <w:t xml:space="preserve">Iso-paraffins from </w:t>
      </w:r>
      <w:proofErr w:type="spellStart"/>
      <w:r w:rsidRPr="003C3C88">
        <w:rPr>
          <w:sz w:val="20"/>
          <w:szCs w:val="20"/>
        </w:rPr>
        <w:t>hydroprocessed</w:t>
      </w:r>
      <w:proofErr w:type="spellEnd"/>
      <w:r w:rsidRPr="003C3C88">
        <w:rPr>
          <w:sz w:val="20"/>
          <w:szCs w:val="20"/>
        </w:rPr>
        <w:t xml:space="preserve"> fermented sugars (HFS-SIP)</w:t>
      </w:r>
      <w:r>
        <w:rPr>
          <w:sz w:val="20"/>
          <w:szCs w:val="20"/>
        </w:rPr>
        <w:t xml:space="preserve">, </w:t>
      </w:r>
      <w:r w:rsidRPr="003C3C88">
        <w:rPr>
          <w:sz w:val="20"/>
          <w:szCs w:val="20"/>
        </w:rPr>
        <w:t>Alkylation of light aromatics from non-petroleum sources kerosene (FT-SPK/A)</w:t>
      </w:r>
      <w:r>
        <w:rPr>
          <w:sz w:val="20"/>
          <w:szCs w:val="20"/>
        </w:rPr>
        <w:t xml:space="preserve">, </w:t>
      </w:r>
      <w:r w:rsidRPr="003C3C88">
        <w:rPr>
          <w:sz w:val="20"/>
          <w:szCs w:val="20"/>
        </w:rPr>
        <w:t>Alcohol-to-jet synthetic paraffinic kerosene (ATJ-SPK)</w:t>
      </w:r>
    </w:p>
  </w:footnote>
  <w:footnote w:id="17">
    <w:p w14:paraId="7D115E05" w14:textId="57E3ED22" w:rsidR="00A4418A" w:rsidRPr="00A121A7" w:rsidRDefault="00A4418A" w:rsidP="00E13888">
      <w:pPr>
        <w:pStyle w:val="FootnoteText"/>
        <w:rPr>
          <w:lang w:val="en-US"/>
        </w:rPr>
      </w:pPr>
      <w:r>
        <w:rPr>
          <w:rStyle w:val="FootnoteReference"/>
        </w:rPr>
        <w:footnoteRef/>
      </w:r>
      <w:r>
        <w:t xml:space="preserve"> </w:t>
      </w:r>
      <w:r>
        <w:rPr>
          <w:lang w:val="en-US"/>
        </w:rPr>
        <w:t>Aviation benefits without borders</w:t>
      </w:r>
      <w:r>
        <w:t xml:space="preserve"> – Beginner’s Guide to Sustainable Aviation Fuel</w:t>
      </w:r>
    </w:p>
  </w:footnote>
  <w:footnote w:id="18">
    <w:p w14:paraId="23E608A3" w14:textId="508958A5" w:rsidR="00A4418A" w:rsidRPr="00D41132" w:rsidRDefault="00A4418A" w:rsidP="00A3194A">
      <w:pPr>
        <w:pStyle w:val="FootnoteText"/>
      </w:pPr>
      <w:r>
        <w:rPr>
          <w:rStyle w:val="FootnoteReference"/>
        </w:rPr>
        <w:footnoteRef/>
      </w:r>
      <w:r>
        <w:t xml:space="preserve"> Aviation benefits without borders – Beginner’s Guide to Sustainable Aviation Fuel</w:t>
      </w:r>
    </w:p>
  </w:footnote>
  <w:footnote w:id="19">
    <w:p w14:paraId="194AF827" w14:textId="77777777" w:rsidR="00A4418A" w:rsidRPr="00F70688" w:rsidRDefault="00A4418A" w:rsidP="00896361">
      <w:pPr>
        <w:pStyle w:val="FootnoteText"/>
      </w:pPr>
      <w:r>
        <w:rPr>
          <w:rStyle w:val="FootnoteReference"/>
        </w:rPr>
        <w:footnoteRef/>
      </w:r>
      <w:r>
        <w:t xml:space="preserve"> IATA (2019) – Fuel Fact Sheet</w:t>
      </w:r>
    </w:p>
  </w:footnote>
  <w:footnote w:id="20">
    <w:p w14:paraId="44DA3B16" w14:textId="77777777" w:rsidR="00A4418A" w:rsidRPr="002B7E95" w:rsidRDefault="00A4418A" w:rsidP="00D22497">
      <w:pPr>
        <w:pStyle w:val="FootnoteText"/>
      </w:pPr>
      <w:r>
        <w:rPr>
          <w:rStyle w:val="FootnoteReference"/>
        </w:rPr>
        <w:footnoteRef/>
      </w:r>
      <w:r>
        <w:t xml:space="preserve"> ICAO (2018) – Sustainable Aviation Fuels Guide</w:t>
      </w:r>
    </w:p>
  </w:footnote>
  <w:footnote w:id="21">
    <w:p w14:paraId="1497F81D" w14:textId="77777777" w:rsidR="00A4418A" w:rsidRPr="00584C10" w:rsidRDefault="00A4418A" w:rsidP="005960D1">
      <w:pPr>
        <w:pStyle w:val="FootnoteText"/>
        <w:rPr>
          <w:lang w:val="en-US"/>
        </w:rPr>
      </w:pPr>
      <w:r>
        <w:rPr>
          <w:rStyle w:val="FootnoteReference"/>
        </w:rPr>
        <w:footnoteRef/>
      </w:r>
      <w:r>
        <w:t xml:space="preserve"> </w:t>
      </w:r>
      <w:r>
        <w:rPr>
          <w:lang w:val="en-US"/>
        </w:rPr>
        <w:t>IEA (2019) – Are aviation biofuels ready for take off</w:t>
      </w:r>
    </w:p>
  </w:footnote>
  <w:footnote w:id="22">
    <w:p w14:paraId="4D5956F9" w14:textId="14806C4A" w:rsidR="00A4418A" w:rsidRDefault="00A4418A">
      <w:pPr>
        <w:pStyle w:val="FootnoteText"/>
      </w:pPr>
      <w:r>
        <w:rPr>
          <w:rStyle w:val="FootnoteReference"/>
        </w:rPr>
        <w:footnoteRef/>
      </w:r>
      <w:r>
        <w:t xml:space="preserve"> See table at the end of this document</w:t>
      </w:r>
    </w:p>
  </w:footnote>
  <w:footnote w:id="23">
    <w:p w14:paraId="3400BD5E" w14:textId="5B7749B1" w:rsidR="00A4418A" w:rsidRPr="0059665F" w:rsidRDefault="00A4418A" w:rsidP="005960D1">
      <w:pPr>
        <w:pStyle w:val="FootnoteText"/>
      </w:pPr>
      <w:r>
        <w:rPr>
          <w:rStyle w:val="FootnoteReference"/>
        </w:rPr>
        <w:footnoteRef/>
      </w:r>
      <w:r>
        <w:t xml:space="preserve"> Clean Skies for Tomorrow Initiative</w:t>
      </w:r>
    </w:p>
  </w:footnote>
  <w:footnote w:id="24">
    <w:p w14:paraId="37C0087D" w14:textId="77777777" w:rsidR="00A4418A" w:rsidRDefault="00A4418A" w:rsidP="007F24A3">
      <w:pPr>
        <w:pStyle w:val="FootnoteText"/>
      </w:pPr>
      <w:r>
        <w:rPr>
          <w:rStyle w:val="FootnoteReference"/>
        </w:rPr>
        <w:footnoteRef/>
      </w:r>
      <w:r>
        <w:t xml:space="preserve"> See table at the end of this document</w:t>
      </w:r>
    </w:p>
  </w:footnote>
  <w:footnote w:id="25">
    <w:p w14:paraId="42D9036B" w14:textId="77777777" w:rsidR="00A4418A" w:rsidRPr="00830D61" w:rsidRDefault="00A4418A" w:rsidP="006065F2">
      <w:pPr>
        <w:pStyle w:val="FootnoteText"/>
      </w:pPr>
      <w:r>
        <w:rPr>
          <w:rStyle w:val="FootnoteReference"/>
        </w:rPr>
        <w:footnoteRef/>
      </w:r>
      <w:r>
        <w:t xml:space="preserve"> </w:t>
      </w:r>
      <w:hyperlink r:id="rId4" w:history="1">
        <w:r>
          <w:rPr>
            <w:rStyle w:val="Hyperlink"/>
          </w:rPr>
          <w:t>https://www.anna.aero/2016/08/31/london-to-new-york-market-analysed/</w:t>
        </w:r>
      </w:hyperlink>
    </w:p>
  </w:footnote>
  <w:footnote w:id="26">
    <w:p w14:paraId="20D91470" w14:textId="77777777" w:rsidR="00A4418A" w:rsidRPr="0012734C" w:rsidRDefault="00A4418A" w:rsidP="00EA672B">
      <w:pPr>
        <w:pStyle w:val="FootnoteText"/>
        <w:rPr>
          <w:lang w:val="en-US"/>
        </w:rPr>
      </w:pPr>
      <w:r>
        <w:rPr>
          <w:rStyle w:val="FootnoteReference"/>
        </w:rPr>
        <w:footnoteRef/>
      </w:r>
      <w:r>
        <w:t xml:space="preserve"> </w:t>
      </w:r>
      <w:hyperlink r:id="rId5" w:anchor="37169e0c7282" w:history="1">
        <w:r>
          <w:rPr>
            <w:rStyle w:val="Hyperlink"/>
          </w:rPr>
          <w:t>https://www.forbes.com/sites/stephenrice1/2019/06/05/the-public-supports-sustainable-aviation-and-they-are-willing-pay-for-it/#37169e0c7282</w:t>
        </w:r>
      </w:hyperlink>
    </w:p>
  </w:footnote>
  <w:footnote w:id="27">
    <w:p w14:paraId="37EDC27B" w14:textId="77777777" w:rsidR="00A4418A" w:rsidRPr="003F1EF0" w:rsidRDefault="00A4418A" w:rsidP="005B3D62">
      <w:pPr>
        <w:pStyle w:val="FootnoteText"/>
        <w:rPr>
          <w:lang w:val="en-US"/>
        </w:rPr>
      </w:pPr>
      <w:r>
        <w:rPr>
          <w:rStyle w:val="FootnoteReference"/>
        </w:rPr>
        <w:footnoteRef/>
      </w:r>
      <w:r>
        <w:t xml:space="preserve"> </w:t>
      </w:r>
      <w:hyperlink r:id="rId6" w:history="1">
        <w:r>
          <w:rPr>
            <w:rStyle w:val="Hyperlink"/>
          </w:rPr>
          <w:t>https://www.bbc.co.uk/news/science-environment-48133365</w:t>
        </w:r>
      </w:hyperlink>
    </w:p>
  </w:footnote>
  <w:footnote w:id="28">
    <w:p w14:paraId="5BC568B1" w14:textId="77777777" w:rsidR="00A4418A" w:rsidRPr="00877DCC" w:rsidRDefault="00A4418A" w:rsidP="00A37586">
      <w:pPr>
        <w:pStyle w:val="FootnoteText"/>
      </w:pPr>
      <w:r>
        <w:rPr>
          <w:rStyle w:val="FootnoteReference"/>
        </w:rPr>
        <w:footnoteRef/>
      </w:r>
      <w:r>
        <w:t xml:space="preserve"> </w:t>
      </w:r>
      <w:hyperlink r:id="rId7" w:history="1">
        <w:r>
          <w:rPr>
            <w:rStyle w:val="Hyperlink"/>
          </w:rPr>
          <w:t>https://www.euronews.com/2019/07/10/aviation-tax-which-eu-countries-charge-passengers</w:t>
        </w:r>
      </w:hyperlink>
    </w:p>
  </w:footnote>
  <w:footnote w:id="29">
    <w:p w14:paraId="53E9FC30" w14:textId="77777777" w:rsidR="00A4418A" w:rsidRPr="00454FC9" w:rsidRDefault="00A4418A" w:rsidP="005960D1">
      <w:pPr>
        <w:pStyle w:val="FootnoteText"/>
      </w:pPr>
      <w:r>
        <w:rPr>
          <w:rStyle w:val="FootnoteReference"/>
        </w:rPr>
        <w:footnoteRef/>
      </w:r>
      <w:r>
        <w:t xml:space="preserve"> ICAO (2017) – Sustainable Aviation Fuels Guide, </w:t>
      </w:r>
      <w:proofErr w:type="spellStart"/>
      <w:r>
        <w:t>SkyNRG</w:t>
      </w:r>
      <w:proofErr w:type="spellEnd"/>
      <w:r>
        <w:t>, World Energy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79EC9" w14:textId="2C2D776D" w:rsidR="00A5345F" w:rsidRDefault="00051BDE">
    <w:pPr>
      <w:pStyle w:val="Header"/>
    </w:pPr>
    <w:r>
      <w:rPr>
        <w:noProof/>
      </w:rPr>
      <w:pict w14:anchorId="5F2F14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0.25pt;height:106.05pt;rotation:315;z-index:-251658237;mso-position-horizontal:center;mso-position-horizontal-relative:margin;mso-position-vertical:center;mso-position-vertical-relative:margin" o:allowincell="f" fillcolor="silver" stroked="f">
          <v:fill opacity=".5"/>
          <v:textpath style="font-family:&quot;Calibri&quot;;font-size:1pt" string="WORK IN PROGRES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116AD" w14:textId="18DCA403" w:rsidR="00A4418A" w:rsidRPr="00DE70A6" w:rsidRDefault="00051BDE" w:rsidP="00DE70A6">
    <w:pPr>
      <w:pStyle w:val="Header"/>
      <w:rPr>
        <w:color w:val="FF0000"/>
      </w:rPr>
    </w:pPr>
    <w:r>
      <w:rPr>
        <w:noProof/>
      </w:rPr>
      <w:pict w14:anchorId="534C7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0.25pt;height:106.05pt;rotation:315;z-index:-251658236;mso-position-horizontal:center;mso-position-horizontal-relative:margin;mso-position-vertical:center;mso-position-vertical-relative:margin" o:allowincell="f" fillcolor="silver" stroked="f">
          <v:fill opacity=".5"/>
          <v:textpath style="font-family:&quot;Calibri&quot;;font-size:1pt" string="WORK IN PROGRES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5F21F" w14:textId="5D3A5449" w:rsidR="00A4418A" w:rsidRDefault="00051BDE" w:rsidP="0023722F">
    <w:pPr>
      <w:pStyle w:val="Header"/>
    </w:pPr>
    <w:r>
      <w:rPr>
        <w:noProof/>
      </w:rPr>
      <w:pict w14:anchorId="624B5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0.25pt;height:106.05pt;rotation:315;z-index:-251658238;mso-position-horizontal:center;mso-position-horizontal-relative:margin;mso-position-vertical:center;mso-position-vertical-relative:margin" o:allowincell="f" fillcolor="silver" stroked="f">
          <v:fill opacity=".5"/>
          <v:textpath style="font-family:&quot;Calibri&quot;;font-size:1pt" string="WORK IN PROGRESS"/>
          <w10:wrap anchorx="margin" anchory="margin"/>
        </v:shape>
      </w:pict>
    </w:r>
    <w:r w:rsidR="00A4418A" w:rsidRPr="002E1177">
      <w:rPr>
        <w:noProof/>
        <w:color w:val="FF0000"/>
        <w:lang w:eastAsia="zh-CN"/>
      </w:rPr>
      <w:drawing>
        <wp:anchor distT="0" distB="0" distL="114300" distR="114300" simplePos="0" relativeHeight="251658240" behindDoc="0" locked="0" layoutInCell="1" allowOverlap="1" wp14:anchorId="7FA66153" wp14:editId="21C064B0">
          <wp:simplePos x="0" y="0"/>
          <wp:positionH relativeFrom="margin">
            <wp:posOffset>-609600</wp:posOffset>
          </wp:positionH>
          <wp:positionV relativeFrom="page">
            <wp:posOffset>215265</wp:posOffset>
          </wp:positionV>
          <wp:extent cx="1664676" cy="647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4676" cy="647700"/>
                  </a:xfrm>
                  <a:prstGeom prst="rect">
                    <a:avLst/>
                  </a:prstGeom>
                </pic:spPr>
              </pic:pic>
            </a:graphicData>
          </a:graphic>
          <wp14:sizeRelH relativeFrom="page">
            <wp14:pctWidth>0</wp14:pctWidth>
          </wp14:sizeRelH>
          <wp14:sizeRelV relativeFrom="page">
            <wp14:pctHeight>0</wp14:pctHeight>
          </wp14:sizeRelV>
        </wp:anchor>
      </w:drawing>
    </w:r>
  </w:p>
  <w:p w14:paraId="4B665924" w14:textId="77777777" w:rsidR="00A4418A" w:rsidRDefault="00A4418A" w:rsidP="0023722F">
    <w:pPr>
      <w:pStyle w:val="Header"/>
      <w:jc w:val="center"/>
      <w:rPr>
        <w:color w:val="FF0000"/>
      </w:rPr>
    </w:pPr>
  </w:p>
  <w:p w14:paraId="464883F1" w14:textId="77777777" w:rsidR="00DE70A6" w:rsidRDefault="00DE70A6" w:rsidP="0023722F">
    <w:pPr>
      <w:pStyle w:val="Header"/>
      <w:jc w:val="center"/>
      <w:rPr>
        <w:b/>
        <w:color w:val="FF0000"/>
      </w:rPr>
    </w:pPr>
    <w:r>
      <w:rPr>
        <w:b/>
        <w:color w:val="FF0000"/>
      </w:rPr>
      <w:t>WORK IN PROGRESS</w:t>
    </w:r>
  </w:p>
  <w:p w14:paraId="573D2B23" w14:textId="0E5AAFB8" w:rsidR="00A4418A" w:rsidRDefault="009A6CA5" w:rsidP="00DE70A6">
    <w:pPr>
      <w:pStyle w:val="Header"/>
      <w:jc w:val="center"/>
      <w:rPr>
        <w:b/>
        <w:color w:val="FF0000"/>
      </w:rPr>
    </w:pPr>
    <w:r>
      <w:rPr>
        <w:b/>
        <w:color w:val="FF0000"/>
      </w:rPr>
      <w:t>NOT FOR CIRCULATION BEYOND ETC MEMBERS</w:t>
    </w:r>
  </w:p>
  <w:p w14:paraId="4813E5AF" w14:textId="3E5F3B1F" w:rsidR="00DE70A6" w:rsidRDefault="00DE70A6" w:rsidP="00DE70A6">
    <w:pPr>
      <w:pStyle w:val="Header"/>
      <w:jc w:val="center"/>
      <w:rPr>
        <w:b/>
        <w:color w:val="FF0000"/>
      </w:rPr>
    </w:pPr>
  </w:p>
  <w:p w14:paraId="666BF837" w14:textId="77777777" w:rsidR="00DE70A6" w:rsidRPr="00DE70A6" w:rsidRDefault="00DE70A6" w:rsidP="00DE70A6">
    <w:pPr>
      <w:pStyle w:val="Header"/>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42E6"/>
    <w:multiLevelType w:val="hybridMultilevel"/>
    <w:tmpl w:val="4F2A61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965BDA"/>
    <w:multiLevelType w:val="hybridMultilevel"/>
    <w:tmpl w:val="301890DC"/>
    <w:lvl w:ilvl="0" w:tplc="F4C61988">
      <w:start w:val="1"/>
      <w:numFmt w:val="lowerRoman"/>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644026A"/>
    <w:multiLevelType w:val="hybridMultilevel"/>
    <w:tmpl w:val="A3EE612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FD3A15"/>
    <w:multiLevelType w:val="hybridMultilevel"/>
    <w:tmpl w:val="E6A6FFAC"/>
    <w:lvl w:ilvl="0" w:tplc="0809001B">
      <w:start w:val="1"/>
      <w:numFmt w:val="lowerRoman"/>
      <w:lvlText w:val="%1."/>
      <w:lvlJc w:val="righ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0B144227"/>
    <w:multiLevelType w:val="hybridMultilevel"/>
    <w:tmpl w:val="E66AE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656AE"/>
    <w:multiLevelType w:val="multilevel"/>
    <w:tmpl w:val="431AA7A8"/>
    <w:lvl w:ilvl="0">
      <w:start w:val="1"/>
      <w:numFmt w:val="decimal"/>
      <w:lvlText w:val="%1."/>
      <w:lvlJc w:val="left"/>
      <w:pPr>
        <w:ind w:left="360" w:hanging="360"/>
      </w:pPr>
      <w:rPr>
        <w:rFonts w:hint="default"/>
        <w:b/>
        <w:bCs/>
      </w:rPr>
    </w:lvl>
    <w:lvl w:ilvl="1">
      <w:start w:val="1"/>
      <w:numFmt w:val="decimal"/>
      <w:isLgl/>
      <w:lvlText w:val="%1.%2"/>
      <w:lvlJc w:val="left"/>
      <w:pPr>
        <w:ind w:left="6171"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F347670"/>
    <w:multiLevelType w:val="hybridMultilevel"/>
    <w:tmpl w:val="43FA2922"/>
    <w:lvl w:ilvl="0" w:tplc="3BDE2E5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2C131F6"/>
    <w:multiLevelType w:val="hybridMultilevel"/>
    <w:tmpl w:val="15BAF0C0"/>
    <w:lvl w:ilvl="0" w:tplc="3B9A0C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3923E9"/>
    <w:multiLevelType w:val="multilevel"/>
    <w:tmpl w:val="90A2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9C1875"/>
    <w:multiLevelType w:val="multilevel"/>
    <w:tmpl w:val="C892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3085F"/>
    <w:multiLevelType w:val="hybridMultilevel"/>
    <w:tmpl w:val="DD742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324BCA"/>
    <w:multiLevelType w:val="hybridMultilevel"/>
    <w:tmpl w:val="90045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1D7418"/>
    <w:multiLevelType w:val="multilevel"/>
    <w:tmpl w:val="D090AF3C"/>
    <w:lvl w:ilvl="0">
      <w:start w:val="1"/>
      <w:numFmt w:val="decimal"/>
      <w:lvlText w:val="%1."/>
      <w:lvlJc w:val="left"/>
      <w:pPr>
        <w:ind w:left="360" w:hanging="360"/>
      </w:pPr>
      <w:rPr>
        <w:rFonts w:hint="default"/>
        <w:b/>
        <w:bCs/>
      </w:rPr>
    </w:lvl>
    <w:lvl w:ilvl="1">
      <w:start w:val="1"/>
      <w:numFmt w:val="decimal"/>
      <w:isLgl/>
      <w:lvlText w:val="%1.%2"/>
      <w:lvlJc w:val="left"/>
      <w:pPr>
        <w:ind w:left="22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02D0CBB"/>
    <w:multiLevelType w:val="hybridMultilevel"/>
    <w:tmpl w:val="301890DC"/>
    <w:lvl w:ilvl="0" w:tplc="F4C61988">
      <w:start w:val="1"/>
      <w:numFmt w:val="lowerRoman"/>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281B4609"/>
    <w:multiLevelType w:val="hybridMultilevel"/>
    <w:tmpl w:val="F16E8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E1585"/>
    <w:multiLevelType w:val="hybridMultilevel"/>
    <w:tmpl w:val="A998DA20"/>
    <w:lvl w:ilvl="0" w:tplc="F4C61988">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34D03FA5"/>
    <w:multiLevelType w:val="hybridMultilevel"/>
    <w:tmpl w:val="CF76A214"/>
    <w:lvl w:ilvl="0" w:tplc="986E59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9B7A49"/>
    <w:multiLevelType w:val="hybridMultilevel"/>
    <w:tmpl w:val="24484E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8FC5C89"/>
    <w:multiLevelType w:val="multilevel"/>
    <w:tmpl w:val="7F42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4217F6"/>
    <w:multiLevelType w:val="hybridMultilevel"/>
    <w:tmpl w:val="E6DAC1F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3D6B0054"/>
    <w:multiLevelType w:val="hybridMultilevel"/>
    <w:tmpl w:val="AA7E4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194186"/>
    <w:multiLevelType w:val="multilevel"/>
    <w:tmpl w:val="E51ABDA8"/>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6515C89"/>
    <w:multiLevelType w:val="hybridMultilevel"/>
    <w:tmpl w:val="648CA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B54441"/>
    <w:multiLevelType w:val="hybridMultilevel"/>
    <w:tmpl w:val="C1F2075E"/>
    <w:lvl w:ilvl="0" w:tplc="F4C6198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89835BC"/>
    <w:multiLevelType w:val="multilevel"/>
    <w:tmpl w:val="5E7E87BC"/>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bullet"/>
      <w:lvlText w:val=""/>
      <w:lvlJc w:val="left"/>
      <w:pPr>
        <w:ind w:left="1440" w:hanging="1440"/>
      </w:pPr>
      <w:rPr>
        <w:rFonts w:ascii="Symbol" w:hAnsi="Symbol" w:hint="default"/>
      </w:rPr>
    </w:lvl>
  </w:abstractNum>
  <w:abstractNum w:abstractNumId="25" w15:restartNumberingAfterBreak="0">
    <w:nsid w:val="49842409"/>
    <w:multiLevelType w:val="hybridMultilevel"/>
    <w:tmpl w:val="38EAC46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4A5F5BB9"/>
    <w:multiLevelType w:val="multilevel"/>
    <w:tmpl w:val="D090AF3C"/>
    <w:lvl w:ilvl="0">
      <w:start w:val="1"/>
      <w:numFmt w:val="decimal"/>
      <w:lvlText w:val="%1."/>
      <w:lvlJc w:val="left"/>
      <w:pPr>
        <w:ind w:left="360" w:hanging="360"/>
      </w:pPr>
      <w:rPr>
        <w:rFonts w:hint="default"/>
        <w:b/>
        <w:bCs/>
      </w:rPr>
    </w:lvl>
    <w:lvl w:ilvl="1">
      <w:start w:val="1"/>
      <w:numFmt w:val="decimal"/>
      <w:isLgl/>
      <w:lvlText w:val="%1.%2"/>
      <w:lvlJc w:val="left"/>
      <w:pPr>
        <w:ind w:left="22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02A15FA"/>
    <w:multiLevelType w:val="hybridMultilevel"/>
    <w:tmpl w:val="538EBDF2"/>
    <w:lvl w:ilvl="0" w:tplc="DAFC7B5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533A0D7A"/>
    <w:multiLevelType w:val="hybridMultilevel"/>
    <w:tmpl w:val="E6A6FFAC"/>
    <w:lvl w:ilvl="0" w:tplc="0809001B">
      <w:start w:val="1"/>
      <w:numFmt w:val="lowerRoman"/>
      <w:lvlText w:val="%1."/>
      <w:lvlJc w:val="righ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553D42DA"/>
    <w:multiLevelType w:val="hybridMultilevel"/>
    <w:tmpl w:val="A998DA20"/>
    <w:lvl w:ilvl="0" w:tplc="F4C61988">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0" w15:restartNumberingAfterBreak="0">
    <w:nsid w:val="58CA7777"/>
    <w:multiLevelType w:val="hybridMultilevel"/>
    <w:tmpl w:val="E6A6FFAC"/>
    <w:lvl w:ilvl="0" w:tplc="0809001B">
      <w:start w:val="1"/>
      <w:numFmt w:val="lowerRoman"/>
      <w:lvlText w:val="%1."/>
      <w:lvlJc w:val="righ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59B83FB1"/>
    <w:multiLevelType w:val="hybridMultilevel"/>
    <w:tmpl w:val="CC8CC66E"/>
    <w:lvl w:ilvl="0" w:tplc="FE90823C">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2" w15:restartNumberingAfterBreak="0">
    <w:nsid w:val="5B4A7229"/>
    <w:multiLevelType w:val="multilevel"/>
    <w:tmpl w:val="E2080CE4"/>
    <w:lvl w:ilvl="0">
      <w:start w:val="1"/>
      <w:numFmt w:val="bullet"/>
      <w:lvlText w:val=""/>
      <w:lvlJc w:val="left"/>
      <w:pPr>
        <w:ind w:left="360" w:hanging="360"/>
      </w:pPr>
      <w:rPr>
        <w:rFonts w:ascii="Symbol" w:hAnsi="Symbol" w:hint="default"/>
        <w:b/>
        <w:bCs/>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bullet"/>
      <w:lvlText w:val=""/>
      <w:lvlJc w:val="left"/>
      <w:pPr>
        <w:ind w:left="1440" w:hanging="1440"/>
      </w:pPr>
      <w:rPr>
        <w:rFonts w:ascii="Symbol" w:hAnsi="Symbol" w:hint="default"/>
      </w:rPr>
    </w:lvl>
  </w:abstractNum>
  <w:abstractNum w:abstractNumId="33" w15:restartNumberingAfterBreak="0">
    <w:nsid w:val="62872586"/>
    <w:multiLevelType w:val="hybridMultilevel"/>
    <w:tmpl w:val="E6A6FFAC"/>
    <w:lvl w:ilvl="0" w:tplc="0809001B">
      <w:start w:val="1"/>
      <w:numFmt w:val="lowerRoman"/>
      <w:lvlText w:val="%1."/>
      <w:lvlJc w:val="righ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4" w15:restartNumberingAfterBreak="0">
    <w:nsid w:val="6B0D2DE5"/>
    <w:multiLevelType w:val="multilevel"/>
    <w:tmpl w:val="5E7E87BC"/>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bullet"/>
      <w:lvlText w:val=""/>
      <w:lvlJc w:val="left"/>
      <w:pPr>
        <w:ind w:left="1440" w:hanging="1440"/>
      </w:pPr>
      <w:rPr>
        <w:rFonts w:ascii="Symbol" w:hAnsi="Symbol" w:hint="default"/>
      </w:rPr>
    </w:lvl>
  </w:abstractNum>
  <w:abstractNum w:abstractNumId="35" w15:restartNumberingAfterBreak="0">
    <w:nsid w:val="6F666C54"/>
    <w:multiLevelType w:val="hybridMultilevel"/>
    <w:tmpl w:val="B16613B0"/>
    <w:lvl w:ilvl="0" w:tplc="168EAC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10932EF"/>
    <w:multiLevelType w:val="multilevel"/>
    <w:tmpl w:val="539E5EDE"/>
    <w:lvl w:ilvl="0">
      <w:start w:val="1"/>
      <w:numFmt w:val="decimal"/>
      <w:lvlText w:val="%1."/>
      <w:lvlJc w:val="left"/>
      <w:pPr>
        <w:ind w:left="360" w:hanging="360"/>
      </w:pPr>
      <w:rPr>
        <w:rFonts w:hint="default"/>
        <w:b/>
        <w:bCs/>
      </w:rPr>
    </w:lvl>
    <w:lvl w:ilvl="1">
      <w:start w:val="1"/>
      <w:numFmt w:val="bullet"/>
      <w:lvlText w:val="o"/>
      <w:lvlJc w:val="left"/>
      <w:pPr>
        <w:ind w:left="360" w:hanging="360"/>
      </w:pPr>
      <w:rPr>
        <w:rFonts w:ascii="Courier New" w:hAnsi="Courier New" w:cs="Courier New"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71DA122B"/>
    <w:multiLevelType w:val="hybridMultilevel"/>
    <w:tmpl w:val="595C9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BD0A7D"/>
    <w:multiLevelType w:val="hybridMultilevel"/>
    <w:tmpl w:val="01461C14"/>
    <w:lvl w:ilvl="0" w:tplc="6AE8B0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972BE9"/>
    <w:multiLevelType w:val="multilevel"/>
    <w:tmpl w:val="7BC6D0DE"/>
    <w:lvl w:ilvl="0">
      <w:start w:val="1"/>
      <w:numFmt w:val="decimal"/>
      <w:lvlText w:val="%1."/>
      <w:lvlJc w:val="left"/>
      <w:pPr>
        <w:ind w:left="360" w:hanging="360"/>
      </w:pPr>
      <w:rPr>
        <w:rFonts w:hint="default"/>
        <w:b/>
        <w:bCs/>
      </w:rPr>
    </w:lvl>
    <w:lvl w:ilvl="1">
      <w:start w:val="1"/>
      <w:numFmt w:val="bullet"/>
      <w:lvlText w:val="o"/>
      <w:lvlJc w:val="left"/>
      <w:pPr>
        <w:ind w:left="360" w:hanging="360"/>
      </w:pPr>
      <w:rPr>
        <w:rFonts w:ascii="Courier New" w:hAnsi="Courier New" w:cs="Courier New"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o"/>
      <w:lvlJc w:val="left"/>
      <w:pPr>
        <w:ind w:left="1080" w:hanging="1080"/>
      </w:pPr>
      <w:rPr>
        <w:rFonts w:ascii="Courier New" w:hAnsi="Courier New" w:cs="Courier New"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74AF3A85"/>
    <w:multiLevelType w:val="hybridMultilevel"/>
    <w:tmpl w:val="4A38A5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2"/>
  </w:num>
  <w:num w:numId="3">
    <w:abstractNumId w:val="20"/>
  </w:num>
  <w:num w:numId="4">
    <w:abstractNumId w:val="37"/>
  </w:num>
  <w:num w:numId="5">
    <w:abstractNumId w:val="4"/>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21"/>
  </w:num>
  <w:num w:numId="9">
    <w:abstractNumId w:val="23"/>
  </w:num>
  <w:num w:numId="10">
    <w:abstractNumId w:val="24"/>
  </w:num>
  <w:num w:numId="11">
    <w:abstractNumId w:val="34"/>
  </w:num>
  <w:num w:numId="12">
    <w:abstractNumId w:val="32"/>
  </w:num>
  <w:num w:numId="13">
    <w:abstractNumId w:val="9"/>
  </w:num>
  <w:num w:numId="14">
    <w:abstractNumId w:val="8"/>
  </w:num>
  <w:num w:numId="15">
    <w:abstractNumId w:val="11"/>
  </w:num>
  <w:num w:numId="16">
    <w:abstractNumId w:val="30"/>
  </w:num>
  <w:num w:numId="17">
    <w:abstractNumId w:val="28"/>
  </w:num>
  <w:num w:numId="18">
    <w:abstractNumId w:val="33"/>
  </w:num>
  <w:num w:numId="19">
    <w:abstractNumId w:val="3"/>
  </w:num>
  <w:num w:numId="20">
    <w:abstractNumId w:val="13"/>
  </w:num>
  <w:num w:numId="21">
    <w:abstractNumId w:val="1"/>
  </w:num>
  <w:num w:numId="22">
    <w:abstractNumId w:val="14"/>
  </w:num>
  <w:num w:numId="23">
    <w:abstractNumId w:val="17"/>
  </w:num>
  <w:num w:numId="24">
    <w:abstractNumId w:val="0"/>
  </w:num>
  <w:num w:numId="25">
    <w:abstractNumId w:val="29"/>
  </w:num>
  <w:num w:numId="26">
    <w:abstractNumId w:val="36"/>
  </w:num>
  <w:num w:numId="27">
    <w:abstractNumId w:val="39"/>
  </w:num>
  <w:num w:numId="28">
    <w:abstractNumId w:val="15"/>
  </w:num>
  <w:num w:numId="29">
    <w:abstractNumId w:val="38"/>
  </w:num>
  <w:num w:numId="30">
    <w:abstractNumId w:val="35"/>
  </w:num>
  <w:num w:numId="31">
    <w:abstractNumId w:val="10"/>
  </w:num>
  <w:num w:numId="32">
    <w:abstractNumId w:val="6"/>
  </w:num>
  <w:num w:numId="33">
    <w:abstractNumId w:val="31"/>
  </w:num>
  <w:num w:numId="34">
    <w:abstractNumId w:val="7"/>
  </w:num>
  <w:num w:numId="35">
    <w:abstractNumId w:val="16"/>
  </w:num>
  <w:num w:numId="36">
    <w:abstractNumId w:val="12"/>
  </w:num>
  <w:num w:numId="37">
    <w:abstractNumId w:val="26"/>
  </w:num>
  <w:num w:numId="38">
    <w:abstractNumId w:val="25"/>
  </w:num>
  <w:num w:numId="39">
    <w:abstractNumId w:val="27"/>
  </w:num>
  <w:num w:numId="40">
    <w:abstractNumId w:val="2"/>
  </w:num>
  <w:num w:numId="41">
    <w:abstractNumId w:val="18"/>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95E"/>
    <w:rsid w:val="00001946"/>
    <w:rsid w:val="000052B1"/>
    <w:rsid w:val="00006D8B"/>
    <w:rsid w:val="00010615"/>
    <w:rsid w:val="0001254C"/>
    <w:rsid w:val="00013CC4"/>
    <w:rsid w:val="00014A85"/>
    <w:rsid w:val="000173EC"/>
    <w:rsid w:val="0002021B"/>
    <w:rsid w:val="0002030E"/>
    <w:rsid w:val="000216DF"/>
    <w:rsid w:val="00023894"/>
    <w:rsid w:val="000238AF"/>
    <w:rsid w:val="0002506D"/>
    <w:rsid w:val="00026EE7"/>
    <w:rsid w:val="0003055E"/>
    <w:rsid w:val="00031041"/>
    <w:rsid w:val="00032342"/>
    <w:rsid w:val="000327E0"/>
    <w:rsid w:val="00033190"/>
    <w:rsid w:val="00034178"/>
    <w:rsid w:val="00036F03"/>
    <w:rsid w:val="000403E4"/>
    <w:rsid w:val="00041329"/>
    <w:rsid w:val="00042C01"/>
    <w:rsid w:val="00047840"/>
    <w:rsid w:val="00051916"/>
    <w:rsid w:val="00051BDE"/>
    <w:rsid w:val="000546BE"/>
    <w:rsid w:val="00057102"/>
    <w:rsid w:val="000573F1"/>
    <w:rsid w:val="00060728"/>
    <w:rsid w:val="00064077"/>
    <w:rsid w:val="00064559"/>
    <w:rsid w:val="0006480E"/>
    <w:rsid w:val="00064C9E"/>
    <w:rsid w:val="000671EC"/>
    <w:rsid w:val="000677F8"/>
    <w:rsid w:val="00070315"/>
    <w:rsid w:val="00070409"/>
    <w:rsid w:val="0007376E"/>
    <w:rsid w:val="00074FB3"/>
    <w:rsid w:val="000753BA"/>
    <w:rsid w:val="0007584A"/>
    <w:rsid w:val="00075F22"/>
    <w:rsid w:val="0007693D"/>
    <w:rsid w:val="00076D41"/>
    <w:rsid w:val="00081414"/>
    <w:rsid w:val="0008498A"/>
    <w:rsid w:val="00097CAC"/>
    <w:rsid w:val="000A6385"/>
    <w:rsid w:val="000A69C6"/>
    <w:rsid w:val="000B05D5"/>
    <w:rsid w:val="000B0C1A"/>
    <w:rsid w:val="000B11C8"/>
    <w:rsid w:val="000B42A7"/>
    <w:rsid w:val="000C124F"/>
    <w:rsid w:val="000C1AE0"/>
    <w:rsid w:val="000C1B4B"/>
    <w:rsid w:val="000C31C9"/>
    <w:rsid w:val="000C38A0"/>
    <w:rsid w:val="000D06A6"/>
    <w:rsid w:val="000D1D09"/>
    <w:rsid w:val="000D475E"/>
    <w:rsid w:val="000D5C97"/>
    <w:rsid w:val="000D70ED"/>
    <w:rsid w:val="000E0B36"/>
    <w:rsid w:val="000E1599"/>
    <w:rsid w:val="000E27AE"/>
    <w:rsid w:val="000E2857"/>
    <w:rsid w:val="000E3847"/>
    <w:rsid w:val="000E4788"/>
    <w:rsid w:val="000E7827"/>
    <w:rsid w:val="000F4CA8"/>
    <w:rsid w:val="000F5494"/>
    <w:rsid w:val="000F765F"/>
    <w:rsid w:val="001005E3"/>
    <w:rsid w:val="00100A7D"/>
    <w:rsid w:val="00100DCF"/>
    <w:rsid w:val="0010311B"/>
    <w:rsid w:val="001056C2"/>
    <w:rsid w:val="00115E45"/>
    <w:rsid w:val="00116846"/>
    <w:rsid w:val="00123681"/>
    <w:rsid w:val="00123E03"/>
    <w:rsid w:val="00125C0B"/>
    <w:rsid w:val="0012734C"/>
    <w:rsid w:val="00127910"/>
    <w:rsid w:val="00131BFE"/>
    <w:rsid w:val="00140C88"/>
    <w:rsid w:val="001434EB"/>
    <w:rsid w:val="00145746"/>
    <w:rsid w:val="00146180"/>
    <w:rsid w:val="00146878"/>
    <w:rsid w:val="00146CAD"/>
    <w:rsid w:val="001473CF"/>
    <w:rsid w:val="001517E8"/>
    <w:rsid w:val="00156E38"/>
    <w:rsid w:val="00157789"/>
    <w:rsid w:val="00161231"/>
    <w:rsid w:val="00163B3A"/>
    <w:rsid w:val="00165936"/>
    <w:rsid w:val="00165BB6"/>
    <w:rsid w:val="001667D7"/>
    <w:rsid w:val="00166C2D"/>
    <w:rsid w:val="00167190"/>
    <w:rsid w:val="00175788"/>
    <w:rsid w:val="00175B9D"/>
    <w:rsid w:val="0018038C"/>
    <w:rsid w:val="001815ED"/>
    <w:rsid w:val="00181707"/>
    <w:rsid w:val="00185684"/>
    <w:rsid w:val="001937CC"/>
    <w:rsid w:val="00195649"/>
    <w:rsid w:val="00195681"/>
    <w:rsid w:val="001978DE"/>
    <w:rsid w:val="00197951"/>
    <w:rsid w:val="001A0838"/>
    <w:rsid w:val="001A4584"/>
    <w:rsid w:val="001A682D"/>
    <w:rsid w:val="001B19A7"/>
    <w:rsid w:val="001B43CD"/>
    <w:rsid w:val="001B60F0"/>
    <w:rsid w:val="001B6A06"/>
    <w:rsid w:val="001C1A74"/>
    <w:rsid w:val="001C51E5"/>
    <w:rsid w:val="001C5E8D"/>
    <w:rsid w:val="001C6CFC"/>
    <w:rsid w:val="001C7072"/>
    <w:rsid w:val="001C783D"/>
    <w:rsid w:val="001D1231"/>
    <w:rsid w:val="001D35FE"/>
    <w:rsid w:val="001D5E14"/>
    <w:rsid w:val="001D62FB"/>
    <w:rsid w:val="001E300E"/>
    <w:rsid w:val="001E649B"/>
    <w:rsid w:val="001E6982"/>
    <w:rsid w:val="001F27C4"/>
    <w:rsid w:val="001F47ED"/>
    <w:rsid w:val="001F61A9"/>
    <w:rsid w:val="001F7B64"/>
    <w:rsid w:val="002028F6"/>
    <w:rsid w:val="00205E75"/>
    <w:rsid w:val="00207937"/>
    <w:rsid w:val="00210BCB"/>
    <w:rsid w:val="002112AB"/>
    <w:rsid w:val="00212D55"/>
    <w:rsid w:val="002162F1"/>
    <w:rsid w:val="0021655F"/>
    <w:rsid w:val="002171D6"/>
    <w:rsid w:val="002205D6"/>
    <w:rsid w:val="002212FB"/>
    <w:rsid w:val="00223850"/>
    <w:rsid w:val="00226245"/>
    <w:rsid w:val="002301B6"/>
    <w:rsid w:val="0023391A"/>
    <w:rsid w:val="00233A3C"/>
    <w:rsid w:val="00234924"/>
    <w:rsid w:val="0023722F"/>
    <w:rsid w:val="00237D8F"/>
    <w:rsid w:val="00237E84"/>
    <w:rsid w:val="00240554"/>
    <w:rsid w:val="00243F1A"/>
    <w:rsid w:val="00245144"/>
    <w:rsid w:val="002453D1"/>
    <w:rsid w:val="00245C1E"/>
    <w:rsid w:val="00247A63"/>
    <w:rsid w:val="002508E3"/>
    <w:rsid w:val="00252AAB"/>
    <w:rsid w:val="00252CE2"/>
    <w:rsid w:val="00253739"/>
    <w:rsid w:val="00254689"/>
    <w:rsid w:val="002574EC"/>
    <w:rsid w:val="00257B12"/>
    <w:rsid w:val="00260512"/>
    <w:rsid w:val="002640F6"/>
    <w:rsid w:val="00264E20"/>
    <w:rsid w:val="00264E77"/>
    <w:rsid w:val="00265052"/>
    <w:rsid w:val="00265117"/>
    <w:rsid w:val="0026528F"/>
    <w:rsid w:val="00266182"/>
    <w:rsid w:val="00266DA1"/>
    <w:rsid w:val="00267323"/>
    <w:rsid w:val="00267619"/>
    <w:rsid w:val="00271BCA"/>
    <w:rsid w:val="00273D60"/>
    <w:rsid w:val="00274A65"/>
    <w:rsid w:val="002773F7"/>
    <w:rsid w:val="00277554"/>
    <w:rsid w:val="00280E0E"/>
    <w:rsid w:val="00281315"/>
    <w:rsid w:val="00281C0E"/>
    <w:rsid w:val="0028240F"/>
    <w:rsid w:val="0028287B"/>
    <w:rsid w:val="00282A80"/>
    <w:rsid w:val="00283C9E"/>
    <w:rsid w:val="0028407E"/>
    <w:rsid w:val="00287887"/>
    <w:rsid w:val="002922F0"/>
    <w:rsid w:val="00292543"/>
    <w:rsid w:val="00294391"/>
    <w:rsid w:val="00296105"/>
    <w:rsid w:val="002978AB"/>
    <w:rsid w:val="002A045B"/>
    <w:rsid w:val="002A0B9F"/>
    <w:rsid w:val="002A317B"/>
    <w:rsid w:val="002B0439"/>
    <w:rsid w:val="002B4B9F"/>
    <w:rsid w:val="002B4D31"/>
    <w:rsid w:val="002B68AB"/>
    <w:rsid w:val="002B7E95"/>
    <w:rsid w:val="002C27B6"/>
    <w:rsid w:val="002C4199"/>
    <w:rsid w:val="002C4E2A"/>
    <w:rsid w:val="002C5848"/>
    <w:rsid w:val="002C6EA4"/>
    <w:rsid w:val="002D0474"/>
    <w:rsid w:val="002D1EAB"/>
    <w:rsid w:val="002D24CA"/>
    <w:rsid w:val="002D35C0"/>
    <w:rsid w:val="002E1177"/>
    <w:rsid w:val="002E145B"/>
    <w:rsid w:val="002F1B00"/>
    <w:rsid w:val="002F23CF"/>
    <w:rsid w:val="002F636F"/>
    <w:rsid w:val="003018A8"/>
    <w:rsid w:val="00301C05"/>
    <w:rsid w:val="0030243D"/>
    <w:rsid w:val="00304143"/>
    <w:rsid w:val="0030460E"/>
    <w:rsid w:val="00306C2A"/>
    <w:rsid w:val="0030733B"/>
    <w:rsid w:val="003075B7"/>
    <w:rsid w:val="00313BB3"/>
    <w:rsid w:val="00314B9C"/>
    <w:rsid w:val="00320264"/>
    <w:rsid w:val="003205D6"/>
    <w:rsid w:val="0033044C"/>
    <w:rsid w:val="00330CE9"/>
    <w:rsid w:val="00332CBD"/>
    <w:rsid w:val="00340DA0"/>
    <w:rsid w:val="00345629"/>
    <w:rsid w:val="00346E81"/>
    <w:rsid w:val="003532E7"/>
    <w:rsid w:val="00353FBA"/>
    <w:rsid w:val="003543F7"/>
    <w:rsid w:val="0035505D"/>
    <w:rsid w:val="00365B15"/>
    <w:rsid w:val="00365E56"/>
    <w:rsid w:val="00372704"/>
    <w:rsid w:val="00372E6A"/>
    <w:rsid w:val="00374BCE"/>
    <w:rsid w:val="003778A9"/>
    <w:rsid w:val="0038156F"/>
    <w:rsid w:val="0038183E"/>
    <w:rsid w:val="00382059"/>
    <w:rsid w:val="00383ABC"/>
    <w:rsid w:val="00384A38"/>
    <w:rsid w:val="00385690"/>
    <w:rsid w:val="00385C41"/>
    <w:rsid w:val="00387957"/>
    <w:rsid w:val="00390839"/>
    <w:rsid w:val="003909CD"/>
    <w:rsid w:val="003913CE"/>
    <w:rsid w:val="003958D2"/>
    <w:rsid w:val="00397370"/>
    <w:rsid w:val="003A1E2A"/>
    <w:rsid w:val="003A4EE8"/>
    <w:rsid w:val="003A4FE6"/>
    <w:rsid w:val="003A59A8"/>
    <w:rsid w:val="003A6347"/>
    <w:rsid w:val="003B0CD4"/>
    <w:rsid w:val="003B1108"/>
    <w:rsid w:val="003B6EF4"/>
    <w:rsid w:val="003C1C2B"/>
    <w:rsid w:val="003C3C88"/>
    <w:rsid w:val="003C469A"/>
    <w:rsid w:val="003C572A"/>
    <w:rsid w:val="003C7230"/>
    <w:rsid w:val="003C73F3"/>
    <w:rsid w:val="003D1ABC"/>
    <w:rsid w:val="003D30DE"/>
    <w:rsid w:val="003D4A6F"/>
    <w:rsid w:val="003D5F08"/>
    <w:rsid w:val="003D5FAD"/>
    <w:rsid w:val="003E088F"/>
    <w:rsid w:val="003E3355"/>
    <w:rsid w:val="003E7D6B"/>
    <w:rsid w:val="003F02DD"/>
    <w:rsid w:val="003F0673"/>
    <w:rsid w:val="003F1EF0"/>
    <w:rsid w:val="003F4D8C"/>
    <w:rsid w:val="003F77ED"/>
    <w:rsid w:val="003F77F3"/>
    <w:rsid w:val="00407240"/>
    <w:rsid w:val="00407A6C"/>
    <w:rsid w:val="0041150C"/>
    <w:rsid w:val="004115E8"/>
    <w:rsid w:val="004137A0"/>
    <w:rsid w:val="00413A2E"/>
    <w:rsid w:val="00413EAB"/>
    <w:rsid w:val="0041447B"/>
    <w:rsid w:val="004145AD"/>
    <w:rsid w:val="00414A5E"/>
    <w:rsid w:val="00414B65"/>
    <w:rsid w:val="004162B2"/>
    <w:rsid w:val="00420213"/>
    <w:rsid w:val="00421498"/>
    <w:rsid w:val="0042203E"/>
    <w:rsid w:val="004225A1"/>
    <w:rsid w:val="00424D3B"/>
    <w:rsid w:val="00431D08"/>
    <w:rsid w:val="00432515"/>
    <w:rsid w:val="00432AE0"/>
    <w:rsid w:val="0044045E"/>
    <w:rsid w:val="00441AD6"/>
    <w:rsid w:val="0044254F"/>
    <w:rsid w:val="00445E7C"/>
    <w:rsid w:val="00445FE0"/>
    <w:rsid w:val="004476BD"/>
    <w:rsid w:val="004518CC"/>
    <w:rsid w:val="00454FC9"/>
    <w:rsid w:val="00457A1F"/>
    <w:rsid w:val="00461932"/>
    <w:rsid w:val="00463C7C"/>
    <w:rsid w:val="00465192"/>
    <w:rsid w:val="00470C6E"/>
    <w:rsid w:val="00471F7E"/>
    <w:rsid w:val="00481C23"/>
    <w:rsid w:val="00481D8F"/>
    <w:rsid w:val="00481DA5"/>
    <w:rsid w:val="00482A5C"/>
    <w:rsid w:val="004832A2"/>
    <w:rsid w:val="004832F0"/>
    <w:rsid w:val="00483810"/>
    <w:rsid w:val="00485F8A"/>
    <w:rsid w:val="004868D6"/>
    <w:rsid w:val="00492A97"/>
    <w:rsid w:val="00492E07"/>
    <w:rsid w:val="0049329E"/>
    <w:rsid w:val="00493521"/>
    <w:rsid w:val="00493700"/>
    <w:rsid w:val="004946FA"/>
    <w:rsid w:val="0049525D"/>
    <w:rsid w:val="00496F84"/>
    <w:rsid w:val="00497CEE"/>
    <w:rsid w:val="00497EB3"/>
    <w:rsid w:val="004A0890"/>
    <w:rsid w:val="004A18EE"/>
    <w:rsid w:val="004A3BD5"/>
    <w:rsid w:val="004A3C5C"/>
    <w:rsid w:val="004A4779"/>
    <w:rsid w:val="004A6DA8"/>
    <w:rsid w:val="004B4252"/>
    <w:rsid w:val="004B699E"/>
    <w:rsid w:val="004B78AE"/>
    <w:rsid w:val="004C1552"/>
    <w:rsid w:val="004C23F9"/>
    <w:rsid w:val="004C2C93"/>
    <w:rsid w:val="004C2F62"/>
    <w:rsid w:val="004C3137"/>
    <w:rsid w:val="004C41F7"/>
    <w:rsid w:val="004C4663"/>
    <w:rsid w:val="004C67CC"/>
    <w:rsid w:val="004D1198"/>
    <w:rsid w:val="004D3BB3"/>
    <w:rsid w:val="004D57C5"/>
    <w:rsid w:val="004D7578"/>
    <w:rsid w:val="004D76AF"/>
    <w:rsid w:val="004E5DF1"/>
    <w:rsid w:val="004F0D93"/>
    <w:rsid w:val="004F1EAC"/>
    <w:rsid w:val="004F4387"/>
    <w:rsid w:val="004F513D"/>
    <w:rsid w:val="004F5C96"/>
    <w:rsid w:val="005001AA"/>
    <w:rsid w:val="005008CA"/>
    <w:rsid w:val="0050286B"/>
    <w:rsid w:val="00504637"/>
    <w:rsid w:val="005052E0"/>
    <w:rsid w:val="00507397"/>
    <w:rsid w:val="005073D6"/>
    <w:rsid w:val="00512CFA"/>
    <w:rsid w:val="00514684"/>
    <w:rsid w:val="00515B2D"/>
    <w:rsid w:val="00516D1D"/>
    <w:rsid w:val="0052098B"/>
    <w:rsid w:val="00521F39"/>
    <w:rsid w:val="00522DF7"/>
    <w:rsid w:val="005247A6"/>
    <w:rsid w:val="005252AC"/>
    <w:rsid w:val="00527C39"/>
    <w:rsid w:val="0053019B"/>
    <w:rsid w:val="00531DAB"/>
    <w:rsid w:val="00532B57"/>
    <w:rsid w:val="00533722"/>
    <w:rsid w:val="00533C69"/>
    <w:rsid w:val="00534BBA"/>
    <w:rsid w:val="0054083C"/>
    <w:rsid w:val="005415B7"/>
    <w:rsid w:val="00542F94"/>
    <w:rsid w:val="00543790"/>
    <w:rsid w:val="00543ADA"/>
    <w:rsid w:val="00554DFB"/>
    <w:rsid w:val="00556CB7"/>
    <w:rsid w:val="00560653"/>
    <w:rsid w:val="00560783"/>
    <w:rsid w:val="00561EBC"/>
    <w:rsid w:val="00563C01"/>
    <w:rsid w:val="00564F40"/>
    <w:rsid w:val="00571B42"/>
    <w:rsid w:val="005749A1"/>
    <w:rsid w:val="005763D4"/>
    <w:rsid w:val="005806BA"/>
    <w:rsid w:val="005822E1"/>
    <w:rsid w:val="00584129"/>
    <w:rsid w:val="00584C10"/>
    <w:rsid w:val="00584FBB"/>
    <w:rsid w:val="00586CA2"/>
    <w:rsid w:val="00587504"/>
    <w:rsid w:val="00591907"/>
    <w:rsid w:val="00591A21"/>
    <w:rsid w:val="00593F3E"/>
    <w:rsid w:val="0059440C"/>
    <w:rsid w:val="00594D2A"/>
    <w:rsid w:val="005960D1"/>
    <w:rsid w:val="0059665F"/>
    <w:rsid w:val="00597791"/>
    <w:rsid w:val="005A07CB"/>
    <w:rsid w:val="005A0F3C"/>
    <w:rsid w:val="005A69EE"/>
    <w:rsid w:val="005A6D17"/>
    <w:rsid w:val="005A7AA8"/>
    <w:rsid w:val="005B0033"/>
    <w:rsid w:val="005B2AA4"/>
    <w:rsid w:val="005B3D62"/>
    <w:rsid w:val="005B6A0B"/>
    <w:rsid w:val="005B7E46"/>
    <w:rsid w:val="005C1DD7"/>
    <w:rsid w:val="005C2E9B"/>
    <w:rsid w:val="005C42D2"/>
    <w:rsid w:val="005C4A27"/>
    <w:rsid w:val="005C5BB7"/>
    <w:rsid w:val="005C6585"/>
    <w:rsid w:val="005D2001"/>
    <w:rsid w:val="005D274E"/>
    <w:rsid w:val="005D363F"/>
    <w:rsid w:val="005D4C7B"/>
    <w:rsid w:val="005D579E"/>
    <w:rsid w:val="005D6264"/>
    <w:rsid w:val="005E28C3"/>
    <w:rsid w:val="005E28C5"/>
    <w:rsid w:val="005E3368"/>
    <w:rsid w:val="005E6F6B"/>
    <w:rsid w:val="005F3490"/>
    <w:rsid w:val="005F7EAE"/>
    <w:rsid w:val="006053C4"/>
    <w:rsid w:val="006065F2"/>
    <w:rsid w:val="0061208B"/>
    <w:rsid w:val="00614732"/>
    <w:rsid w:val="00615E9C"/>
    <w:rsid w:val="00616C69"/>
    <w:rsid w:val="00617517"/>
    <w:rsid w:val="0061771D"/>
    <w:rsid w:val="0063053F"/>
    <w:rsid w:val="00631406"/>
    <w:rsid w:val="00634A2C"/>
    <w:rsid w:val="006453CC"/>
    <w:rsid w:val="00646C69"/>
    <w:rsid w:val="0065084F"/>
    <w:rsid w:val="00650A41"/>
    <w:rsid w:val="0065107F"/>
    <w:rsid w:val="006517BA"/>
    <w:rsid w:val="006523B8"/>
    <w:rsid w:val="006608E5"/>
    <w:rsid w:val="00661602"/>
    <w:rsid w:val="00664690"/>
    <w:rsid w:val="00666A57"/>
    <w:rsid w:val="00686555"/>
    <w:rsid w:val="00687B3E"/>
    <w:rsid w:val="00690578"/>
    <w:rsid w:val="00690F0E"/>
    <w:rsid w:val="006940A4"/>
    <w:rsid w:val="0069519C"/>
    <w:rsid w:val="00695B13"/>
    <w:rsid w:val="00696010"/>
    <w:rsid w:val="006A420C"/>
    <w:rsid w:val="006A5FEC"/>
    <w:rsid w:val="006A75A2"/>
    <w:rsid w:val="006A7E40"/>
    <w:rsid w:val="006B28B5"/>
    <w:rsid w:val="006B2B44"/>
    <w:rsid w:val="006B3044"/>
    <w:rsid w:val="006C0275"/>
    <w:rsid w:val="006C0C02"/>
    <w:rsid w:val="006C1461"/>
    <w:rsid w:val="006C2ABE"/>
    <w:rsid w:val="006C439C"/>
    <w:rsid w:val="006C4C79"/>
    <w:rsid w:val="006C5185"/>
    <w:rsid w:val="006C6FA2"/>
    <w:rsid w:val="006C6FC5"/>
    <w:rsid w:val="006D1C0A"/>
    <w:rsid w:val="006D3B0B"/>
    <w:rsid w:val="006D54A8"/>
    <w:rsid w:val="006D6356"/>
    <w:rsid w:val="006D7CD0"/>
    <w:rsid w:val="006E0AB9"/>
    <w:rsid w:val="006E0C5F"/>
    <w:rsid w:val="006E0E22"/>
    <w:rsid w:val="006E0EC5"/>
    <w:rsid w:val="006E3C17"/>
    <w:rsid w:val="006E732C"/>
    <w:rsid w:val="006E7428"/>
    <w:rsid w:val="006F3010"/>
    <w:rsid w:val="006F525F"/>
    <w:rsid w:val="006F6532"/>
    <w:rsid w:val="006F6C9F"/>
    <w:rsid w:val="0070053C"/>
    <w:rsid w:val="00701029"/>
    <w:rsid w:val="00702486"/>
    <w:rsid w:val="007024AE"/>
    <w:rsid w:val="007079A9"/>
    <w:rsid w:val="0071000C"/>
    <w:rsid w:val="00711BD5"/>
    <w:rsid w:val="0071696D"/>
    <w:rsid w:val="00720728"/>
    <w:rsid w:val="007207C6"/>
    <w:rsid w:val="00722716"/>
    <w:rsid w:val="007229C6"/>
    <w:rsid w:val="007243E3"/>
    <w:rsid w:val="00725E88"/>
    <w:rsid w:val="00727556"/>
    <w:rsid w:val="00727B2C"/>
    <w:rsid w:val="00730190"/>
    <w:rsid w:val="007354D9"/>
    <w:rsid w:val="00736561"/>
    <w:rsid w:val="00736BFC"/>
    <w:rsid w:val="0073784F"/>
    <w:rsid w:val="00742841"/>
    <w:rsid w:val="00747983"/>
    <w:rsid w:val="00747A63"/>
    <w:rsid w:val="00750C0B"/>
    <w:rsid w:val="007515DE"/>
    <w:rsid w:val="00751EAF"/>
    <w:rsid w:val="0075447F"/>
    <w:rsid w:val="00757F22"/>
    <w:rsid w:val="007602CF"/>
    <w:rsid w:val="00763228"/>
    <w:rsid w:val="007657DE"/>
    <w:rsid w:val="00765A66"/>
    <w:rsid w:val="00767503"/>
    <w:rsid w:val="0077037F"/>
    <w:rsid w:val="007737E9"/>
    <w:rsid w:val="00773DF4"/>
    <w:rsid w:val="00773FCD"/>
    <w:rsid w:val="00777472"/>
    <w:rsid w:val="007844A5"/>
    <w:rsid w:val="007855EA"/>
    <w:rsid w:val="007859E6"/>
    <w:rsid w:val="00786487"/>
    <w:rsid w:val="00787E78"/>
    <w:rsid w:val="007948D5"/>
    <w:rsid w:val="00795BEE"/>
    <w:rsid w:val="007A351F"/>
    <w:rsid w:val="007A4053"/>
    <w:rsid w:val="007A4056"/>
    <w:rsid w:val="007A5D28"/>
    <w:rsid w:val="007B014C"/>
    <w:rsid w:val="007B05C1"/>
    <w:rsid w:val="007B30CA"/>
    <w:rsid w:val="007B32AA"/>
    <w:rsid w:val="007B4815"/>
    <w:rsid w:val="007B4C6D"/>
    <w:rsid w:val="007B5FAD"/>
    <w:rsid w:val="007C0A69"/>
    <w:rsid w:val="007C25D0"/>
    <w:rsid w:val="007C63E0"/>
    <w:rsid w:val="007C7EDC"/>
    <w:rsid w:val="007D38F1"/>
    <w:rsid w:val="007D4F96"/>
    <w:rsid w:val="007D7637"/>
    <w:rsid w:val="007E01B5"/>
    <w:rsid w:val="007E0DE1"/>
    <w:rsid w:val="007E13E2"/>
    <w:rsid w:val="007E2151"/>
    <w:rsid w:val="007E35BE"/>
    <w:rsid w:val="007E3727"/>
    <w:rsid w:val="007E586D"/>
    <w:rsid w:val="007E6FB5"/>
    <w:rsid w:val="007E763B"/>
    <w:rsid w:val="007F0C19"/>
    <w:rsid w:val="007F24A3"/>
    <w:rsid w:val="007F615C"/>
    <w:rsid w:val="007F695E"/>
    <w:rsid w:val="007F6C50"/>
    <w:rsid w:val="008007F7"/>
    <w:rsid w:val="00801DD7"/>
    <w:rsid w:val="008034DA"/>
    <w:rsid w:val="008109CE"/>
    <w:rsid w:val="008139F8"/>
    <w:rsid w:val="00817322"/>
    <w:rsid w:val="0082158A"/>
    <w:rsid w:val="00827639"/>
    <w:rsid w:val="008304FE"/>
    <w:rsid w:val="00830D61"/>
    <w:rsid w:val="00831192"/>
    <w:rsid w:val="00831F2A"/>
    <w:rsid w:val="00836345"/>
    <w:rsid w:val="0083757B"/>
    <w:rsid w:val="0084215A"/>
    <w:rsid w:val="008429DC"/>
    <w:rsid w:val="00843085"/>
    <w:rsid w:val="0084697A"/>
    <w:rsid w:val="0085030B"/>
    <w:rsid w:val="00850B52"/>
    <w:rsid w:val="0085176F"/>
    <w:rsid w:val="0085183E"/>
    <w:rsid w:val="00852BEB"/>
    <w:rsid w:val="00853BD6"/>
    <w:rsid w:val="00857B0C"/>
    <w:rsid w:val="0086101D"/>
    <w:rsid w:val="00862001"/>
    <w:rsid w:val="00863888"/>
    <w:rsid w:val="00863A77"/>
    <w:rsid w:val="008645A4"/>
    <w:rsid w:val="008652FC"/>
    <w:rsid w:val="00867AC0"/>
    <w:rsid w:val="00870C31"/>
    <w:rsid w:val="008722F2"/>
    <w:rsid w:val="0087241B"/>
    <w:rsid w:val="00873A7E"/>
    <w:rsid w:val="00873E91"/>
    <w:rsid w:val="00875653"/>
    <w:rsid w:val="00876B55"/>
    <w:rsid w:val="00877DCC"/>
    <w:rsid w:val="008810D4"/>
    <w:rsid w:val="00881203"/>
    <w:rsid w:val="0088257F"/>
    <w:rsid w:val="008859D3"/>
    <w:rsid w:val="00885BAD"/>
    <w:rsid w:val="00885E46"/>
    <w:rsid w:val="00887CBA"/>
    <w:rsid w:val="008909FA"/>
    <w:rsid w:val="008913B5"/>
    <w:rsid w:val="008952CD"/>
    <w:rsid w:val="00895C35"/>
    <w:rsid w:val="008960CA"/>
    <w:rsid w:val="00896361"/>
    <w:rsid w:val="008A06FF"/>
    <w:rsid w:val="008A11D3"/>
    <w:rsid w:val="008A18D9"/>
    <w:rsid w:val="008A2970"/>
    <w:rsid w:val="008A3592"/>
    <w:rsid w:val="008A3D32"/>
    <w:rsid w:val="008A4957"/>
    <w:rsid w:val="008A636D"/>
    <w:rsid w:val="008A674E"/>
    <w:rsid w:val="008B05EC"/>
    <w:rsid w:val="008B16A8"/>
    <w:rsid w:val="008B4919"/>
    <w:rsid w:val="008B5354"/>
    <w:rsid w:val="008B7263"/>
    <w:rsid w:val="008B7C3C"/>
    <w:rsid w:val="008C1133"/>
    <w:rsid w:val="008C4404"/>
    <w:rsid w:val="008C6E3E"/>
    <w:rsid w:val="008D38DD"/>
    <w:rsid w:val="008D4C26"/>
    <w:rsid w:val="008D744E"/>
    <w:rsid w:val="008D7566"/>
    <w:rsid w:val="008E543B"/>
    <w:rsid w:val="008E6FF4"/>
    <w:rsid w:val="008F2C04"/>
    <w:rsid w:val="008F30C6"/>
    <w:rsid w:val="008F574F"/>
    <w:rsid w:val="008F5A29"/>
    <w:rsid w:val="008F5B88"/>
    <w:rsid w:val="008F6D0E"/>
    <w:rsid w:val="0090060C"/>
    <w:rsid w:val="00902A42"/>
    <w:rsid w:val="0090355C"/>
    <w:rsid w:val="009104C1"/>
    <w:rsid w:val="009135B0"/>
    <w:rsid w:val="0091513E"/>
    <w:rsid w:val="0091587C"/>
    <w:rsid w:val="00920AE6"/>
    <w:rsid w:val="009216ED"/>
    <w:rsid w:val="00925D9A"/>
    <w:rsid w:val="00926FDF"/>
    <w:rsid w:val="00931E97"/>
    <w:rsid w:val="0093221F"/>
    <w:rsid w:val="00932428"/>
    <w:rsid w:val="009343F6"/>
    <w:rsid w:val="00934853"/>
    <w:rsid w:val="009352BA"/>
    <w:rsid w:val="00937F48"/>
    <w:rsid w:val="00941087"/>
    <w:rsid w:val="00943546"/>
    <w:rsid w:val="00943BF4"/>
    <w:rsid w:val="00946126"/>
    <w:rsid w:val="00951069"/>
    <w:rsid w:val="009532D2"/>
    <w:rsid w:val="00953DE3"/>
    <w:rsid w:val="00961243"/>
    <w:rsid w:val="0097404D"/>
    <w:rsid w:val="0097597E"/>
    <w:rsid w:val="00975EEA"/>
    <w:rsid w:val="0097783A"/>
    <w:rsid w:val="0098058D"/>
    <w:rsid w:val="009813C1"/>
    <w:rsid w:val="00982DE4"/>
    <w:rsid w:val="009842BB"/>
    <w:rsid w:val="00987DFF"/>
    <w:rsid w:val="009908B1"/>
    <w:rsid w:val="00992D18"/>
    <w:rsid w:val="0099316A"/>
    <w:rsid w:val="00993BA6"/>
    <w:rsid w:val="00994970"/>
    <w:rsid w:val="00995EEB"/>
    <w:rsid w:val="00996D84"/>
    <w:rsid w:val="00996E5C"/>
    <w:rsid w:val="00997653"/>
    <w:rsid w:val="009A271E"/>
    <w:rsid w:val="009A35E7"/>
    <w:rsid w:val="009A3BC8"/>
    <w:rsid w:val="009A403B"/>
    <w:rsid w:val="009A4801"/>
    <w:rsid w:val="009A6CA5"/>
    <w:rsid w:val="009A72A5"/>
    <w:rsid w:val="009B3C4F"/>
    <w:rsid w:val="009B6B67"/>
    <w:rsid w:val="009C0928"/>
    <w:rsid w:val="009C127D"/>
    <w:rsid w:val="009C20F6"/>
    <w:rsid w:val="009C4564"/>
    <w:rsid w:val="009C596E"/>
    <w:rsid w:val="009C7077"/>
    <w:rsid w:val="009C7622"/>
    <w:rsid w:val="009D7631"/>
    <w:rsid w:val="009D7B13"/>
    <w:rsid w:val="009D7C24"/>
    <w:rsid w:val="009E0B6D"/>
    <w:rsid w:val="009E20F1"/>
    <w:rsid w:val="009F42ED"/>
    <w:rsid w:val="009F50CD"/>
    <w:rsid w:val="009F5DC9"/>
    <w:rsid w:val="009F63C1"/>
    <w:rsid w:val="009F65FA"/>
    <w:rsid w:val="00A03087"/>
    <w:rsid w:val="00A0346C"/>
    <w:rsid w:val="00A03B04"/>
    <w:rsid w:val="00A04250"/>
    <w:rsid w:val="00A07167"/>
    <w:rsid w:val="00A07E0E"/>
    <w:rsid w:val="00A10DCD"/>
    <w:rsid w:val="00A121A7"/>
    <w:rsid w:val="00A14B00"/>
    <w:rsid w:val="00A200E1"/>
    <w:rsid w:val="00A22997"/>
    <w:rsid w:val="00A22B07"/>
    <w:rsid w:val="00A24C7A"/>
    <w:rsid w:val="00A2589A"/>
    <w:rsid w:val="00A25B82"/>
    <w:rsid w:val="00A31712"/>
    <w:rsid w:val="00A3194A"/>
    <w:rsid w:val="00A325B5"/>
    <w:rsid w:val="00A37586"/>
    <w:rsid w:val="00A375C0"/>
    <w:rsid w:val="00A41BA4"/>
    <w:rsid w:val="00A424FA"/>
    <w:rsid w:val="00A4336A"/>
    <w:rsid w:val="00A4418A"/>
    <w:rsid w:val="00A4722A"/>
    <w:rsid w:val="00A5138C"/>
    <w:rsid w:val="00A5345F"/>
    <w:rsid w:val="00A53508"/>
    <w:rsid w:val="00A5480E"/>
    <w:rsid w:val="00A55982"/>
    <w:rsid w:val="00A55B6E"/>
    <w:rsid w:val="00A60BA0"/>
    <w:rsid w:val="00A6232F"/>
    <w:rsid w:val="00A636D3"/>
    <w:rsid w:val="00A64D96"/>
    <w:rsid w:val="00A668BC"/>
    <w:rsid w:val="00A6799D"/>
    <w:rsid w:val="00A67E73"/>
    <w:rsid w:val="00A719D6"/>
    <w:rsid w:val="00A73F5D"/>
    <w:rsid w:val="00A76B31"/>
    <w:rsid w:val="00A7746B"/>
    <w:rsid w:val="00A806E7"/>
    <w:rsid w:val="00A8111E"/>
    <w:rsid w:val="00A827C1"/>
    <w:rsid w:val="00A861DC"/>
    <w:rsid w:val="00A9216A"/>
    <w:rsid w:val="00A93E07"/>
    <w:rsid w:val="00A93E30"/>
    <w:rsid w:val="00A96EB9"/>
    <w:rsid w:val="00AA1000"/>
    <w:rsid w:val="00AA2254"/>
    <w:rsid w:val="00AA69EF"/>
    <w:rsid w:val="00AA72CB"/>
    <w:rsid w:val="00AB0C18"/>
    <w:rsid w:val="00AB1CCA"/>
    <w:rsid w:val="00AB320E"/>
    <w:rsid w:val="00AB5379"/>
    <w:rsid w:val="00AB5A12"/>
    <w:rsid w:val="00AB74A3"/>
    <w:rsid w:val="00AB75E0"/>
    <w:rsid w:val="00AC2052"/>
    <w:rsid w:val="00AC2AAA"/>
    <w:rsid w:val="00AC2F9F"/>
    <w:rsid w:val="00AC5FF1"/>
    <w:rsid w:val="00AD502F"/>
    <w:rsid w:val="00AD546D"/>
    <w:rsid w:val="00AD648B"/>
    <w:rsid w:val="00AD64D1"/>
    <w:rsid w:val="00AD6826"/>
    <w:rsid w:val="00AD77C6"/>
    <w:rsid w:val="00AE068A"/>
    <w:rsid w:val="00AE2C17"/>
    <w:rsid w:val="00AE7B44"/>
    <w:rsid w:val="00AE7FA1"/>
    <w:rsid w:val="00AF114C"/>
    <w:rsid w:val="00AF49AC"/>
    <w:rsid w:val="00AF5147"/>
    <w:rsid w:val="00AF5B20"/>
    <w:rsid w:val="00AF66CE"/>
    <w:rsid w:val="00AF7D40"/>
    <w:rsid w:val="00B01408"/>
    <w:rsid w:val="00B01E2E"/>
    <w:rsid w:val="00B02ED6"/>
    <w:rsid w:val="00B0498A"/>
    <w:rsid w:val="00B04ADB"/>
    <w:rsid w:val="00B05B67"/>
    <w:rsid w:val="00B0700B"/>
    <w:rsid w:val="00B11A64"/>
    <w:rsid w:val="00B14563"/>
    <w:rsid w:val="00B149E2"/>
    <w:rsid w:val="00B164F2"/>
    <w:rsid w:val="00B23D52"/>
    <w:rsid w:val="00B31553"/>
    <w:rsid w:val="00B324B5"/>
    <w:rsid w:val="00B3265B"/>
    <w:rsid w:val="00B332B7"/>
    <w:rsid w:val="00B3367C"/>
    <w:rsid w:val="00B36B1D"/>
    <w:rsid w:val="00B37FD5"/>
    <w:rsid w:val="00B419A6"/>
    <w:rsid w:val="00B438A8"/>
    <w:rsid w:val="00B448F5"/>
    <w:rsid w:val="00B44A51"/>
    <w:rsid w:val="00B52549"/>
    <w:rsid w:val="00B5500D"/>
    <w:rsid w:val="00B55356"/>
    <w:rsid w:val="00B57CA9"/>
    <w:rsid w:val="00B61A7A"/>
    <w:rsid w:val="00B64AC5"/>
    <w:rsid w:val="00B65B26"/>
    <w:rsid w:val="00B73074"/>
    <w:rsid w:val="00B7322B"/>
    <w:rsid w:val="00B751BC"/>
    <w:rsid w:val="00B771B4"/>
    <w:rsid w:val="00B77610"/>
    <w:rsid w:val="00B812FB"/>
    <w:rsid w:val="00B82064"/>
    <w:rsid w:val="00B825E6"/>
    <w:rsid w:val="00B861D4"/>
    <w:rsid w:val="00B869FC"/>
    <w:rsid w:val="00B91E7E"/>
    <w:rsid w:val="00B95A10"/>
    <w:rsid w:val="00B96EB6"/>
    <w:rsid w:val="00BA0EF1"/>
    <w:rsid w:val="00BA15A3"/>
    <w:rsid w:val="00BA28B4"/>
    <w:rsid w:val="00BA2DE3"/>
    <w:rsid w:val="00BA2EE3"/>
    <w:rsid w:val="00BA51B1"/>
    <w:rsid w:val="00BA5340"/>
    <w:rsid w:val="00BA5817"/>
    <w:rsid w:val="00BA5E4B"/>
    <w:rsid w:val="00BA5FBD"/>
    <w:rsid w:val="00BA73FE"/>
    <w:rsid w:val="00BB1B9C"/>
    <w:rsid w:val="00BB5AC5"/>
    <w:rsid w:val="00BC33B9"/>
    <w:rsid w:val="00BC3816"/>
    <w:rsid w:val="00BC4893"/>
    <w:rsid w:val="00BC5A83"/>
    <w:rsid w:val="00BD0CC7"/>
    <w:rsid w:val="00BE0468"/>
    <w:rsid w:val="00BE51B8"/>
    <w:rsid w:val="00BE606E"/>
    <w:rsid w:val="00BE7347"/>
    <w:rsid w:val="00BF0A17"/>
    <w:rsid w:val="00BF2CD0"/>
    <w:rsid w:val="00BF54C3"/>
    <w:rsid w:val="00C00124"/>
    <w:rsid w:val="00C0348A"/>
    <w:rsid w:val="00C04550"/>
    <w:rsid w:val="00C0564E"/>
    <w:rsid w:val="00C05E4B"/>
    <w:rsid w:val="00C0781F"/>
    <w:rsid w:val="00C078B3"/>
    <w:rsid w:val="00C10675"/>
    <w:rsid w:val="00C14209"/>
    <w:rsid w:val="00C14419"/>
    <w:rsid w:val="00C167AE"/>
    <w:rsid w:val="00C208BA"/>
    <w:rsid w:val="00C22814"/>
    <w:rsid w:val="00C239E5"/>
    <w:rsid w:val="00C24F91"/>
    <w:rsid w:val="00C26CE6"/>
    <w:rsid w:val="00C26E56"/>
    <w:rsid w:val="00C31E3F"/>
    <w:rsid w:val="00C408DF"/>
    <w:rsid w:val="00C434DC"/>
    <w:rsid w:val="00C44691"/>
    <w:rsid w:val="00C46C16"/>
    <w:rsid w:val="00C4745D"/>
    <w:rsid w:val="00C50BB7"/>
    <w:rsid w:val="00C526FC"/>
    <w:rsid w:val="00C539FF"/>
    <w:rsid w:val="00C53F2A"/>
    <w:rsid w:val="00C55C46"/>
    <w:rsid w:val="00C55EA4"/>
    <w:rsid w:val="00C56F23"/>
    <w:rsid w:val="00C65961"/>
    <w:rsid w:val="00C67DDB"/>
    <w:rsid w:val="00C71A24"/>
    <w:rsid w:val="00C72177"/>
    <w:rsid w:val="00C73F7E"/>
    <w:rsid w:val="00C75EF9"/>
    <w:rsid w:val="00C76834"/>
    <w:rsid w:val="00C92097"/>
    <w:rsid w:val="00C92B83"/>
    <w:rsid w:val="00CA75A3"/>
    <w:rsid w:val="00CB1250"/>
    <w:rsid w:val="00CB1FC3"/>
    <w:rsid w:val="00CB593C"/>
    <w:rsid w:val="00CB6A2D"/>
    <w:rsid w:val="00CB73FE"/>
    <w:rsid w:val="00CC02CE"/>
    <w:rsid w:val="00CC2BFC"/>
    <w:rsid w:val="00CC5D5A"/>
    <w:rsid w:val="00CD0625"/>
    <w:rsid w:val="00CD38FC"/>
    <w:rsid w:val="00CD4C80"/>
    <w:rsid w:val="00CD7872"/>
    <w:rsid w:val="00CD7C12"/>
    <w:rsid w:val="00CE1896"/>
    <w:rsid w:val="00CE3687"/>
    <w:rsid w:val="00CE3FC0"/>
    <w:rsid w:val="00CE435E"/>
    <w:rsid w:val="00CE5B3A"/>
    <w:rsid w:val="00CE6E4A"/>
    <w:rsid w:val="00CE72D7"/>
    <w:rsid w:val="00CF15E1"/>
    <w:rsid w:val="00CF1805"/>
    <w:rsid w:val="00CF1C46"/>
    <w:rsid w:val="00CF21ED"/>
    <w:rsid w:val="00CF24C3"/>
    <w:rsid w:val="00D00F99"/>
    <w:rsid w:val="00D02508"/>
    <w:rsid w:val="00D02E62"/>
    <w:rsid w:val="00D037BC"/>
    <w:rsid w:val="00D03C1B"/>
    <w:rsid w:val="00D04C05"/>
    <w:rsid w:val="00D06E23"/>
    <w:rsid w:val="00D109B1"/>
    <w:rsid w:val="00D1139F"/>
    <w:rsid w:val="00D1257C"/>
    <w:rsid w:val="00D125EA"/>
    <w:rsid w:val="00D1266C"/>
    <w:rsid w:val="00D162FA"/>
    <w:rsid w:val="00D16C07"/>
    <w:rsid w:val="00D1710D"/>
    <w:rsid w:val="00D223BF"/>
    <w:rsid w:val="00D22497"/>
    <w:rsid w:val="00D228C3"/>
    <w:rsid w:val="00D3018D"/>
    <w:rsid w:val="00D3175E"/>
    <w:rsid w:val="00D341C1"/>
    <w:rsid w:val="00D41132"/>
    <w:rsid w:val="00D42554"/>
    <w:rsid w:val="00D4336B"/>
    <w:rsid w:val="00D462B5"/>
    <w:rsid w:val="00D47158"/>
    <w:rsid w:val="00D520DA"/>
    <w:rsid w:val="00D52F55"/>
    <w:rsid w:val="00D54697"/>
    <w:rsid w:val="00D54C4F"/>
    <w:rsid w:val="00D57C56"/>
    <w:rsid w:val="00D62A2B"/>
    <w:rsid w:val="00D62CE7"/>
    <w:rsid w:val="00D668D3"/>
    <w:rsid w:val="00D70805"/>
    <w:rsid w:val="00D73B1E"/>
    <w:rsid w:val="00D73D01"/>
    <w:rsid w:val="00D81CEA"/>
    <w:rsid w:val="00D82862"/>
    <w:rsid w:val="00D837B0"/>
    <w:rsid w:val="00D837CD"/>
    <w:rsid w:val="00D868DC"/>
    <w:rsid w:val="00D92A12"/>
    <w:rsid w:val="00D92F09"/>
    <w:rsid w:val="00D92F40"/>
    <w:rsid w:val="00D944DA"/>
    <w:rsid w:val="00D948B8"/>
    <w:rsid w:val="00D9508B"/>
    <w:rsid w:val="00DA0447"/>
    <w:rsid w:val="00DA0D49"/>
    <w:rsid w:val="00DA56E8"/>
    <w:rsid w:val="00DA5D4B"/>
    <w:rsid w:val="00DA5F49"/>
    <w:rsid w:val="00DA670A"/>
    <w:rsid w:val="00DB098A"/>
    <w:rsid w:val="00DB0B05"/>
    <w:rsid w:val="00DB230F"/>
    <w:rsid w:val="00DB2870"/>
    <w:rsid w:val="00DB2EDF"/>
    <w:rsid w:val="00DB402D"/>
    <w:rsid w:val="00DB7515"/>
    <w:rsid w:val="00DC27AC"/>
    <w:rsid w:val="00DC29FC"/>
    <w:rsid w:val="00DC30FC"/>
    <w:rsid w:val="00DC3F9A"/>
    <w:rsid w:val="00DC4452"/>
    <w:rsid w:val="00DC4B08"/>
    <w:rsid w:val="00DC6A14"/>
    <w:rsid w:val="00DD01C6"/>
    <w:rsid w:val="00DD40C2"/>
    <w:rsid w:val="00DD57A0"/>
    <w:rsid w:val="00DD5EEC"/>
    <w:rsid w:val="00DD71C9"/>
    <w:rsid w:val="00DD724C"/>
    <w:rsid w:val="00DD798C"/>
    <w:rsid w:val="00DE2818"/>
    <w:rsid w:val="00DE2AFD"/>
    <w:rsid w:val="00DE4914"/>
    <w:rsid w:val="00DE4A20"/>
    <w:rsid w:val="00DE5898"/>
    <w:rsid w:val="00DE5C63"/>
    <w:rsid w:val="00DE671D"/>
    <w:rsid w:val="00DE70A6"/>
    <w:rsid w:val="00DE782B"/>
    <w:rsid w:val="00DF0DBE"/>
    <w:rsid w:val="00DF5A37"/>
    <w:rsid w:val="00DF61AD"/>
    <w:rsid w:val="00DF7AC1"/>
    <w:rsid w:val="00E00FBA"/>
    <w:rsid w:val="00E016D3"/>
    <w:rsid w:val="00E02D6F"/>
    <w:rsid w:val="00E0480D"/>
    <w:rsid w:val="00E0569B"/>
    <w:rsid w:val="00E05D75"/>
    <w:rsid w:val="00E10FC9"/>
    <w:rsid w:val="00E13888"/>
    <w:rsid w:val="00E141A3"/>
    <w:rsid w:val="00E17AC0"/>
    <w:rsid w:val="00E200D0"/>
    <w:rsid w:val="00E20706"/>
    <w:rsid w:val="00E2210C"/>
    <w:rsid w:val="00E23DDC"/>
    <w:rsid w:val="00E247E9"/>
    <w:rsid w:val="00E256A4"/>
    <w:rsid w:val="00E25E77"/>
    <w:rsid w:val="00E26BA2"/>
    <w:rsid w:val="00E26E3A"/>
    <w:rsid w:val="00E2727E"/>
    <w:rsid w:val="00E3238E"/>
    <w:rsid w:val="00E33920"/>
    <w:rsid w:val="00E34F4E"/>
    <w:rsid w:val="00E361F9"/>
    <w:rsid w:val="00E37EE0"/>
    <w:rsid w:val="00E4107B"/>
    <w:rsid w:val="00E45D04"/>
    <w:rsid w:val="00E51023"/>
    <w:rsid w:val="00E510EA"/>
    <w:rsid w:val="00E56B95"/>
    <w:rsid w:val="00E57946"/>
    <w:rsid w:val="00E62F25"/>
    <w:rsid w:val="00E646FF"/>
    <w:rsid w:val="00E64D3F"/>
    <w:rsid w:val="00E6783E"/>
    <w:rsid w:val="00E7037C"/>
    <w:rsid w:val="00E7056B"/>
    <w:rsid w:val="00E705E5"/>
    <w:rsid w:val="00E71C03"/>
    <w:rsid w:val="00E749AE"/>
    <w:rsid w:val="00E76953"/>
    <w:rsid w:val="00E76C80"/>
    <w:rsid w:val="00E800EC"/>
    <w:rsid w:val="00E83DA9"/>
    <w:rsid w:val="00E861F6"/>
    <w:rsid w:val="00E9403C"/>
    <w:rsid w:val="00E94DB3"/>
    <w:rsid w:val="00E95FF0"/>
    <w:rsid w:val="00E96C10"/>
    <w:rsid w:val="00EA1EC6"/>
    <w:rsid w:val="00EA5FCB"/>
    <w:rsid w:val="00EA63BE"/>
    <w:rsid w:val="00EA672B"/>
    <w:rsid w:val="00EA6A31"/>
    <w:rsid w:val="00EB0E10"/>
    <w:rsid w:val="00EB14DE"/>
    <w:rsid w:val="00EB2D8A"/>
    <w:rsid w:val="00EB67A1"/>
    <w:rsid w:val="00EC2992"/>
    <w:rsid w:val="00EC4FCB"/>
    <w:rsid w:val="00EC62BB"/>
    <w:rsid w:val="00ED12AB"/>
    <w:rsid w:val="00ED5A59"/>
    <w:rsid w:val="00ED6A21"/>
    <w:rsid w:val="00EE5246"/>
    <w:rsid w:val="00EE6717"/>
    <w:rsid w:val="00EF107C"/>
    <w:rsid w:val="00EF1F50"/>
    <w:rsid w:val="00EF318B"/>
    <w:rsid w:val="00EF5256"/>
    <w:rsid w:val="00F02C3B"/>
    <w:rsid w:val="00F033E7"/>
    <w:rsid w:val="00F03928"/>
    <w:rsid w:val="00F07C01"/>
    <w:rsid w:val="00F10BF9"/>
    <w:rsid w:val="00F10D71"/>
    <w:rsid w:val="00F1215A"/>
    <w:rsid w:val="00F1365B"/>
    <w:rsid w:val="00F16C17"/>
    <w:rsid w:val="00F173B0"/>
    <w:rsid w:val="00F24516"/>
    <w:rsid w:val="00F27242"/>
    <w:rsid w:val="00F3000C"/>
    <w:rsid w:val="00F3237C"/>
    <w:rsid w:val="00F41965"/>
    <w:rsid w:val="00F43487"/>
    <w:rsid w:val="00F43909"/>
    <w:rsid w:val="00F47134"/>
    <w:rsid w:val="00F52EC4"/>
    <w:rsid w:val="00F5309E"/>
    <w:rsid w:val="00F5447A"/>
    <w:rsid w:val="00F56438"/>
    <w:rsid w:val="00F57606"/>
    <w:rsid w:val="00F60743"/>
    <w:rsid w:val="00F60EEE"/>
    <w:rsid w:val="00F617F7"/>
    <w:rsid w:val="00F70688"/>
    <w:rsid w:val="00F72735"/>
    <w:rsid w:val="00F82289"/>
    <w:rsid w:val="00F83284"/>
    <w:rsid w:val="00F8362E"/>
    <w:rsid w:val="00F856D1"/>
    <w:rsid w:val="00F859AF"/>
    <w:rsid w:val="00F90E78"/>
    <w:rsid w:val="00F9144D"/>
    <w:rsid w:val="00F91FF6"/>
    <w:rsid w:val="00F97341"/>
    <w:rsid w:val="00F977F1"/>
    <w:rsid w:val="00FA189A"/>
    <w:rsid w:val="00FA1F50"/>
    <w:rsid w:val="00FA2573"/>
    <w:rsid w:val="00FA2EBD"/>
    <w:rsid w:val="00FA3B13"/>
    <w:rsid w:val="00FA4DB0"/>
    <w:rsid w:val="00FA5A55"/>
    <w:rsid w:val="00FA7ED0"/>
    <w:rsid w:val="00FB1939"/>
    <w:rsid w:val="00FB3300"/>
    <w:rsid w:val="00FB55D7"/>
    <w:rsid w:val="00FB6571"/>
    <w:rsid w:val="00FC0318"/>
    <w:rsid w:val="00FC03ED"/>
    <w:rsid w:val="00FC0E97"/>
    <w:rsid w:val="00FC70EB"/>
    <w:rsid w:val="00FD04F2"/>
    <w:rsid w:val="00FD136F"/>
    <w:rsid w:val="00FD5067"/>
    <w:rsid w:val="00FD5149"/>
    <w:rsid w:val="00FD580B"/>
    <w:rsid w:val="00FE0C07"/>
    <w:rsid w:val="00FE19A3"/>
    <w:rsid w:val="00FE4E54"/>
    <w:rsid w:val="00FE573A"/>
    <w:rsid w:val="00FF00DA"/>
    <w:rsid w:val="00FF04A0"/>
    <w:rsid w:val="00FF0EC2"/>
    <w:rsid w:val="00FF1F7B"/>
    <w:rsid w:val="00FF3D58"/>
    <w:rsid w:val="00FF6B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5D8B77"/>
  <w15:docId w15:val="{94A0C95B-7731-4CB0-826D-2E8D8B53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D7C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8363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Dot pt,Bullet Points,No Spacing1,List Paragraph Char Char Char,Indicator Text,Numbered Para 1,List Paragraph1,Bullet 1,MAIN CONTENT,List Paragraph12,OBC Bullet,F5 List Paragraph,Colorful List - Accent 11,Normal numbered"/>
    <w:basedOn w:val="Normal"/>
    <w:link w:val="ListParagraphChar"/>
    <w:uiPriority w:val="34"/>
    <w:qFormat/>
    <w:rsid w:val="007F695E"/>
    <w:pPr>
      <w:ind w:left="720"/>
      <w:contextualSpacing/>
    </w:pPr>
  </w:style>
  <w:style w:type="character" w:customStyle="1" w:styleId="A4">
    <w:name w:val="A4"/>
    <w:uiPriority w:val="99"/>
    <w:rsid w:val="00165BB6"/>
    <w:rPr>
      <w:rFonts w:cs="NimbusSanLig"/>
      <w:color w:val="000000"/>
      <w:sz w:val="20"/>
      <w:szCs w:val="20"/>
    </w:rPr>
  </w:style>
  <w:style w:type="character" w:styleId="Strong">
    <w:name w:val="Strong"/>
    <w:basedOn w:val="DefaultParagraphFont"/>
    <w:uiPriority w:val="22"/>
    <w:qFormat/>
    <w:rsid w:val="00B91E7E"/>
    <w:rPr>
      <w:b/>
      <w:bCs/>
    </w:rPr>
  </w:style>
  <w:style w:type="paragraph" w:styleId="NormalWeb">
    <w:name w:val="Normal (Web)"/>
    <w:basedOn w:val="Normal"/>
    <w:uiPriority w:val="99"/>
    <w:semiHidden/>
    <w:unhideWhenUsed/>
    <w:rsid w:val="007657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657DE"/>
    <w:rPr>
      <w:color w:val="0000FF"/>
      <w:u w:val="single"/>
    </w:rPr>
  </w:style>
  <w:style w:type="character" w:customStyle="1" w:styleId="Heading1Char">
    <w:name w:val="Heading 1 Char"/>
    <w:basedOn w:val="DefaultParagraphFont"/>
    <w:link w:val="Heading1"/>
    <w:uiPriority w:val="9"/>
    <w:rsid w:val="006D7CD0"/>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2E1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177"/>
  </w:style>
  <w:style w:type="paragraph" w:styleId="Footer">
    <w:name w:val="footer"/>
    <w:basedOn w:val="Normal"/>
    <w:link w:val="FooterChar"/>
    <w:uiPriority w:val="99"/>
    <w:unhideWhenUsed/>
    <w:rsid w:val="002E1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177"/>
  </w:style>
  <w:style w:type="paragraph" w:customStyle="1" w:styleId="ETCBodyCopy">
    <w:name w:val="ETC Body Copy"/>
    <w:basedOn w:val="Normal"/>
    <w:link w:val="ETCBodyCopyChar"/>
    <w:qFormat/>
    <w:rsid w:val="002E1177"/>
    <w:pPr>
      <w:widowControl w:val="0"/>
      <w:suppressAutoHyphens/>
      <w:autoSpaceDE w:val="0"/>
      <w:autoSpaceDN w:val="0"/>
      <w:adjustRightInd w:val="0"/>
      <w:spacing w:before="220" w:line="240" w:lineRule="auto"/>
      <w:textAlignment w:val="center"/>
    </w:pPr>
    <w:rPr>
      <w:rFonts w:ascii="Century Gothic" w:eastAsiaTheme="minorEastAsia" w:hAnsi="Century Gothic" w:cs="CenturyGothic"/>
      <w:color w:val="595959"/>
      <w:sz w:val="19"/>
      <w:szCs w:val="19"/>
      <w:lang w:eastAsia="ja-JP"/>
    </w:rPr>
  </w:style>
  <w:style w:type="character" w:customStyle="1" w:styleId="ETCBodyCopyChar">
    <w:name w:val="ETC Body Copy Char"/>
    <w:basedOn w:val="DefaultParagraphFont"/>
    <w:link w:val="ETCBodyCopy"/>
    <w:rsid w:val="002E1177"/>
    <w:rPr>
      <w:rFonts w:ascii="Century Gothic" w:eastAsiaTheme="minorEastAsia" w:hAnsi="Century Gothic" w:cs="CenturyGothic"/>
      <w:color w:val="595959"/>
      <w:sz w:val="19"/>
      <w:szCs w:val="19"/>
      <w:lang w:eastAsia="ja-JP"/>
    </w:rPr>
  </w:style>
  <w:style w:type="paragraph" w:customStyle="1" w:styleId="paragraph">
    <w:name w:val="paragraph"/>
    <w:basedOn w:val="Normal"/>
    <w:rsid w:val="00512C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12CFA"/>
  </w:style>
  <w:style w:type="paragraph" w:styleId="Caption">
    <w:name w:val="caption"/>
    <w:basedOn w:val="Normal"/>
    <w:next w:val="Normal"/>
    <w:uiPriority w:val="35"/>
    <w:unhideWhenUsed/>
    <w:qFormat/>
    <w:rsid w:val="009532D2"/>
    <w:pPr>
      <w:spacing w:after="200" w:line="240" w:lineRule="auto"/>
    </w:pPr>
    <w:rPr>
      <w:i/>
      <w:iCs/>
      <w:color w:val="44546A" w:themeColor="text2"/>
      <w:sz w:val="18"/>
      <w:szCs w:val="18"/>
    </w:rPr>
  </w:style>
  <w:style w:type="character" w:customStyle="1" w:styleId="ListParagraphChar">
    <w:name w:val="List Paragraph Char"/>
    <w:aliases w:val="Bullet list Char,Dot pt Char,Bullet Points Char,No Spacing1 Char,List Paragraph Char Char Char Char,Indicator Text Char,Numbered Para 1 Char,List Paragraph1 Char,Bullet 1 Char,MAIN CONTENT Char,List Paragraph12 Char,OBC Bullet Char"/>
    <w:basedOn w:val="DefaultParagraphFont"/>
    <w:link w:val="ListParagraph"/>
    <w:uiPriority w:val="34"/>
    <w:locked/>
    <w:rsid w:val="006B3044"/>
  </w:style>
  <w:style w:type="character" w:styleId="CommentReference">
    <w:name w:val="annotation reference"/>
    <w:basedOn w:val="DefaultParagraphFont"/>
    <w:uiPriority w:val="99"/>
    <w:semiHidden/>
    <w:unhideWhenUsed/>
    <w:rsid w:val="0028407E"/>
    <w:rPr>
      <w:sz w:val="16"/>
      <w:szCs w:val="16"/>
    </w:rPr>
  </w:style>
  <w:style w:type="paragraph" w:styleId="CommentText">
    <w:name w:val="annotation text"/>
    <w:basedOn w:val="Normal"/>
    <w:link w:val="CommentTextChar"/>
    <w:uiPriority w:val="99"/>
    <w:unhideWhenUsed/>
    <w:rsid w:val="0028407E"/>
    <w:pPr>
      <w:spacing w:line="240" w:lineRule="auto"/>
    </w:pPr>
    <w:rPr>
      <w:sz w:val="20"/>
      <w:szCs w:val="20"/>
    </w:rPr>
  </w:style>
  <w:style w:type="character" w:customStyle="1" w:styleId="CommentTextChar">
    <w:name w:val="Comment Text Char"/>
    <w:basedOn w:val="DefaultParagraphFont"/>
    <w:link w:val="CommentText"/>
    <w:uiPriority w:val="99"/>
    <w:rsid w:val="0028407E"/>
    <w:rPr>
      <w:sz w:val="20"/>
      <w:szCs w:val="20"/>
    </w:rPr>
  </w:style>
  <w:style w:type="paragraph" w:styleId="CommentSubject">
    <w:name w:val="annotation subject"/>
    <w:basedOn w:val="CommentText"/>
    <w:next w:val="CommentText"/>
    <w:link w:val="CommentSubjectChar"/>
    <w:uiPriority w:val="99"/>
    <w:semiHidden/>
    <w:unhideWhenUsed/>
    <w:rsid w:val="0028407E"/>
    <w:rPr>
      <w:b/>
      <w:bCs/>
    </w:rPr>
  </w:style>
  <w:style w:type="character" w:customStyle="1" w:styleId="CommentSubjectChar">
    <w:name w:val="Comment Subject Char"/>
    <w:basedOn w:val="CommentTextChar"/>
    <w:link w:val="CommentSubject"/>
    <w:uiPriority w:val="99"/>
    <w:semiHidden/>
    <w:rsid w:val="0028407E"/>
    <w:rPr>
      <w:b/>
      <w:bCs/>
      <w:sz w:val="20"/>
      <w:szCs w:val="20"/>
    </w:rPr>
  </w:style>
  <w:style w:type="paragraph" w:styleId="BalloonText">
    <w:name w:val="Balloon Text"/>
    <w:basedOn w:val="Normal"/>
    <w:link w:val="BalloonTextChar"/>
    <w:uiPriority w:val="99"/>
    <w:semiHidden/>
    <w:unhideWhenUsed/>
    <w:rsid w:val="002840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07E"/>
    <w:rPr>
      <w:rFonts w:ascii="Segoe UI" w:hAnsi="Segoe UI" w:cs="Segoe UI"/>
      <w:sz w:val="18"/>
      <w:szCs w:val="18"/>
    </w:rPr>
  </w:style>
  <w:style w:type="character" w:customStyle="1" w:styleId="Heading3Char">
    <w:name w:val="Heading 3 Char"/>
    <w:basedOn w:val="DefaultParagraphFont"/>
    <w:link w:val="Heading3"/>
    <w:uiPriority w:val="9"/>
    <w:semiHidden/>
    <w:rsid w:val="00836345"/>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2001"/>
    <w:rPr>
      <w:color w:val="954F72" w:themeColor="followedHyperlink"/>
      <w:u w:val="single"/>
    </w:rPr>
  </w:style>
  <w:style w:type="character" w:customStyle="1" w:styleId="emailstyle16">
    <w:name w:val="emailstyle16"/>
    <w:basedOn w:val="DefaultParagraphFont"/>
    <w:rsid w:val="00432AE0"/>
    <w:rPr>
      <w:rFonts w:ascii="Calibri" w:hAnsi="Calibri" w:cs="Calibri" w:hint="default"/>
      <w:color w:val="auto"/>
    </w:rPr>
  </w:style>
  <w:style w:type="character" w:styleId="Emphasis">
    <w:name w:val="Emphasis"/>
    <w:basedOn w:val="DefaultParagraphFont"/>
    <w:uiPriority w:val="20"/>
    <w:qFormat/>
    <w:rsid w:val="00BA2EE3"/>
    <w:rPr>
      <w:i/>
      <w:iCs/>
    </w:rPr>
  </w:style>
  <w:style w:type="character" w:customStyle="1" w:styleId="UnresolvedMention1">
    <w:name w:val="Unresolved Mention1"/>
    <w:basedOn w:val="DefaultParagraphFont"/>
    <w:uiPriority w:val="99"/>
    <w:semiHidden/>
    <w:unhideWhenUsed/>
    <w:rsid w:val="00843085"/>
    <w:rPr>
      <w:color w:val="605E5C"/>
      <w:shd w:val="clear" w:color="auto" w:fill="E1DFDD"/>
    </w:rPr>
  </w:style>
  <w:style w:type="paragraph" w:styleId="FootnoteText">
    <w:name w:val="footnote text"/>
    <w:basedOn w:val="Normal"/>
    <w:link w:val="FootnoteTextChar"/>
    <w:uiPriority w:val="99"/>
    <w:semiHidden/>
    <w:unhideWhenUsed/>
    <w:rsid w:val="00B553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356"/>
    <w:rPr>
      <w:sz w:val="20"/>
      <w:szCs w:val="20"/>
    </w:rPr>
  </w:style>
  <w:style w:type="character" w:styleId="FootnoteReference">
    <w:name w:val="footnote reference"/>
    <w:basedOn w:val="DefaultParagraphFont"/>
    <w:uiPriority w:val="99"/>
    <w:semiHidden/>
    <w:unhideWhenUsed/>
    <w:rsid w:val="00B55356"/>
    <w:rPr>
      <w:vertAlign w:val="superscript"/>
    </w:rPr>
  </w:style>
  <w:style w:type="table" w:styleId="TableGrid">
    <w:name w:val="Table Grid"/>
    <w:basedOn w:val="TableNormal"/>
    <w:uiPriority w:val="39"/>
    <w:rsid w:val="00B96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5A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65474">
      <w:bodyDiv w:val="1"/>
      <w:marLeft w:val="0"/>
      <w:marRight w:val="0"/>
      <w:marTop w:val="0"/>
      <w:marBottom w:val="0"/>
      <w:divBdr>
        <w:top w:val="none" w:sz="0" w:space="0" w:color="auto"/>
        <w:left w:val="none" w:sz="0" w:space="0" w:color="auto"/>
        <w:bottom w:val="none" w:sz="0" w:space="0" w:color="auto"/>
        <w:right w:val="none" w:sz="0" w:space="0" w:color="auto"/>
      </w:divBdr>
    </w:div>
    <w:div w:id="74590597">
      <w:bodyDiv w:val="1"/>
      <w:marLeft w:val="0"/>
      <w:marRight w:val="0"/>
      <w:marTop w:val="0"/>
      <w:marBottom w:val="0"/>
      <w:divBdr>
        <w:top w:val="none" w:sz="0" w:space="0" w:color="auto"/>
        <w:left w:val="none" w:sz="0" w:space="0" w:color="auto"/>
        <w:bottom w:val="none" w:sz="0" w:space="0" w:color="auto"/>
        <w:right w:val="none" w:sz="0" w:space="0" w:color="auto"/>
      </w:divBdr>
    </w:div>
    <w:div w:id="234168569">
      <w:bodyDiv w:val="1"/>
      <w:marLeft w:val="0"/>
      <w:marRight w:val="0"/>
      <w:marTop w:val="0"/>
      <w:marBottom w:val="0"/>
      <w:divBdr>
        <w:top w:val="none" w:sz="0" w:space="0" w:color="auto"/>
        <w:left w:val="none" w:sz="0" w:space="0" w:color="auto"/>
        <w:bottom w:val="none" w:sz="0" w:space="0" w:color="auto"/>
        <w:right w:val="none" w:sz="0" w:space="0" w:color="auto"/>
      </w:divBdr>
    </w:div>
    <w:div w:id="353654407">
      <w:bodyDiv w:val="1"/>
      <w:marLeft w:val="0"/>
      <w:marRight w:val="0"/>
      <w:marTop w:val="0"/>
      <w:marBottom w:val="0"/>
      <w:divBdr>
        <w:top w:val="none" w:sz="0" w:space="0" w:color="auto"/>
        <w:left w:val="none" w:sz="0" w:space="0" w:color="auto"/>
        <w:bottom w:val="none" w:sz="0" w:space="0" w:color="auto"/>
        <w:right w:val="none" w:sz="0" w:space="0" w:color="auto"/>
      </w:divBdr>
    </w:div>
    <w:div w:id="390277008">
      <w:bodyDiv w:val="1"/>
      <w:marLeft w:val="0"/>
      <w:marRight w:val="0"/>
      <w:marTop w:val="0"/>
      <w:marBottom w:val="0"/>
      <w:divBdr>
        <w:top w:val="none" w:sz="0" w:space="0" w:color="auto"/>
        <w:left w:val="none" w:sz="0" w:space="0" w:color="auto"/>
        <w:bottom w:val="none" w:sz="0" w:space="0" w:color="auto"/>
        <w:right w:val="none" w:sz="0" w:space="0" w:color="auto"/>
      </w:divBdr>
    </w:div>
    <w:div w:id="422800999">
      <w:bodyDiv w:val="1"/>
      <w:marLeft w:val="0"/>
      <w:marRight w:val="0"/>
      <w:marTop w:val="0"/>
      <w:marBottom w:val="0"/>
      <w:divBdr>
        <w:top w:val="none" w:sz="0" w:space="0" w:color="auto"/>
        <w:left w:val="none" w:sz="0" w:space="0" w:color="auto"/>
        <w:bottom w:val="none" w:sz="0" w:space="0" w:color="auto"/>
        <w:right w:val="none" w:sz="0" w:space="0" w:color="auto"/>
      </w:divBdr>
    </w:div>
    <w:div w:id="1000813249">
      <w:bodyDiv w:val="1"/>
      <w:marLeft w:val="0"/>
      <w:marRight w:val="0"/>
      <w:marTop w:val="0"/>
      <w:marBottom w:val="0"/>
      <w:divBdr>
        <w:top w:val="none" w:sz="0" w:space="0" w:color="auto"/>
        <w:left w:val="none" w:sz="0" w:space="0" w:color="auto"/>
        <w:bottom w:val="none" w:sz="0" w:space="0" w:color="auto"/>
        <w:right w:val="none" w:sz="0" w:space="0" w:color="auto"/>
      </w:divBdr>
    </w:div>
    <w:div w:id="1037050569">
      <w:bodyDiv w:val="1"/>
      <w:marLeft w:val="0"/>
      <w:marRight w:val="0"/>
      <w:marTop w:val="0"/>
      <w:marBottom w:val="0"/>
      <w:divBdr>
        <w:top w:val="none" w:sz="0" w:space="0" w:color="auto"/>
        <w:left w:val="none" w:sz="0" w:space="0" w:color="auto"/>
        <w:bottom w:val="none" w:sz="0" w:space="0" w:color="auto"/>
        <w:right w:val="none" w:sz="0" w:space="0" w:color="auto"/>
      </w:divBdr>
    </w:div>
    <w:div w:id="1194463401">
      <w:bodyDiv w:val="1"/>
      <w:marLeft w:val="0"/>
      <w:marRight w:val="0"/>
      <w:marTop w:val="0"/>
      <w:marBottom w:val="0"/>
      <w:divBdr>
        <w:top w:val="none" w:sz="0" w:space="0" w:color="auto"/>
        <w:left w:val="none" w:sz="0" w:space="0" w:color="auto"/>
        <w:bottom w:val="none" w:sz="0" w:space="0" w:color="auto"/>
        <w:right w:val="none" w:sz="0" w:space="0" w:color="auto"/>
      </w:divBdr>
    </w:div>
    <w:div w:id="1377704572">
      <w:bodyDiv w:val="1"/>
      <w:marLeft w:val="0"/>
      <w:marRight w:val="0"/>
      <w:marTop w:val="0"/>
      <w:marBottom w:val="0"/>
      <w:divBdr>
        <w:top w:val="none" w:sz="0" w:space="0" w:color="auto"/>
        <w:left w:val="none" w:sz="0" w:space="0" w:color="auto"/>
        <w:bottom w:val="none" w:sz="0" w:space="0" w:color="auto"/>
        <w:right w:val="none" w:sz="0" w:space="0" w:color="auto"/>
      </w:divBdr>
    </w:div>
    <w:div w:id="202273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mordorintelligence.com/industry-reports/jet-fuel-market" TargetMode="External"/><Relationship Id="rId7" Type="http://schemas.openxmlformats.org/officeDocument/2006/relationships/hyperlink" Target="https://www.euronews.com/2019/07/10/aviation-tax-which-eu-countries-charge-passengers" TargetMode="External"/><Relationship Id="rId2" Type="http://schemas.openxmlformats.org/officeDocument/2006/relationships/hyperlink" Target="http://www.energy-transitions.org/sites/default/files/ETC%20sectoral%20focus%20-%20Aviation_final.pdf" TargetMode="External"/><Relationship Id="rId1" Type="http://schemas.openxmlformats.org/officeDocument/2006/relationships/hyperlink" Target="file:///C:/Users/FaustineDelasalle/AppData/Local/Microsoft/Windows/INetCache/Content.Outlook/CRV8MFHJ/energy-transitions.org/sites/default/files/ETC%20sectoral%20focus%20-%20Steel_final.pdf" TargetMode="External"/><Relationship Id="rId6" Type="http://schemas.openxmlformats.org/officeDocument/2006/relationships/hyperlink" Target="https://www.bbc.co.uk/news/science-environment-48133365" TargetMode="External"/><Relationship Id="rId5" Type="http://schemas.openxmlformats.org/officeDocument/2006/relationships/hyperlink" Target="https://www.forbes.com/sites/stephenrice1/2019/06/05/the-public-supports-sustainable-aviation-and-they-are-willing-pay-for-it/" TargetMode="External"/><Relationship Id="rId4" Type="http://schemas.openxmlformats.org/officeDocument/2006/relationships/hyperlink" Target="https://www.anna.aero/2016/08/31/london-to-new-york-market-analyse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25264799389F4083CAFC10E22C2C0D" ma:contentTypeVersion="14" ma:contentTypeDescription="Create a new document." ma:contentTypeScope="" ma:versionID="40d30b3d1612194e9fcc94a6aff5b4ad">
  <xsd:schema xmlns:xsd="http://www.w3.org/2001/XMLSchema" xmlns:xs="http://www.w3.org/2001/XMLSchema" xmlns:p="http://schemas.microsoft.com/office/2006/metadata/properties" xmlns:ns2="f689e3f1-3f94-4d67-a0ad-10c84a7ba916" xmlns:ns3="4aa96ceb-2ceb-4b4d-897e-b6661887608b" targetNamespace="http://schemas.microsoft.com/office/2006/metadata/properties" ma:root="true" ma:fieldsID="3ad4eae923b06d32bbeb07a55790fc52" ns2:_="" ns3:_="">
    <xsd:import namespace="f689e3f1-3f94-4d67-a0ad-10c84a7ba916"/>
    <xsd:import namespace="4aa96ceb-2ceb-4b4d-897e-b666188760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9e3f1-3f94-4d67-a0ad-10c84a7ba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d27762-0251-4a48-b483-e1f79c0a65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96ceb-2ceb-4b4d-897e-b666188760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773a2a-dfc1-433d-8b55-95311d7e2fde}" ma:internalName="TaxCatchAll" ma:showField="CatchAllData" ma:web="4aa96ceb-2ceb-4b4d-897e-b6661887608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aa96ceb-2ceb-4b4d-897e-b6661887608b" xsi:nil="true"/>
    <lcf76f155ced4ddcb4097134ff3c332f xmlns="f689e3f1-3f94-4d67-a0ad-10c84a7ba9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830B3-16C4-404B-A3B3-9509DB13EBB2}"/>
</file>

<file path=customXml/itemProps2.xml><?xml version="1.0" encoding="utf-8"?>
<ds:datastoreItem xmlns:ds="http://schemas.openxmlformats.org/officeDocument/2006/customXml" ds:itemID="{503F3CB9-48DD-4548-989F-D89E0BDE6519}">
  <ds:schemaRefs>
    <ds:schemaRef ds:uri="http://purl.org/dc/terms/"/>
    <ds:schemaRef ds:uri="04eaa977-f143-4008-9b27-be049eecda91"/>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6f44a7d-d6f5-4042-8792-19cb5f90fb06"/>
    <ds:schemaRef ds:uri="http://www.w3.org/XML/1998/namespace"/>
  </ds:schemaRefs>
</ds:datastoreItem>
</file>

<file path=customXml/itemProps3.xml><?xml version="1.0" encoding="utf-8"?>
<ds:datastoreItem xmlns:ds="http://schemas.openxmlformats.org/officeDocument/2006/customXml" ds:itemID="{670F1047-A0AB-492A-AEAD-F6B4EAF556D6}">
  <ds:schemaRefs>
    <ds:schemaRef ds:uri="http://schemas.microsoft.com/sharepoint/v3/contenttype/forms"/>
  </ds:schemaRefs>
</ds:datastoreItem>
</file>

<file path=customXml/itemProps4.xml><?xml version="1.0" encoding="utf-8"?>
<ds:datastoreItem xmlns:ds="http://schemas.openxmlformats.org/officeDocument/2006/customXml" ds:itemID="{99CA81CA-9BA7-4C10-B95A-D6F94B76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12</Pages>
  <Words>4588</Words>
  <Characters>26157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Alasdair Graham</dc:creator>
  <cp:lastModifiedBy>Faustine Delasalle</cp:lastModifiedBy>
  <cp:revision>74</cp:revision>
  <dcterms:created xsi:type="dcterms:W3CDTF">2019-11-11T16:46:00Z</dcterms:created>
  <dcterms:modified xsi:type="dcterms:W3CDTF">2019-11-17T16:47:00Z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0x010100D725264799389F4083CAFC10E22C2C0D</vt:lpwstr>
  </property>
  <property fmtid="{D5CDD505-2E9C-101B-9397-08002B2CF9AE}" pid="3" name="Order">
    <vt:r8>4600</vt:r8>
  </property>
</Properties>
</file>