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99D59" w14:textId="643F4884" w:rsidR="005D1F15" w:rsidRPr="00F36FE2" w:rsidRDefault="00D84415" w:rsidP="015BA8FD">
      <w:pPr>
        <w:rPr>
          <w:b/>
          <w:bCs/>
          <w:color w:val="002060"/>
          <w:u w:val="single"/>
        </w:rPr>
      </w:pPr>
      <w:r w:rsidRPr="23017FFD">
        <w:rPr>
          <w:b/>
          <w:bCs/>
          <w:color w:val="002060"/>
          <w:u w:val="single"/>
        </w:rPr>
        <w:t xml:space="preserve">Frequently Asked Questions </w:t>
      </w:r>
      <w:r w:rsidR="0074291D" w:rsidRPr="23017FFD">
        <w:rPr>
          <w:b/>
          <w:bCs/>
          <w:color w:val="002060"/>
          <w:u w:val="single"/>
        </w:rPr>
        <w:t>–</w:t>
      </w:r>
      <w:r w:rsidR="006C54E1" w:rsidRPr="23017FFD">
        <w:rPr>
          <w:b/>
          <w:bCs/>
          <w:color w:val="002060"/>
          <w:u w:val="single"/>
        </w:rPr>
        <w:t xml:space="preserve"> </w:t>
      </w:r>
      <w:r w:rsidR="00621C09" w:rsidRPr="00621C09">
        <w:rPr>
          <w:b/>
          <w:bCs/>
          <w:color w:val="002060"/>
          <w:u w:val="single"/>
        </w:rPr>
        <w:t xml:space="preserve">Global trade </w:t>
      </w:r>
      <w:r w:rsidR="008B26D4">
        <w:rPr>
          <w:b/>
          <w:bCs/>
          <w:color w:val="002060"/>
          <w:u w:val="single"/>
        </w:rPr>
        <w:t>in</w:t>
      </w:r>
      <w:r w:rsidR="00621C09" w:rsidRPr="00621C09">
        <w:rPr>
          <w:b/>
          <w:bCs/>
          <w:color w:val="002060"/>
          <w:u w:val="single"/>
        </w:rPr>
        <w:t xml:space="preserve"> the energy transition: Principles for clean energy supply chains &amp; carbon pricing </w:t>
      </w:r>
    </w:p>
    <w:p w14:paraId="04A847B2" w14:textId="3055736B" w:rsidR="005D1F15" w:rsidRPr="00F36FE2" w:rsidRDefault="005D1F15" w:rsidP="005D1F15">
      <w:pPr>
        <w:rPr>
          <w:rFonts w:cstheme="minorHAnsi"/>
          <w:b/>
          <w:bCs/>
          <w:u w:val="single"/>
        </w:rPr>
      </w:pPr>
      <w:r w:rsidRPr="00F36FE2">
        <w:rPr>
          <w:rFonts w:cstheme="minorHAnsi"/>
          <w:b/>
          <w:bCs/>
          <w:u w:val="single"/>
        </w:rPr>
        <w:t>Contents</w:t>
      </w:r>
    </w:p>
    <w:p w14:paraId="46D319D5" w14:textId="77777777" w:rsidR="005D1F15" w:rsidRPr="00F36FE2" w:rsidRDefault="03EB8B91" w:rsidP="009569D0">
      <w:pPr>
        <w:pStyle w:val="ListParagraph"/>
        <w:numPr>
          <w:ilvl w:val="0"/>
          <w:numId w:val="2"/>
        </w:numPr>
        <w:rPr>
          <w:rFonts w:cstheme="minorHAnsi"/>
          <w:b/>
          <w:bCs/>
        </w:rPr>
      </w:pPr>
      <w:r w:rsidRPr="00F36FE2">
        <w:rPr>
          <w:rFonts w:cstheme="minorHAnsi"/>
          <w:b/>
          <w:bCs/>
        </w:rPr>
        <w:t>Section 1: About the ETC</w:t>
      </w:r>
    </w:p>
    <w:p w14:paraId="687F83E7" w14:textId="204C897C" w:rsidR="00F20195" w:rsidRDefault="03EB8B91" w:rsidP="009569D0">
      <w:pPr>
        <w:pStyle w:val="ListParagraph"/>
        <w:numPr>
          <w:ilvl w:val="0"/>
          <w:numId w:val="2"/>
        </w:numPr>
        <w:rPr>
          <w:b/>
          <w:bCs/>
        </w:rPr>
      </w:pPr>
      <w:r w:rsidRPr="22AB3A82">
        <w:rPr>
          <w:b/>
          <w:bCs/>
        </w:rPr>
        <w:t xml:space="preserve">Section 2: About the </w:t>
      </w:r>
      <w:r w:rsidR="7B2CCEE5" w:rsidRPr="22AB3A82">
        <w:rPr>
          <w:b/>
          <w:bCs/>
        </w:rPr>
        <w:t>Briefing Note</w:t>
      </w:r>
      <w:r w:rsidR="001678F2" w:rsidRPr="22AB3A82">
        <w:rPr>
          <w:b/>
          <w:bCs/>
        </w:rPr>
        <w:t xml:space="preserve"> </w:t>
      </w:r>
      <w:r w:rsidRPr="22AB3A82">
        <w:rPr>
          <w:b/>
          <w:bCs/>
        </w:rPr>
        <w:t>and its</w:t>
      </w:r>
      <w:r w:rsidR="000571C4">
        <w:rPr>
          <w:b/>
          <w:bCs/>
        </w:rPr>
        <w:t xml:space="preserve"> Impact</w:t>
      </w:r>
    </w:p>
    <w:p w14:paraId="322AB428" w14:textId="21C71827" w:rsidR="000571C4" w:rsidRDefault="000571C4" w:rsidP="009569D0">
      <w:pPr>
        <w:pStyle w:val="ListParagraph"/>
        <w:numPr>
          <w:ilvl w:val="0"/>
          <w:numId w:val="2"/>
        </w:numPr>
        <w:rPr>
          <w:b/>
          <w:bCs/>
        </w:rPr>
      </w:pPr>
      <w:r>
        <w:rPr>
          <w:b/>
          <w:bCs/>
        </w:rPr>
        <w:t>Section 3: Geopolitics and Broader Context</w:t>
      </w:r>
    </w:p>
    <w:p w14:paraId="07BF03CC" w14:textId="341C7A28" w:rsidR="006C7582" w:rsidRPr="00E75459" w:rsidRDefault="006C7582" w:rsidP="00E75459">
      <w:pPr>
        <w:rPr>
          <w:rFonts w:cstheme="minorHAnsi"/>
          <w:b/>
          <w:bCs/>
          <w:u w:val="single"/>
        </w:rPr>
      </w:pPr>
      <w:r w:rsidRPr="00E75459">
        <w:rPr>
          <w:rFonts w:cstheme="minorHAnsi"/>
          <w:b/>
          <w:bCs/>
          <w:u w:val="single"/>
        </w:rPr>
        <w:t xml:space="preserve">Section 1: About the ETC </w:t>
      </w:r>
    </w:p>
    <w:p w14:paraId="404C1581" w14:textId="77777777" w:rsidR="006C7582" w:rsidRPr="00F36FE2" w:rsidRDefault="006C7582">
      <w:pPr>
        <w:rPr>
          <w:rFonts w:cstheme="minorHAnsi"/>
          <w:b/>
          <w:bCs/>
        </w:rPr>
      </w:pPr>
      <w:r w:rsidRPr="00F36FE2">
        <w:rPr>
          <w:rFonts w:cstheme="minorHAnsi"/>
          <w:b/>
          <w:bCs/>
        </w:rPr>
        <w:t xml:space="preserve">What is the Energy Transitions Commission and what is its mission? </w:t>
      </w:r>
    </w:p>
    <w:p w14:paraId="01B361CB" w14:textId="77777777" w:rsidR="00EB6185" w:rsidRPr="00F36FE2" w:rsidRDefault="00EB6185" w:rsidP="00EB6185">
      <w:pPr>
        <w:rPr>
          <w:rFonts w:cstheme="minorHAnsi"/>
        </w:rPr>
      </w:pPr>
      <w:r w:rsidRPr="00F36FE2">
        <w:rPr>
          <w:rFonts w:cstheme="minorHAnsi"/>
        </w:rPr>
        <w:t xml:space="preserve">The Energy Transitions Commission (ETC) is a global coalition of leaders from across the energy landscape committed to achieving net-zero emissions by mid-century in order to limit global warming to well below 2°C and as close as possible to 1.5°C. </w:t>
      </w:r>
    </w:p>
    <w:p w14:paraId="59BB5ADF" w14:textId="77777777" w:rsidR="00EB6185" w:rsidRPr="00F36FE2" w:rsidRDefault="00EB6185" w:rsidP="00EB6185">
      <w:pPr>
        <w:rPr>
          <w:highlight w:val="yellow"/>
        </w:rPr>
      </w:pPr>
      <w:r w:rsidRPr="2F0113F5">
        <w:t xml:space="preserve">Our Commissioners come from a range of organisations – energy producers, energy-intensive industries, technology providers, finance players and environmental NGOs – which operate across developed and developing countries and play different roles in the energy transition. This diversity of viewpoints informs our work: our analyses are developed with a systems perspective through extensive exchanges with experts and practitioners. Our ambition is to inform the decisions of public and private decision-makers and support the leaders at the forefront of climate action to speed up the deployment of low and zero-carbon solutions. </w:t>
      </w:r>
    </w:p>
    <w:p w14:paraId="039A0AB7" w14:textId="77777777" w:rsidR="00EB6185" w:rsidRPr="0067498E" w:rsidRDefault="00EB6185" w:rsidP="00EB6185">
      <w:pPr>
        <w:rPr>
          <w:highlight w:val="yellow"/>
          <w:u w:val="single"/>
        </w:rPr>
      </w:pPr>
      <w:r w:rsidRPr="00F81ED4">
        <w:t xml:space="preserve">A list of our commissioners can be found here:  </w:t>
      </w:r>
      <w:hyperlink r:id="rId11">
        <w:r w:rsidRPr="00F81ED4">
          <w:rPr>
            <w:rStyle w:val="Hyperlink"/>
            <w:color w:val="2F5496" w:themeColor="accent1" w:themeShade="BF"/>
          </w:rPr>
          <w:t>http://www.energy-transitions.org/who</w:t>
        </w:r>
      </w:hyperlink>
      <w:r w:rsidRPr="00F81ED4">
        <w:rPr>
          <w:rStyle w:val="Hyperlink"/>
          <w:color w:val="2F5496" w:themeColor="accent1" w:themeShade="BF"/>
        </w:rPr>
        <w:t>/</w:t>
      </w:r>
      <w:r w:rsidRPr="00F81ED4">
        <w:br/>
        <w:t xml:space="preserve">Our ambition is set out here: </w:t>
      </w:r>
      <w:hyperlink r:id="rId12">
        <w:r w:rsidRPr="00F81ED4">
          <w:rPr>
            <w:rStyle w:val="Hyperlink"/>
            <w:color w:val="2F5496" w:themeColor="accent1" w:themeShade="BF"/>
          </w:rPr>
          <w:t>https://www.energy-transitions.org/ambition/</w:t>
        </w:r>
      </w:hyperlink>
      <w:r w:rsidRPr="2F0113F5">
        <w:rPr>
          <w:color w:val="2F5496" w:themeColor="accent1" w:themeShade="BF"/>
        </w:rPr>
        <w:t xml:space="preserve"> </w:t>
      </w:r>
    </w:p>
    <w:p w14:paraId="766E0072" w14:textId="77777777" w:rsidR="006C7582" w:rsidRPr="00F36FE2" w:rsidRDefault="006C7582">
      <w:pPr>
        <w:rPr>
          <w:rFonts w:cstheme="minorHAnsi"/>
          <w:b/>
          <w:bCs/>
        </w:rPr>
      </w:pPr>
      <w:r w:rsidRPr="00F36FE2">
        <w:rPr>
          <w:rFonts w:cstheme="minorHAnsi"/>
          <w:b/>
          <w:bCs/>
        </w:rPr>
        <w:t xml:space="preserve">Who funds the ETC? </w:t>
      </w:r>
    </w:p>
    <w:p w14:paraId="64EAA6F1" w14:textId="77777777" w:rsidR="001D2A8C" w:rsidRPr="00F36FE2" w:rsidRDefault="001D2A8C" w:rsidP="001D2A8C">
      <w:pPr>
        <w:rPr>
          <w:rFonts w:cstheme="minorHAnsi"/>
        </w:rPr>
      </w:pPr>
      <w:r w:rsidRPr="00F36FE2">
        <w:rPr>
          <w:rFonts w:cstheme="minorHAnsi"/>
        </w:rPr>
        <w:t xml:space="preserve">The ETC is primarily funded by the organisations with which our Commissioners are affiliated. Membership fee levels depend on the size and nature (for-profit or </w:t>
      </w:r>
      <w:r>
        <w:rPr>
          <w:rFonts w:cstheme="minorHAnsi"/>
        </w:rPr>
        <w:t>not-for-profit</w:t>
      </w:r>
      <w:r w:rsidRPr="00F36FE2">
        <w:rPr>
          <w:rFonts w:cstheme="minorHAnsi"/>
        </w:rPr>
        <w:t xml:space="preserve">) of the organisation. Commissioners all have equal voice and representation on the Commission regardless of whether their affiliate organisation finances the ETC or not. In addition, some of the ETC’s work programmes, in particular </w:t>
      </w:r>
      <w:r>
        <w:rPr>
          <w:rFonts w:cstheme="minorHAnsi"/>
        </w:rPr>
        <w:t>in</w:t>
      </w:r>
      <w:r w:rsidRPr="00F36FE2">
        <w:rPr>
          <w:rFonts w:cstheme="minorHAnsi"/>
        </w:rPr>
        <w:t xml:space="preserve"> China and India, are funded by philanthropic organisations. </w:t>
      </w:r>
    </w:p>
    <w:p w14:paraId="1913470A" w14:textId="77777777" w:rsidR="001D2A8C" w:rsidRPr="00F36FE2" w:rsidRDefault="001D2A8C" w:rsidP="001D2A8C">
      <w:pPr>
        <w:rPr>
          <w:rFonts w:cstheme="minorHAnsi"/>
        </w:rPr>
      </w:pPr>
      <w:r w:rsidRPr="00F36FE2">
        <w:rPr>
          <w:rFonts w:cstheme="minorHAnsi"/>
        </w:rPr>
        <w:t xml:space="preserve">The funding we receive finances the ETC’s secretariat, analytical programmes, stakeholder outreach and communications. </w:t>
      </w:r>
    </w:p>
    <w:p w14:paraId="467FC2D1" w14:textId="77777777" w:rsidR="005E402C" w:rsidRPr="00F36FE2" w:rsidRDefault="006C7582">
      <w:pPr>
        <w:rPr>
          <w:rFonts w:cstheme="minorHAnsi"/>
          <w:b/>
          <w:bCs/>
        </w:rPr>
      </w:pPr>
      <w:r w:rsidRPr="00F36FE2">
        <w:rPr>
          <w:rFonts w:cstheme="minorHAnsi"/>
          <w:b/>
          <w:bCs/>
        </w:rPr>
        <w:t xml:space="preserve">Who are the Commissioners and how were they selected? </w:t>
      </w:r>
    </w:p>
    <w:p w14:paraId="4B27DF33" w14:textId="55623FC5" w:rsidR="00B23A2A" w:rsidRPr="00F36FE2" w:rsidRDefault="00B23A2A" w:rsidP="00B23A2A">
      <w:r>
        <w:t>As of May 2024, the Commission’s membership includes over 50</w:t>
      </w:r>
      <w:r w:rsidRPr="00CE13A8">
        <w:t xml:space="preserve"> leaders</w:t>
      </w:r>
      <w:r>
        <w:t xml:space="preserve"> coming from energy companies, energy-intensive industries, technology providers, financial institutions, environmental NGOs and academia. They operate across developed and developing countries and play different roles in the energy transition. Commissioners are selected based on their commitment to working towards a net-zero-emissions economy by mid-century. </w:t>
      </w:r>
    </w:p>
    <w:p w14:paraId="45AC796D" w14:textId="03354D0E" w:rsidR="001127C9" w:rsidRPr="00F36FE2" w:rsidRDefault="00B23A2A">
      <w:r>
        <w:t xml:space="preserve">We endeavour to diversify the Commission’s membership in terms of sector, nationality and gender. The Commission is chaired by Lord Adair Turner who works alongside the ETC’s senior leadership team. A list of Commissioners can be found on our website at: </w:t>
      </w:r>
      <w:hyperlink r:id="rId13">
        <w:r w:rsidRPr="2F0113F5">
          <w:rPr>
            <w:rStyle w:val="Hyperlink"/>
          </w:rPr>
          <w:t>http://www.energy-transitions.org/who</w:t>
        </w:r>
      </w:hyperlink>
      <w:r>
        <w:t xml:space="preserve">/ </w:t>
      </w:r>
    </w:p>
    <w:p w14:paraId="28A6843B" w14:textId="4F00163B" w:rsidR="006C7582" w:rsidRPr="000D04ED" w:rsidRDefault="006C7582">
      <w:pPr>
        <w:rPr>
          <w:rFonts w:cstheme="minorHAnsi"/>
        </w:rPr>
      </w:pPr>
      <w:r w:rsidRPr="000D04ED">
        <w:rPr>
          <w:rFonts w:cstheme="minorHAnsi"/>
          <w:b/>
        </w:rPr>
        <w:t>Are the organi</w:t>
      </w:r>
      <w:r w:rsidR="00B81115" w:rsidRPr="000D04ED">
        <w:rPr>
          <w:rFonts w:cstheme="minorHAnsi"/>
          <w:b/>
        </w:rPr>
        <w:t>s</w:t>
      </w:r>
      <w:r w:rsidRPr="000D04ED">
        <w:rPr>
          <w:rFonts w:cstheme="minorHAnsi"/>
          <w:b/>
        </w:rPr>
        <w:t>ations with which your members are affiliated backing this report?</w:t>
      </w:r>
      <w:r w:rsidRPr="000D04ED">
        <w:rPr>
          <w:rFonts w:cstheme="minorHAnsi"/>
        </w:rPr>
        <w:t xml:space="preserve"> </w:t>
      </w:r>
    </w:p>
    <w:p w14:paraId="3D3480CC" w14:textId="394DD209" w:rsidR="1EFC8AB8" w:rsidRPr="000D04ED" w:rsidRDefault="1EFC8AB8" w:rsidP="41DD3F99">
      <w:pPr>
        <w:pStyle w:val="Default"/>
        <w:spacing w:after="240"/>
        <w:rPr>
          <w:rFonts w:asciiTheme="minorHAnsi" w:eastAsia="Calibri" w:hAnsiTheme="minorHAnsi" w:cstheme="minorBidi"/>
          <w:sz w:val="22"/>
          <w:szCs w:val="22"/>
        </w:rPr>
      </w:pPr>
      <w:r w:rsidRPr="41DD3F99">
        <w:rPr>
          <w:rFonts w:asciiTheme="minorHAnsi" w:eastAsia="Aptos" w:hAnsiTheme="minorHAnsi" w:cstheme="minorBidi"/>
          <w:color w:val="000000" w:themeColor="text1"/>
          <w:sz w:val="22"/>
          <w:szCs w:val="22"/>
        </w:rPr>
        <w:t xml:space="preserve">This report was developed in consultation with ETC Members but it should not be taken as members agreeing with every finding or recommendation. </w:t>
      </w:r>
      <w:r w:rsidR="00EB4232" w:rsidRPr="00EB4232">
        <w:rPr>
          <w:rFonts w:asciiTheme="minorHAnsi" w:eastAsia="Calibri" w:hAnsiTheme="minorHAnsi" w:cstheme="minorBidi"/>
          <w:sz w:val="22"/>
          <w:szCs w:val="22"/>
        </w:rPr>
        <w:t>The institutions with which ETC’s Commissioners are affiliated have not been asked to formally endorse this briefing</w:t>
      </w:r>
    </w:p>
    <w:p w14:paraId="68EC5A8F" w14:textId="68C0BF34" w:rsidR="47971B9A" w:rsidRDefault="006C7582" w:rsidP="22AB3A82">
      <w:pPr>
        <w:rPr>
          <w:b/>
          <w:bCs/>
        </w:rPr>
      </w:pPr>
      <w:r w:rsidRPr="22AB3A82">
        <w:rPr>
          <w:b/>
          <w:bCs/>
        </w:rPr>
        <w:t xml:space="preserve">Why have ETC Commissioners </w:t>
      </w:r>
      <w:r w:rsidR="00BD63D5" w:rsidRPr="22AB3A82">
        <w:rPr>
          <w:b/>
          <w:bCs/>
        </w:rPr>
        <w:t xml:space="preserve">not been asked to </w:t>
      </w:r>
      <w:r w:rsidRPr="22AB3A82">
        <w:rPr>
          <w:b/>
          <w:bCs/>
        </w:rPr>
        <w:t>endorse</w:t>
      </w:r>
      <w:r w:rsidR="60A4F2DD" w:rsidRPr="22AB3A82">
        <w:rPr>
          <w:b/>
          <w:bCs/>
        </w:rPr>
        <w:t xml:space="preserve"> </w:t>
      </w:r>
      <w:r w:rsidRPr="22AB3A82">
        <w:rPr>
          <w:b/>
          <w:bCs/>
        </w:rPr>
        <w:t>th</w:t>
      </w:r>
      <w:r w:rsidR="00BD63D5" w:rsidRPr="22AB3A82">
        <w:rPr>
          <w:b/>
          <w:bCs/>
        </w:rPr>
        <w:t>is</w:t>
      </w:r>
      <w:r w:rsidRPr="22AB3A82">
        <w:rPr>
          <w:b/>
          <w:bCs/>
        </w:rPr>
        <w:t xml:space="preserve"> </w:t>
      </w:r>
      <w:r w:rsidR="1102A4C7" w:rsidRPr="22AB3A82">
        <w:rPr>
          <w:b/>
          <w:bCs/>
        </w:rPr>
        <w:t>note</w:t>
      </w:r>
      <w:r w:rsidRPr="22AB3A82">
        <w:rPr>
          <w:b/>
          <w:bCs/>
        </w:rPr>
        <w:t xml:space="preserve">? </w:t>
      </w:r>
    </w:p>
    <w:p w14:paraId="620009D4" w14:textId="261DFD48" w:rsidR="7591601B" w:rsidRPr="00B81115" w:rsidRDefault="008B26D4" w:rsidP="47971B9A">
      <w:r w:rsidRPr="6114D9B5">
        <w:rPr>
          <w:b/>
          <w:bCs/>
          <w:color w:val="000000" w:themeColor="text1"/>
        </w:rPr>
        <w:t>Global trade in the energy transition: Principles for clean energy supply chains &amp; carbon pricing</w:t>
      </w:r>
      <w:r w:rsidRPr="6114D9B5">
        <w:rPr>
          <w:color w:val="000000" w:themeColor="text1"/>
        </w:rPr>
        <w:t> </w:t>
      </w:r>
      <w:r w:rsidR="000479ED" w:rsidRPr="6114D9B5">
        <w:rPr>
          <w:color w:val="000000" w:themeColor="text1"/>
        </w:rPr>
        <w:t xml:space="preserve">builds </w:t>
      </w:r>
      <w:r w:rsidR="000479ED">
        <w:t>on existing ETC analysis,</w:t>
      </w:r>
      <w:r w:rsidR="000479ED" w:rsidRPr="6114D9B5">
        <w:rPr>
          <w:i/>
          <w:iCs/>
        </w:rPr>
        <w:t xml:space="preserve"> </w:t>
      </w:r>
      <w:hyperlink r:id="rId14">
        <w:r w:rsidR="000479ED" w:rsidRPr="6114D9B5">
          <w:rPr>
            <w:rStyle w:val="Hyperlink"/>
            <w:i/>
            <w:iCs/>
          </w:rPr>
          <w:t>Better, Faster, Cleaner: Securing clean energy technology supply chains</w:t>
        </w:r>
      </w:hyperlink>
      <w:r w:rsidR="00A4091B">
        <w:t>.</w:t>
      </w:r>
      <w:r w:rsidR="000479ED" w:rsidRPr="6114D9B5">
        <w:rPr>
          <w:b/>
          <w:bCs/>
        </w:rPr>
        <w:t xml:space="preserve"> </w:t>
      </w:r>
      <w:r w:rsidR="000479ED">
        <w:t>The institutions with which ETC’s Commissioners are affiliated have not been asked to formally endorse this briefing.</w:t>
      </w:r>
      <w:r w:rsidR="007F57F8">
        <w:t xml:space="preserve"> </w:t>
      </w:r>
      <w:r w:rsidR="000479ED">
        <w:t>However, ETC members ha</w:t>
      </w:r>
      <w:r w:rsidR="7591601B">
        <w:t xml:space="preserve">ve </w:t>
      </w:r>
      <w:r w:rsidR="3A1AC869">
        <w:t>been consulted in the development of this work</w:t>
      </w:r>
      <w:r w:rsidR="007F57F8">
        <w:t xml:space="preserve">. </w:t>
      </w:r>
      <w:r w:rsidR="00A4091B">
        <w:t>This should not be taken as ETC members agreeing with every recommendation in the briefing.</w:t>
      </w:r>
      <w:r w:rsidR="007F57F8">
        <w:t xml:space="preserve">. </w:t>
      </w:r>
      <w:r w:rsidR="00A4091B">
        <w:t>This should not be taken as ETC members agreeing with every recommendation in the briefing.</w:t>
      </w:r>
    </w:p>
    <w:p w14:paraId="7C4642C4" w14:textId="35785211" w:rsidR="006C7582" w:rsidRPr="00F36FE2" w:rsidRDefault="006C7582" w:rsidP="3D7C892C">
      <w:r w:rsidRPr="3D7C892C">
        <w:rPr>
          <w:b/>
          <w:bCs/>
        </w:rPr>
        <w:t>Does the ETC speak to the challenges of both developed and developing countries?</w:t>
      </w:r>
      <w:r w:rsidRPr="3D7C892C">
        <w:t xml:space="preserve"> </w:t>
      </w:r>
    </w:p>
    <w:p w14:paraId="1B2EF48B" w14:textId="4C4ED8CC" w:rsidR="00E13093" w:rsidRDefault="00E13093" w:rsidP="00E13093">
      <w:r w:rsidRPr="00E13093">
        <w:t xml:space="preserve">ETC’s analysis is informed by collaborating with local partners – in Australia, Canada, China, Europe, India, Japan, India, Indonesia and the United States </w:t>
      </w:r>
      <w:r>
        <w:t>-</w:t>
      </w:r>
      <w:r w:rsidRPr="00E13093">
        <w:t xml:space="preserve"> who have deep country knowledge and play a key role in strengthening and stress-testing our global analyses in light of regional specificities.</w:t>
      </w:r>
      <w:r>
        <w:t xml:space="preserve"> We advocate that all developed economies should reach net-zero emissions by 2050, while developing countries should do so by 2060 at the latest, though some, particularly those with abundant renewable resources, may decarbonise earlier due to falling costs of clean technologies like solar PV and batteries.</w:t>
      </w:r>
    </w:p>
    <w:p w14:paraId="7F62F601" w14:textId="39C50350" w:rsidR="00E13093" w:rsidRDefault="00E13093" w:rsidP="00E13093">
      <w:r>
        <w:t>In this briefing, we emphasise that global climate and trade policies must be equitable as well as effective. We highlight, for example, that carbon border adjustment mechanisms (CBAMs)</w:t>
      </w:r>
      <w:r w:rsidR="00B37CE9">
        <w:t xml:space="preserve">, </w:t>
      </w:r>
      <w:r>
        <w:t>while sometimes criticised by emerging economies</w:t>
      </w:r>
      <w:r w:rsidR="00B37CE9">
        <w:t>,</w:t>
      </w:r>
      <w:r>
        <w:t xml:space="preserve"> are not inherently protectionist, but a necessary tool to enable ambitious climate action by developed countries without offshoring emissions. At the same time, we recognise the real challenges developing countries face in implementing domestic carbon pricing, due to limited administrative and data capacity. That’s why we propose allocating a portion of CBAM revenues to support climate finance flows and technical assistance to lower-income countries.</w:t>
      </w:r>
    </w:p>
    <w:p w14:paraId="5F83BB67" w14:textId="2EBD0A25" w:rsidR="00E13093" w:rsidRPr="00F36FE2" w:rsidRDefault="00E13093" w:rsidP="00E13093">
      <w:r>
        <w:t>We also stress that once a level playing field is established through international carbon pricing or CBAMs, developed countries should not use trade policy to prevent green industrial relocation to lower-cost regions. For example, green iron and sustainable aviation fuel may be most cost-effectively produced in countries like India or Brazil due to their natural advantages in renewable energy and bioresources. Blocking such relocation risks undermining global decarbonisation efforts and unjustly restricting the growth potential of developing economies.</w:t>
      </w:r>
    </w:p>
    <w:p w14:paraId="04361D02" w14:textId="04655BBE" w:rsidR="006C7582" w:rsidRPr="00F36FE2" w:rsidRDefault="006C7582" w:rsidP="015BA8FD">
      <w:pPr>
        <w:spacing w:line="257" w:lineRule="auto"/>
        <w:rPr>
          <w:u w:val="single"/>
        </w:rPr>
      </w:pPr>
      <w:r w:rsidRPr="23017FFD">
        <w:rPr>
          <w:b/>
          <w:bCs/>
          <w:u w:val="single"/>
        </w:rPr>
        <w:t xml:space="preserve">Section </w:t>
      </w:r>
      <w:r w:rsidR="006104E2" w:rsidRPr="23017FFD">
        <w:rPr>
          <w:b/>
          <w:bCs/>
          <w:u w:val="single"/>
        </w:rPr>
        <w:t>2</w:t>
      </w:r>
      <w:r w:rsidRPr="23017FFD">
        <w:rPr>
          <w:b/>
          <w:bCs/>
          <w:u w:val="single"/>
        </w:rPr>
        <w:t xml:space="preserve">: About the </w:t>
      </w:r>
      <w:r w:rsidR="23C3D6BB" w:rsidRPr="23017FFD">
        <w:rPr>
          <w:b/>
          <w:bCs/>
          <w:u w:val="single"/>
        </w:rPr>
        <w:t>Briefing Note</w:t>
      </w:r>
      <w:r w:rsidRPr="23017FFD">
        <w:rPr>
          <w:b/>
          <w:bCs/>
          <w:u w:val="single"/>
        </w:rPr>
        <w:t xml:space="preserve"> and </w:t>
      </w:r>
      <w:r w:rsidR="00B05073">
        <w:rPr>
          <w:b/>
          <w:bCs/>
          <w:u w:val="single"/>
        </w:rPr>
        <w:t>its Impac</w:t>
      </w:r>
      <w:r w:rsidRPr="23017FFD">
        <w:rPr>
          <w:b/>
          <w:bCs/>
          <w:u w:val="single"/>
        </w:rPr>
        <w:t>t</w:t>
      </w:r>
    </w:p>
    <w:p w14:paraId="628D8057" w14:textId="7CE8F9F3" w:rsidR="00F0730D" w:rsidRDefault="054B5A20" w:rsidP="1B158CB8">
      <w:r w:rsidRPr="1B158CB8">
        <w:rPr>
          <w:b/>
          <w:bCs/>
        </w:rPr>
        <w:t xml:space="preserve">Who </w:t>
      </w:r>
      <w:r w:rsidR="1CBD30CC" w:rsidRPr="1B158CB8">
        <w:rPr>
          <w:b/>
          <w:bCs/>
        </w:rPr>
        <w:t xml:space="preserve">is the </w:t>
      </w:r>
      <w:r w:rsidR="1DACE125" w:rsidRPr="1B158CB8">
        <w:rPr>
          <w:b/>
          <w:bCs/>
        </w:rPr>
        <w:t>paper</w:t>
      </w:r>
      <w:r w:rsidR="1CBD30CC" w:rsidRPr="1B158CB8">
        <w:rPr>
          <w:b/>
          <w:bCs/>
        </w:rPr>
        <w:t xml:space="preserve"> aimed at</w:t>
      </w:r>
      <w:r w:rsidRPr="1B158CB8">
        <w:rPr>
          <w:b/>
          <w:bCs/>
        </w:rPr>
        <w:t>? Who is your target audience?</w:t>
      </w:r>
      <w:r w:rsidRPr="1B158CB8">
        <w:t xml:space="preserve"> </w:t>
      </w:r>
    </w:p>
    <w:p w14:paraId="734603EE" w14:textId="41CFEDD2" w:rsidR="001472F4" w:rsidRPr="007F54C0" w:rsidRDefault="00412E7A" w:rsidP="23017FFD">
      <w:pPr>
        <w:rPr>
          <w:color w:val="000000" w:themeColor="text1"/>
        </w:rPr>
      </w:pPr>
      <w:r w:rsidRPr="27F9D7B7">
        <w:rPr>
          <w:color w:val="000000" w:themeColor="text1"/>
        </w:rPr>
        <w:t xml:space="preserve">This </w:t>
      </w:r>
      <w:r w:rsidR="5E0BD1B9" w:rsidRPr="27F9D7B7">
        <w:rPr>
          <w:color w:val="000000" w:themeColor="text1"/>
        </w:rPr>
        <w:t>briefing note</w:t>
      </w:r>
      <w:r w:rsidRPr="27F9D7B7">
        <w:rPr>
          <w:color w:val="000000" w:themeColor="text1"/>
        </w:rPr>
        <w:t xml:space="preserve"> is aimed at p</w:t>
      </w:r>
      <w:r w:rsidR="00567FD8" w:rsidRPr="27F9D7B7">
        <w:rPr>
          <w:color w:val="000000" w:themeColor="text1"/>
        </w:rPr>
        <w:t>olicymaker</w:t>
      </w:r>
      <w:r w:rsidR="000571C4" w:rsidRPr="27F9D7B7">
        <w:rPr>
          <w:color w:val="000000" w:themeColor="text1"/>
        </w:rPr>
        <w:t xml:space="preserve">s, economic/trade organisations (e.g., WTO, OECD, UNCTAD, UNIDO), and </w:t>
      </w:r>
      <w:r w:rsidR="007F54C0" w:rsidRPr="27F9D7B7">
        <w:rPr>
          <w:color w:val="000000" w:themeColor="text1"/>
        </w:rPr>
        <w:t>b</w:t>
      </w:r>
      <w:r w:rsidR="000571C4" w:rsidRPr="27F9D7B7">
        <w:rPr>
          <w:color w:val="000000" w:themeColor="text1"/>
        </w:rPr>
        <w:t>usiness/</w:t>
      </w:r>
      <w:r w:rsidR="007F54C0" w:rsidRPr="27F9D7B7">
        <w:rPr>
          <w:color w:val="000000" w:themeColor="text1"/>
        </w:rPr>
        <w:t>i</w:t>
      </w:r>
      <w:r w:rsidR="000571C4" w:rsidRPr="27F9D7B7">
        <w:rPr>
          <w:color w:val="000000" w:themeColor="text1"/>
        </w:rPr>
        <w:t xml:space="preserve">ndustry </w:t>
      </w:r>
      <w:r w:rsidR="007F54C0" w:rsidRPr="27F9D7B7">
        <w:rPr>
          <w:color w:val="000000" w:themeColor="text1"/>
        </w:rPr>
        <w:t>g</w:t>
      </w:r>
      <w:r w:rsidR="000571C4" w:rsidRPr="27F9D7B7">
        <w:rPr>
          <w:color w:val="000000" w:themeColor="text1"/>
        </w:rPr>
        <w:t>roups (e.g., International Chamber of Commerce, IMO, GMF)</w:t>
      </w:r>
      <w:r w:rsidR="03754DFF" w:rsidRPr="27F9D7B7">
        <w:rPr>
          <w:color w:val="000000" w:themeColor="text1"/>
        </w:rPr>
        <w:t xml:space="preserve"> </w:t>
      </w:r>
      <w:r w:rsidR="007F54C0" w:rsidRPr="27F9D7B7">
        <w:rPr>
          <w:color w:val="000000" w:themeColor="text1"/>
        </w:rPr>
        <w:t>that play a crucial role in international trade.</w:t>
      </w:r>
    </w:p>
    <w:p w14:paraId="450E238E" w14:textId="761A8AA6" w:rsidR="00814CFB" w:rsidRPr="001472F4" w:rsidRDefault="054B5A20" w:rsidP="1B158CB8">
      <w:r w:rsidRPr="1B158CB8">
        <w:rPr>
          <w:b/>
          <w:bCs/>
        </w:rPr>
        <w:t xml:space="preserve">How much of the </w:t>
      </w:r>
      <w:r w:rsidR="000B7F87" w:rsidRPr="1B158CB8">
        <w:rPr>
          <w:b/>
          <w:bCs/>
        </w:rPr>
        <w:t>paper</w:t>
      </w:r>
      <w:r w:rsidRPr="1B158CB8">
        <w:rPr>
          <w:b/>
          <w:bCs/>
        </w:rPr>
        <w:t xml:space="preserve"> is constituted of new analyses vs. integration of previous publications?</w:t>
      </w:r>
      <w:r w:rsidR="00DF05B8" w:rsidRPr="1B158CB8">
        <w:rPr>
          <w:b/>
          <w:bCs/>
        </w:rPr>
        <w:t xml:space="preserve"> </w:t>
      </w:r>
    </w:p>
    <w:p w14:paraId="72B3EDB2" w14:textId="2E11935E" w:rsidR="00814CFB" w:rsidRPr="00582B52" w:rsidRDefault="00AD0C90" w:rsidP="6354981F">
      <w:pPr>
        <w:rPr>
          <w:b/>
          <w:bCs/>
        </w:rPr>
      </w:pPr>
      <w:r w:rsidRPr="6114D9B5">
        <w:rPr>
          <w:color w:val="000000" w:themeColor="text1"/>
        </w:rPr>
        <w:t xml:space="preserve">The </w:t>
      </w:r>
      <w:r w:rsidR="007F57F8" w:rsidRPr="6114D9B5">
        <w:rPr>
          <w:color w:val="000000" w:themeColor="text1"/>
        </w:rPr>
        <w:t>briefing note</w:t>
      </w:r>
      <w:r w:rsidRPr="6114D9B5">
        <w:rPr>
          <w:color w:val="000000" w:themeColor="text1"/>
        </w:rPr>
        <w:t xml:space="preserve"> builds on existing ETC analyses</w:t>
      </w:r>
      <w:r w:rsidR="007F57F8" w:rsidRPr="6114D9B5">
        <w:rPr>
          <w:color w:val="000000" w:themeColor="text1"/>
        </w:rPr>
        <w:t>, in particular,</w:t>
      </w:r>
      <w:r w:rsidR="007F57F8" w:rsidRPr="6114D9B5">
        <w:rPr>
          <w:i/>
          <w:iCs/>
          <w:color w:val="000000" w:themeColor="text1"/>
        </w:rPr>
        <w:t xml:space="preserve"> </w:t>
      </w:r>
      <w:hyperlink r:id="rId15">
        <w:r w:rsidR="007F57F8" w:rsidRPr="6114D9B5">
          <w:rPr>
            <w:rStyle w:val="Hyperlink"/>
            <w:i/>
            <w:iCs/>
          </w:rPr>
          <w:t>Better, Faster, Cleaner: Securing clean energy technology supply chains</w:t>
        </w:r>
      </w:hyperlink>
      <w:r w:rsidRPr="6114D9B5">
        <w:rPr>
          <w:color w:val="FF0000"/>
        </w:rPr>
        <w:t xml:space="preserve"> </w:t>
      </w:r>
      <w:r w:rsidR="007F57F8" w:rsidRPr="6114D9B5">
        <w:rPr>
          <w:color w:val="000000" w:themeColor="text1"/>
        </w:rPr>
        <w:t xml:space="preserve">(2023), </w:t>
      </w:r>
      <w:r w:rsidR="0034380A">
        <w:t>and includes external analyses by organi</w:t>
      </w:r>
      <w:r w:rsidR="42750999">
        <w:t>s</w:t>
      </w:r>
      <w:r w:rsidR="0034380A">
        <w:t xml:space="preserve">ations such as the World Meteorological Organization (WMO), Intergovernmental Panel on Climate Change (IPCC), </w:t>
      </w:r>
      <w:proofErr w:type="spellStart"/>
      <w:r w:rsidR="0034380A">
        <w:t>BloombergNEF</w:t>
      </w:r>
      <w:proofErr w:type="spellEnd"/>
      <w:r w:rsidR="3A3ED237">
        <w:t xml:space="preserve"> (BNEF)</w:t>
      </w:r>
      <w:r w:rsidR="0034380A">
        <w:t>, International Energy Agency (IEA), World Trade Organization (WTO), Mission Possible Partnership (MPP), World Bank, and Ember. These sources provide international insights related to trade, finance, and industry.</w:t>
      </w:r>
    </w:p>
    <w:p w14:paraId="47BEF059" w14:textId="754AD741" w:rsidR="00814CFB" w:rsidRPr="00582B52" w:rsidRDefault="054B5A20" w:rsidP="1B158CB8">
      <w:pPr>
        <w:rPr>
          <w:b/>
          <w:bCs/>
        </w:rPr>
      </w:pPr>
      <w:r w:rsidRPr="6354981F">
        <w:rPr>
          <w:b/>
          <w:bCs/>
        </w:rPr>
        <w:t>Who has carried out the underlying analysis?</w:t>
      </w:r>
    </w:p>
    <w:p w14:paraId="5E8EEA9B" w14:textId="5128F321" w:rsidR="0095463F" w:rsidRPr="000A1A14" w:rsidRDefault="3A60D031" w:rsidP="23017FFD">
      <w:pPr>
        <w:rPr>
          <w:color w:val="000000" w:themeColor="text1"/>
        </w:rPr>
      </w:pPr>
      <w:r w:rsidRPr="6114D9B5">
        <w:rPr>
          <w:color w:val="000000" w:themeColor="text1"/>
        </w:rPr>
        <w:t xml:space="preserve">The ETC secretariat, provided by </w:t>
      </w:r>
      <w:r w:rsidR="00E05BD3" w:rsidRPr="6114D9B5">
        <w:rPr>
          <w:color w:val="000000" w:themeColor="text1"/>
        </w:rPr>
        <w:t>Systemiq conducted the underlying analysis</w:t>
      </w:r>
      <w:r w:rsidRPr="6114D9B5">
        <w:rPr>
          <w:color w:val="000000" w:themeColor="text1"/>
        </w:rPr>
        <w:t xml:space="preserve">. </w:t>
      </w:r>
      <w:r w:rsidR="000A1A14" w:rsidRPr="6114D9B5">
        <w:rPr>
          <w:color w:val="000000" w:themeColor="text1"/>
        </w:rPr>
        <w:t>This briefing was developed</w:t>
      </w:r>
      <w:r w:rsidR="00717516" w:rsidRPr="6114D9B5">
        <w:rPr>
          <w:color w:val="000000" w:themeColor="text1"/>
        </w:rPr>
        <w:t xml:space="preserve"> in consultation with ETC members, member experts and the ETC’s broader network of external experts.</w:t>
      </w:r>
    </w:p>
    <w:p w14:paraId="3A52676E" w14:textId="238BA44B" w:rsidR="0692FDCC" w:rsidRDefault="395A977E" w:rsidP="23017FFD">
      <w:pPr>
        <w:rPr>
          <w:rFonts w:ascii="Calibri" w:eastAsia="Calibri" w:hAnsi="Calibri" w:cs="Calibri"/>
          <w:b/>
          <w:bCs/>
        </w:rPr>
      </w:pPr>
      <w:r w:rsidRPr="75242C34">
        <w:rPr>
          <w:rFonts w:ascii="Calibri" w:eastAsia="Calibri" w:hAnsi="Calibri" w:cs="Calibri"/>
          <w:b/>
          <w:bCs/>
        </w:rPr>
        <w:t>Why is China dominant in clean technology manufacturing?</w:t>
      </w:r>
    </w:p>
    <w:p w14:paraId="3DDA54FA" w14:textId="7ADB9661" w:rsidR="00780205" w:rsidRDefault="00780205" w:rsidP="59CDA99E">
      <w:pPr>
        <w:rPr>
          <w:rFonts w:ascii="Calibri" w:eastAsia="Calibri" w:hAnsi="Calibri" w:cs="Calibri"/>
        </w:rPr>
      </w:pPr>
      <w:r w:rsidRPr="59CDA99E">
        <w:rPr>
          <w:rFonts w:ascii="Calibri" w:eastAsia="Calibri" w:hAnsi="Calibri" w:cs="Calibri"/>
        </w:rPr>
        <w:t>China has established itself as a leader in clean technology through significant investments in research and development, leading to technological advancements and economies of scale</w:t>
      </w:r>
      <w:r w:rsidR="0034380A" w:rsidRPr="59CDA99E">
        <w:rPr>
          <w:rFonts w:ascii="Calibri" w:eastAsia="Calibri" w:hAnsi="Calibri" w:cs="Calibri"/>
        </w:rPr>
        <w:t>, and resulting cost reductions</w:t>
      </w:r>
      <w:r w:rsidRPr="59CDA99E">
        <w:rPr>
          <w:rFonts w:ascii="Calibri" w:eastAsia="Calibri" w:hAnsi="Calibri" w:cs="Calibri"/>
        </w:rPr>
        <w:t>.</w:t>
      </w:r>
    </w:p>
    <w:p w14:paraId="5DE8C9A8" w14:textId="465A3A96" w:rsidR="00780205" w:rsidRPr="00780205" w:rsidRDefault="00780205" w:rsidP="009569D0">
      <w:pPr>
        <w:pStyle w:val="ListParagraph"/>
        <w:numPr>
          <w:ilvl w:val="0"/>
          <w:numId w:val="3"/>
        </w:numPr>
        <w:rPr>
          <w:rFonts w:ascii="Calibri" w:eastAsia="Calibri" w:hAnsi="Calibri" w:cs="Calibri"/>
        </w:rPr>
      </w:pPr>
      <w:r w:rsidRPr="00780205">
        <w:rPr>
          <w:rFonts w:ascii="Calibri" w:eastAsia="Calibri" w:hAnsi="Calibri" w:cs="Calibri"/>
          <w:b/>
          <w:bCs/>
        </w:rPr>
        <w:t xml:space="preserve">Strategic, Coordinated Vision: </w:t>
      </w:r>
      <w:r w:rsidRPr="00780205">
        <w:rPr>
          <w:rFonts w:ascii="Calibri" w:eastAsia="Calibri" w:hAnsi="Calibri" w:cs="Calibri"/>
        </w:rPr>
        <w:t xml:space="preserve">China's Five-Year Plans have set clear targets for the development and deployment of clean technologies, ensuring long-term policy consistency. </w:t>
      </w:r>
    </w:p>
    <w:p w14:paraId="2C69378C" w14:textId="14148B61" w:rsidR="00780205" w:rsidRPr="00780205" w:rsidRDefault="00780205" w:rsidP="009569D0">
      <w:pPr>
        <w:pStyle w:val="ListParagraph"/>
        <w:numPr>
          <w:ilvl w:val="0"/>
          <w:numId w:val="3"/>
        </w:numPr>
        <w:rPr>
          <w:rFonts w:ascii="Calibri" w:eastAsia="Calibri" w:hAnsi="Calibri" w:cs="Calibri"/>
          <w:b/>
          <w:bCs/>
        </w:rPr>
      </w:pPr>
      <w:r w:rsidRPr="00780205">
        <w:rPr>
          <w:rFonts w:ascii="Calibri" w:eastAsia="Calibri" w:hAnsi="Calibri" w:cs="Calibri"/>
          <w:b/>
          <w:bCs/>
        </w:rPr>
        <w:t xml:space="preserve">Guaranteed Demand: </w:t>
      </w:r>
      <w:r w:rsidRPr="00780205">
        <w:rPr>
          <w:rFonts w:ascii="Calibri" w:eastAsia="Calibri" w:hAnsi="Calibri" w:cs="Calibri"/>
        </w:rPr>
        <w:t>Deployment targets create predictable local demand, providing a reliable market for new technologies. For example, the government set a national target of 110 GW of installed solar capacity in the 13th Five-Year Plan, guaranteeing significant volumes of demand for manufacturers.</w:t>
      </w:r>
    </w:p>
    <w:p w14:paraId="0E8BB573" w14:textId="5CC2786D" w:rsidR="00780205" w:rsidRPr="00780205" w:rsidRDefault="00780205" w:rsidP="009569D0">
      <w:pPr>
        <w:pStyle w:val="ListParagraph"/>
        <w:numPr>
          <w:ilvl w:val="0"/>
          <w:numId w:val="3"/>
        </w:numPr>
        <w:rPr>
          <w:rFonts w:ascii="Calibri" w:eastAsia="Calibri" w:hAnsi="Calibri" w:cs="Calibri"/>
          <w:b/>
          <w:bCs/>
        </w:rPr>
      </w:pPr>
      <w:r w:rsidRPr="00780205">
        <w:rPr>
          <w:rFonts w:ascii="Calibri" w:eastAsia="Calibri" w:hAnsi="Calibri" w:cs="Calibri"/>
          <w:b/>
          <w:bCs/>
        </w:rPr>
        <w:t xml:space="preserve">Cheap Funding: </w:t>
      </w:r>
      <w:r w:rsidRPr="00780205">
        <w:rPr>
          <w:rFonts w:ascii="Calibri" w:eastAsia="Calibri" w:hAnsi="Calibri" w:cs="Calibri"/>
        </w:rPr>
        <w:t>Guaranteed demand reduces investment risk, which in turn lowers the cost of capital for clean technology projects. This predictability, combined with China's high domestic savings rate and government provision of concessionary loans, enables access to low-cost financing.</w:t>
      </w:r>
    </w:p>
    <w:p w14:paraId="00021377" w14:textId="34DE303C" w:rsidR="00780205" w:rsidRPr="00780205" w:rsidRDefault="00780205" w:rsidP="009569D0">
      <w:pPr>
        <w:pStyle w:val="ListParagraph"/>
        <w:numPr>
          <w:ilvl w:val="0"/>
          <w:numId w:val="3"/>
        </w:numPr>
        <w:rPr>
          <w:rFonts w:ascii="Calibri" w:eastAsia="Calibri" w:hAnsi="Calibri" w:cs="Calibri"/>
          <w:b/>
          <w:bCs/>
        </w:rPr>
      </w:pPr>
      <w:r w:rsidRPr="00780205">
        <w:rPr>
          <w:rFonts w:ascii="Calibri" w:eastAsia="Calibri" w:hAnsi="Calibri" w:cs="Calibri"/>
          <w:b/>
          <w:bCs/>
        </w:rPr>
        <w:t xml:space="preserve">Government Support: </w:t>
      </w:r>
      <w:r w:rsidRPr="00780205">
        <w:rPr>
          <w:rFonts w:ascii="Calibri" w:eastAsia="Calibri" w:hAnsi="Calibri" w:cs="Calibri"/>
        </w:rPr>
        <w:t>National and local subsidies, R&amp;D funding, supportive policies, and investments in infrastructure have been instrumental in scaling China's clean technology industries</w:t>
      </w:r>
      <w:r w:rsidR="00AC51B1">
        <w:rPr>
          <w:rFonts w:ascii="Calibri" w:eastAsia="Calibri" w:hAnsi="Calibri" w:cs="Calibri"/>
        </w:rPr>
        <w:t xml:space="preserve">.  </w:t>
      </w:r>
      <w:r w:rsidR="00AC7784">
        <w:rPr>
          <w:rFonts w:ascii="Calibri" w:eastAsia="Calibri" w:hAnsi="Calibri" w:cs="Calibri"/>
        </w:rPr>
        <w:t>I</w:t>
      </w:r>
      <w:r w:rsidR="00AC7784" w:rsidRPr="00AC7784">
        <w:rPr>
          <w:rFonts w:ascii="Calibri" w:eastAsia="Calibri" w:hAnsi="Calibri" w:cs="Calibri"/>
        </w:rPr>
        <w:t>t is important to note that similar strategies have been employed by other countries as well, such as Germany’s support for solar PV production in the 2000s.</w:t>
      </w:r>
    </w:p>
    <w:p w14:paraId="191CC955" w14:textId="5304B4D6" w:rsidR="00EE1CC3" w:rsidRPr="00780205" w:rsidRDefault="00780205" w:rsidP="009569D0">
      <w:pPr>
        <w:pStyle w:val="ListParagraph"/>
        <w:numPr>
          <w:ilvl w:val="0"/>
          <w:numId w:val="3"/>
        </w:numPr>
        <w:rPr>
          <w:rFonts w:ascii="Calibri" w:eastAsia="Calibri" w:hAnsi="Calibri" w:cs="Calibri"/>
          <w:b/>
          <w:bCs/>
        </w:rPr>
      </w:pPr>
      <w:r w:rsidRPr="00780205">
        <w:rPr>
          <w:rFonts w:ascii="Calibri" w:eastAsia="Calibri" w:hAnsi="Calibri" w:cs="Calibri"/>
          <w:b/>
          <w:bCs/>
        </w:rPr>
        <w:t xml:space="preserve">Entrepreneurial Environment: </w:t>
      </w:r>
      <w:r w:rsidRPr="00780205">
        <w:rPr>
          <w:rFonts w:ascii="Calibri" w:eastAsia="Calibri" w:hAnsi="Calibri" w:cs="Calibri"/>
        </w:rPr>
        <w:t>A strong science and research base, widespread technical skills, and a dynamic entrepreneurial ecosystem have helped China establish technological leadership in cutting-edge clean technologies while becoming the world's lowest-cost producer.</w:t>
      </w:r>
    </w:p>
    <w:p w14:paraId="4932E69E" w14:textId="5AEF4164" w:rsidR="0692FDCC" w:rsidRDefault="395A977E" w:rsidP="23017FFD">
      <w:pPr>
        <w:rPr>
          <w:rFonts w:ascii="Calibri" w:eastAsia="Calibri" w:hAnsi="Calibri" w:cs="Calibri"/>
          <w:b/>
          <w:bCs/>
        </w:rPr>
      </w:pPr>
      <w:r w:rsidRPr="23017FFD">
        <w:rPr>
          <w:rFonts w:ascii="Calibri" w:eastAsia="Calibri" w:hAnsi="Calibri" w:cs="Calibri"/>
          <w:b/>
          <w:bCs/>
        </w:rPr>
        <w:t>How should countries think about “security” in clean tech trade?</w:t>
      </w:r>
    </w:p>
    <w:p w14:paraId="6F7C2E9D" w14:textId="3BFFD3DB" w:rsidR="007723DA" w:rsidRDefault="007723DA" w:rsidP="007723DA">
      <w:r w:rsidRPr="007723DA">
        <w:t>There are two key aspects of security in clean tech:</w:t>
      </w:r>
    </w:p>
    <w:p w14:paraId="756C4F35" w14:textId="77777777" w:rsidR="007723DA" w:rsidRDefault="007723DA" w:rsidP="007723DA">
      <w:pPr>
        <w:pStyle w:val="ListParagraph"/>
        <w:numPr>
          <w:ilvl w:val="0"/>
          <w:numId w:val="4"/>
        </w:numPr>
      </w:pPr>
      <w:r w:rsidRPr="007723DA">
        <w:rPr>
          <w:b/>
        </w:rPr>
        <w:t>Energy Security:</w:t>
      </w:r>
      <w:r w:rsidRPr="007723DA">
        <w:t xml:space="preserve"> The risks associated with importing clean technology are smaller than those from fossil fuel dependency. Solar panels and wind turbines continue to provide energy even if supplies are cut, whereas fossil fuel disruptions lead to immediate shortages.</w:t>
      </w:r>
    </w:p>
    <w:p w14:paraId="1234EEDE" w14:textId="77777777" w:rsidR="00531CAA" w:rsidRDefault="007723DA" w:rsidP="00531CAA">
      <w:pPr>
        <w:pStyle w:val="ListParagraph"/>
        <w:numPr>
          <w:ilvl w:val="0"/>
          <w:numId w:val="4"/>
        </w:numPr>
      </w:pPr>
      <w:r w:rsidRPr="007723DA">
        <w:rPr>
          <w:b/>
        </w:rPr>
        <w:t>National Security:</w:t>
      </w:r>
      <w:r w:rsidRPr="007723DA">
        <w:t xml:space="preserve"> Trade dependencies could cause supply issues for products with military uses and make remote software control vulnerable to cyberattacks. </w:t>
      </w:r>
      <w:r w:rsidR="00531CAA">
        <w:t xml:space="preserve">However, in general, the clean technologies driving the energy transition are not entirely militarily relevant; and in relation to remote software control risks it is important to recognise that different </w:t>
      </w:r>
      <w:r w:rsidR="00531CAA" w:rsidRPr="002908B9">
        <w:t>technologies fall along a spectrum of risk:</w:t>
      </w:r>
      <w:r w:rsidR="00531CAA">
        <w:t xml:space="preserve"> </w:t>
      </w:r>
    </w:p>
    <w:p w14:paraId="13BC7625" w14:textId="77777777" w:rsidR="00531CAA" w:rsidRDefault="00531CAA" w:rsidP="00531CAA">
      <w:pPr>
        <w:pStyle w:val="ListParagraph"/>
        <w:numPr>
          <w:ilvl w:val="0"/>
          <w:numId w:val="10"/>
        </w:numPr>
        <w:ind w:left="1080"/>
      </w:pPr>
      <w:r>
        <w:t xml:space="preserve">At the highest risk, are technologies like grid control software, which are central to nationally important infrastructure, involve real-time data flows, and could be vulnerable to cyber threats or external manipulation. </w:t>
      </w:r>
    </w:p>
    <w:p w14:paraId="66939D4D" w14:textId="77777777" w:rsidR="00531CAA" w:rsidRDefault="00531CAA" w:rsidP="00531CAA">
      <w:pPr>
        <w:pStyle w:val="ListParagraph"/>
        <w:numPr>
          <w:ilvl w:val="0"/>
          <w:numId w:val="10"/>
        </w:numPr>
        <w:ind w:left="1080"/>
      </w:pPr>
      <w:r>
        <w:t xml:space="preserve">At the low-end of the risk spectrum are battery cells and packs, electrolysers, and solar PV modules, all of which present minimal security concerns, as they are primarily hardware-based with no significant data or control vulnerabilities. </w:t>
      </w:r>
    </w:p>
    <w:p w14:paraId="0B9A6477" w14:textId="1E99E095" w:rsidR="007723DA" w:rsidRDefault="007723DA" w:rsidP="00531CAA">
      <w:pPr>
        <w:ind w:left="720"/>
      </w:pPr>
      <w:r w:rsidRPr="007723DA">
        <w:t xml:space="preserve">Each technology requires case-by-case risk assessment, with potential government mitigation measures like those imposed by </w:t>
      </w:r>
      <w:r w:rsidR="00531CAA">
        <w:t xml:space="preserve">Committee on Foreign Investment in the United States (CFIUS) </w:t>
      </w:r>
      <w:r w:rsidRPr="007723DA">
        <w:t>on Chinese battery companies.</w:t>
      </w:r>
    </w:p>
    <w:p w14:paraId="341943B3" w14:textId="5DC6A65D" w:rsidR="001520B0" w:rsidRPr="001520B0" w:rsidRDefault="001520B0" w:rsidP="27F9D7B7">
      <w:r>
        <w:t xml:space="preserve">The ETC also points to </w:t>
      </w:r>
      <w:r w:rsidRPr="00E55360">
        <w:t xml:space="preserve">another aspect of “security” </w:t>
      </w:r>
      <w:r>
        <w:t>that can be considered</w:t>
      </w:r>
      <w:r w:rsidRPr="00E55360">
        <w:t>:</w:t>
      </w:r>
    </w:p>
    <w:p w14:paraId="266652F4" w14:textId="1856A9CA" w:rsidR="00EE036C" w:rsidRPr="001520B0" w:rsidRDefault="007723DA" w:rsidP="001520B0">
      <w:pPr>
        <w:pStyle w:val="ListParagraph"/>
        <w:numPr>
          <w:ilvl w:val="0"/>
          <w:numId w:val="13"/>
        </w:numPr>
        <w:rPr>
          <w:b/>
          <w:bCs/>
        </w:rPr>
      </w:pPr>
      <w:r w:rsidRPr="001520B0">
        <w:rPr>
          <w:b/>
          <w:bCs/>
        </w:rPr>
        <w:t>Economic Development Objectives</w:t>
      </w:r>
      <w:r w:rsidR="3FE48F27" w:rsidRPr="001520B0">
        <w:rPr>
          <w:b/>
          <w:bCs/>
        </w:rPr>
        <w:t xml:space="preserve"> (also known as economic security)</w:t>
      </w:r>
      <w:r w:rsidRPr="001520B0">
        <w:rPr>
          <w:b/>
          <w:bCs/>
        </w:rPr>
        <w:t>:</w:t>
      </w:r>
      <w:r>
        <w:t xml:space="preserve"> </w:t>
      </w:r>
      <w:r w:rsidR="1DF0BAE7">
        <w:t>T</w:t>
      </w:r>
      <w:r>
        <w:t xml:space="preserve">his involves creating jobs and value in technologies crucial to future growth. </w:t>
      </w:r>
      <w:r w:rsidR="00531CAA">
        <w:t>The feasibility and benefits of such development vary significantly by specific technology. For example, solar panels are highly standardised and mass-produced, making it difficult to create a domestic supply chain without high subsidies or accepting higher prices. On the other hand, electric vehicles (EVs) require significant design customization and have substantial local employment opportunities, making them more suitable for domestic supply chain development.</w:t>
      </w:r>
    </w:p>
    <w:p w14:paraId="40A463D0" w14:textId="5F715D79" w:rsidR="0692FDCC" w:rsidRDefault="395A977E" w:rsidP="009A5F01">
      <w:pPr>
        <w:tabs>
          <w:tab w:val="left" w:pos="7870"/>
        </w:tabs>
        <w:rPr>
          <w:b/>
          <w:bCs/>
        </w:rPr>
      </w:pPr>
      <w:r w:rsidRPr="114E298B">
        <w:rPr>
          <w:b/>
          <w:bCs/>
        </w:rPr>
        <w:t>What is a Carbon Border Adjustment Mechanism (CBAM) and how does it work</w:t>
      </w:r>
      <w:r w:rsidR="6F0D2AD5" w:rsidRPr="114E298B">
        <w:rPr>
          <w:b/>
          <w:bCs/>
        </w:rPr>
        <w:t>?</w:t>
      </w:r>
    </w:p>
    <w:p w14:paraId="63B0CEB1" w14:textId="20F7B49A" w:rsidR="009A5F01" w:rsidRPr="00C06ABF" w:rsidRDefault="00C06ABF" w:rsidP="009A5F01">
      <w:pPr>
        <w:tabs>
          <w:tab w:val="left" w:pos="7870"/>
        </w:tabs>
      </w:pPr>
      <w:r w:rsidRPr="00C06ABF">
        <w:t xml:space="preserve">A Carbon Border Adjustment Mechanism (CBAM) is a policy tool designed to address the issue of carbon leakage and ensure a level playing field for industries subject to carbon pricing. It works by imposing a carbon price on imports equivalent to the carbon price faced by domestic producers. This mechanism aims to prevent </w:t>
      </w:r>
      <w:r>
        <w:t>“carbon leakage” which occurs when industries relocate to</w:t>
      </w:r>
      <w:r w:rsidRPr="00C06ABF">
        <w:t xml:space="preserve"> countries with lower or no carbon pricing, thereby undermining the efforts of countries trying to decarboni</w:t>
      </w:r>
      <w:r>
        <w:t>s</w:t>
      </w:r>
      <w:r w:rsidRPr="00C06ABF">
        <w:t>e their own industries</w:t>
      </w:r>
      <w:r>
        <w:t>.</w:t>
      </w:r>
    </w:p>
    <w:p w14:paraId="511F81D7" w14:textId="0306A75C" w:rsidR="0692FDCC" w:rsidRDefault="395A977E" w:rsidP="23017FFD">
      <w:pPr>
        <w:rPr>
          <w:b/>
          <w:bCs/>
        </w:rPr>
      </w:pPr>
      <w:r w:rsidRPr="23017FFD">
        <w:rPr>
          <w:b/>
          <w:bCs/>
        </w:rPr>
        <w:t>How is the EU implementing its CBAM, and what are its limitations?</w:t>
      </w:r>
    </w:p>
    <w:p w14:paraId="2DB52549" w14:textId="2A1C2CB2" w:rsidR="00AE5AFF" w:rsidRPr="00AE5AFF" w:rsidRDefault="00AE5AFF" w:rsidP="00AE5AFF">
      <w:r>
        <w:t xml:space="preserve">The European Union (EU) has implemented a CBAM as part of its broader Fit for 55 climate package. The EU CBAM targets emissions-intensive and trade-exposed sectors such as iron and steel, cement, </w:t>
      </w:r>
      <w:r w:rsidR="01F449F1">
        <w:t>aluminium</w:t>
      </w:r>
      <w:r>
        <w:t>, fertili</w:t>
      </w:r>
      <w:r w:rsidR="11005DB4">
        <w:t>s</w:t>
      </w:r>
      <w:r>
        <w:t>ers, hydrogen, and electricity. The mechanism is being rolled out in two phases:</w:t>
      </w:r>
    </w:p>
    <w:p w14:paraId="34B370B1" w14:textId="4B2F05CC" w:rsidR="00AE5AFF" w:rsidRPr="00AE5AFF" w:rsidRDefault="00AE5AFF" w:rsidP="009569D0">
      <w:pPr>
        <w:pStyle w:val="ListParagraph"/>
        <w:numPr>
          <w:ilvl w:val="0"/>
          <w:numId w:val="5"/>
        </w:numPr>
      </w:pPr>
      <w:r w:rsidRPr="00AE5AFF">
        <w:t>Transition Phase (until December 2025): This phase focuses on reporting embedded emissions, allowing businesses and regulators time to build capacity and develop systems for emissions data collection and verification, without financial obligations.</w:t>
      </w:r>
    </w:p>
    <w:p w14:paraId="38224A0F" w14:textId="15508ED7" w:rsidR="00AE5AFF" w:rsidRPr="00AE5AFF" w:rsidRDefault="00AE5AFF" w:rsidP="009569D0">
      <w:pPr>
        <w:pStyle w:val="ListParagraph"/>
        <w:numPr>
          <w:ilvl w:val="0"/>
          <w:numId w:val="5"/>
        </w:numPr>
      </w:pPr>
      <w:r>
        <w:t xml:space="preserve">Full Implementation Phase (beginning January 2026): Importers must buy CBAM certificates to cover the carbon price differential between their country of origin and the EU. Free </w:t>
      </w:r>
      <w:r w:rsidR="79604209">
        <w:t>Emission Trading Scheme (</w:t>
      </w:r>
      <w:r>
        <w:t>ETS</w:t>
      </w:r>
      <w:r w:rsidR="0CF1D1E9">
        <w:t>)</w:t>
      </w:r>
      <w:r>
        <w:t xml:space="preserve"> allowances will be gradually phased down, starting small to avoid market disruption but completely gone by 2034.</w:t>
      </w:r>
    </w:p>
    <w:p w14:paraId="5FE4106B" w14:textId="6AE3801F" w:rsidR="00AE5AFF" w:rsidRPr="00177B25" w:rsidRDefault="00AE5AFF" w:rsidP="23017FFD">
      <w:r w:rsidRPr="00AE5AFF">
        <w:t>The EU CBAM aims to ensure that domestic production and imports to the EU face the same carbon price, thereby preserving a level competitive playing field 5. It also seeks to create an incentive for other countries to introduce carbon prices for internationally traded energy-intensive sectors.</w:t>
      </w:r>
    </w:p>
    <w:p w14:paraId="2A0CAA4E" w14:textId="05D0713B" w:rsidR="00B05073" w:rsidRPr="00B05073" w:rsidRDefault="00B05073" w:rsidP="00286E8C">
      <w:pPr>
        <w:rPr>
          <w:rFonts w:ascii="Calibri" w:eastAsia="Calibri" w:hAnsi="Calibri" w:cs="Calibri"/>
          <w:b/>
          <w:bCs/>
          <w:u w:val="single"/>
        </w:rPr>
      </w:pPr>
      <w:r w:rsidRPr="00B05073">
        <w:rPr>
          <w:rFonts w:ascii="Calibri" w:eastAsia="Calibri" w:hAnsi="Calibri" w:cs="Calibri"/>
          <w:b/>
          <w:bCs/>
          <w:u w:val="single"/>
        </w:rPr>
        <w:t>Section 3: Geopolitics and Current Context</w:t>
      </w:r>
    </w:p>
    <w:p w14:paraId="2BC071DC" w14:textId="79F43E73" w:rsidR="00286E8C" w:rsidRDefault="00286E8C" w:rsidP="00286E8C">
      <w:pPr>
        <w:rPr>
          <w:rFonts w:ascii="Calibri" w:eastAsia="Calibri" w:hAnsi="Calibri" w:cs="Calibri"/>
          <w:b/>
          <w:bCs/>
        </w:rPr>
      </w:pPr>
      <w:r w:rsidRPr="23017FFD">
        <w:rPr>
          <w:rFonts w:ascii="Calibri" w:eastAsia="Calibri" w:hAnsi="Calibri" w:cs="Calibri"/>
          <w:b/>
          <w:bCs/>
        </w:rPr>
        <w:t>What does the briefing note suggest about using tariffs and subsidies responsibly?</w:t>
      </w:r>
    </w:p>
    <w:p w14:paraId="2AF522C3" w14:textId="77777777" w:rsidR="00166429" w:rsidRPr="00166429" w:rsidRDefault="00166429" w:rsidP="00166429">
      <w:pPr>
        <w:rPr>
          <w:rFonts w:ascii="Calibri" w:eastAsia="Calibri" w:hAnsi="Calibri" w:cs="Calibri"/>
        </w:rPr>
      </w:pPr>
      <w:r w:rsidRPr="00166429">
        <w:rPr>
          <w:rFonts w:ascii="Calibri" w:eastAsia="Calibri" w:hAnsi="Calibri" w:cs="Calibri"/>
        </w:rPr>
        <w:t>Many countries are currently using a combination of tariffs (e.g., on imported EVs, or solar panels) and subsidies (e.g., tax breaks, government-backed loans, direct subsidies) to incentivise the development of low-carbon manufacturing and industry.</w:t>
      </w:r>
    </w:p>
    <w:p w14:paraId="1943565A" w14:textId="77777777" w:rsidR="00166429" w:rsidRPr="00166429" w:rsidRDefault="00166429" w:rsidP="00166429">
      <w:pPr>
        <w:rPr>
          <w:rFonts w:ascii="Calibri" w:eastAsia="Calibri" w:hAnsi="Calibri" w:cs="Calibri"/>
        </w:rPr>
      </w:pPr>
      <w:r w:rsidRPr="00166429">
        <w:rPr>
          <w:rFonts w:ascii="Calibri" w:eastAsia="Calibri" w:hAnsi="Calibri" w:cs="Calibri"/>
        </w:rPr>
        <w:t xml:space="preserve">Both can play a role but should be deployed in ways that neither permanently and significantly increase the cost of clean technologies nor exclude the beneficial stimulus of international competition. This implies a preference for: </w:t>
      </w:r>
    </w:p>
    <w:p w14:paraId="1F446B0D" w14:textId="77777777" w:rsidR="00166429" w:rsidRDefault="00166429" w:rsidP="009569D0">
      <w:pPr>
        <w:pStyle w:val="ListParagraph"/>
        <w:numPr>
          <w:ilvl w:val="0"/>
          <w:numId w:val="6"/>
        </w:numPr>
        <w:rPr>
          <w:rFonts w:ascii="Calibri" w:eastAsia="Calibri" w:hAnsi="Calibri" w:cs="Calibri"/>
        </w:rPr>
      </w:pPr>
      <w:r w:rsidRPr="00A036EA">
        <w:rPr>
          <w:rFonts w:ascii="Calibri" w:eastAsia="Calibri" w:hAnsi="Calibri" w:cs="Calibri"/>
          <w:b/>
          <w:bCs/>
        </w:rPr>
        <w:t>Time-bound subsidies, not permanent tariffs:</w:t>
      </w:r>
      <w:r w:rsidRPr="00166429">
        <w:rPr>
          <w:rFonts w:ascii="Calibri" w:eastAsia="Calibri" w:hAnsi="Calibri" w:cs="Calibri"/>
        </w:rPr>
        <w:t xml:space="preserve"> Targeted, time-limited subsidies can support the growth of domestic industries without creating long-term inefficiencies. By contrast permanently protecting structurally higher-cost industries risks making clean technologies more expensive and less competitive, ultimately slowing their adoption. Governments should focus on policies that provide short-term support while ensuring industries become cost-competitive over time.</w:t>
      </w:r>
    </w:p>
    <w:p w14:paraId="10DC1414" w14:textId="38FBFF26" w:rsidR="00166429" w:rsidRPr="00166429" w:rsidRDefault="00166429" w:rsidP="009569D0">
      <w:pPr>
        <w:pStyle w:val="ListParagraph"/>
        <w:numPr>
          <w:ilvl w:val="0"/>
          <w:numId w:val="6"/>
        </w:numPr>
        <w:rPr>
          <w:rFonts w:ascii="Calibri" w:eastAsia="Calibri" w:hAnsi="Calibri" w:cs="Calibri"/>
        </w:rPr>
      </w:pPr>
      <w:r w:rsidRPr="00A036EA">
        <w:rPr>
          <w:rFonts w:ascii="Calibri" w:eastAsia="Calibri" w:hAnsi="Calibri" w:cs="Calibri"/>
          <w:b/>
          <w:bCs/>
        </w:rPr>
        <w:t>WTO Compliance:</w:t>
      </w:r>
      <w:r>
        <w:rPr>
          <w:rFonts w:ascii="Calibri" w:eastAsia="Calibri" w:hAnsi="Calibri" w:cs="Calibri"/>
        </w:rPr>
        <w:t xml:space="preserve"> </w:t>
      </w:r>
      <w:r w:rsidRPr="00166429">
        <w:rPr>
          <w:rFonts w:ascii="Calibri" w:eastAsia="Calibri" w:hAnsi="Calibri" w:cs="Calibri"/>
        </w:rPr>
        <w:t xml:space="preserve">Where tariffs are considered, they should be based on a clear, objective assessment of the scale of existing subsidies in other countries, in line with WTO rules.  By aligning tariff policies with international trade norms, countries can foster domestic manufacturing while maintaining a fair and open global market for clean technologies. </w:t>
      </w:r>
    </w:p>
    <w:p w14:paraId="33956C20" w14:textId="46863DF6" w:rsidR="0044554C" w:rsidRDefault="00166429" w:rsidP="00166429">
      <w:pPr>
        <w:rPr>
          <w:rFonts w:ascii="Calibri" w:eastAsia="Calibri" w:hAnsi="Calibri" w:cs="Calibri"/>
        </w:rPr>
      </w:pPr>
      <w:r w:rsidRPr="00166429">
        <w:rPr>
          <w:rFonts w:ascii="Calibri" w:eastAsia="Calibri" w:hAnsi="Calibri" w:cs="Calibri"/>
        </w:rPr>
        <w:t>While recent subsidy programs have prompted renewed debate over market distortion and free trade, it is important to recogni</w:t>
      </w:r>
      <w:r w:rsidR="00531CAA">
        <w:rPr>
          <w:rFonts w:ascii="Calibri" w:eastAsia="Calibri" w:hAnsi="Calibri" w:cs="Calibri"/>
        </w:rPr>
        <w:t>s</w:t>
      </w:r>
      <w:r w:rsidRPr="00166429">
        <w:rPr>
          <w:rFonts w:ascii="Calibri" w:eastAsia="Calibri" w:hAnsi="Calibri" w:cs="Calibri"/>
        </w:rPr>
        <w:t xml:space="preserve">e that clean technology cost reductions over the past two decades have been significantly driven by earlier subsidies, particularly in China, the EU, and the US. These early-stage interventions helped scale production, reduce prices, and make technologies like solar PV and EVs globally competitive. </w:t>
      </w:r>
    </w:p>
    <w:p w14:paraId="47196171" w14:textId="5D01C8CD" w:rsidR="002C779B" w:rsidRDefault="00166429" w:rsidP="00166429">
      <w:pPr>
        <w:rPr>
          <w:rFonts w:ascii="Calibri" w:eastAsia="Calibri" w:hAnsi="Calibri" w:cs="Calibri"/>
        </w:rPr>
      </w:pPr>
      <w:r w:rsidRPr="00166429">
        <w:rPr>
          <w:rFonts w:ascii="Calibri" w:eastAsia="Calibri" w:hAnsi="Calibri" w:cs="Calibri"/>
        </w:rPr>
        <w:t>The current wave of subsidies, by contrast, is often focused on securing domestic employment, rebuilding supply chains, or enhancing energy sovereignty. Recogni</w:t>
      </w:r>
      <w:r w:rsidR="00531CAA">
        <w:rPr>
          <w:rFonts w:ascii="Calibri" w:eastAsia="Calibri" w:hAnsi="Calibri" w:cs="Calibri"/>
        </w:rPr>
        <w:t>s</w:t>
      </w:r>
      <w:r w:rsidRPr="00166429">
        <w:rPr>
          <w:rFonts w:ascii="Calibri" w:eastAsia="Calibri" w:hAnsi="Calibri" w:cs="Calibri"/>
        </w:rPr>
        <w:t>ing this distinction helps shift the debate from one of “free market versus intervention” to one of strategic timing and purpose.</w:t>
      </w:r>
    </w:p>
    <w:p w14:paraId="6F597CF4" w14:textId="3491A598" w:rsidR="00084CA0" w:rsidRDefault="00084CA0" w:rsidP="00084CA0">
      <w:pPr>
        <w:rPr>
          <w:b/>
          <w:bCs/>
        </w:rPr>
      </w:pPr>
      <w:r w:rsidRPr="002F6A0E">
        <w:rPr>
          <w:b/>
          <w:bCs/>
        </w:rPr>
        <w:t xml:space="preserve">The US </w:t>
      </w:r>
      <w:r>
        <w:rPr>
          <w:b/>
          <w:bCs/>
        </w:rPr>
        <w:t>has</w:t>
      </w:r>
      <w:r w:rsidRPr="002F6A0E">
        <w:rPr>
          <w:b/>
          <w:bCs/>
        </w:rPr>
        <w:t xml:space="preserve"> actively </w:t>
      </w:r>
      <w:r>
        <w:rPr>
          <w:b/>
          <w:bCs/>
        </w:rPr>
        <w:t>raised</w:t>
      </w:r>
      <w:r w:rsidRPr="002F6A0E">
        <w:rPr>
          <w:b/>
          <w:bCs/>
        </w:rPr>
        <w:t xml:space="preserve"> tariffs on Chinese EVs and solar panels</w:t>
      </w:r>
      <w:r w:rsidR="008B26D4">
        <w:rPr>
          <w:b/>
          <w:bCs/>
        </w:rPr>
        <w:t xml:space="preserve">, </w:t>
      </w:r>
      <w:r w:rsidRPr="002F6A0E">
        <w:rPr>
          <w:b/>
          <w:bCs/>
        </w:rPr>
        <w:t>is</w:t>
      </w:r>
      <w:r w:rsidR="008B26D4">
        <w:rPr>
          <w:b/>
          <w:bCs/>
        </w:rPr>
        <w:t xml:space="preserve"> this</w:t>
      </w:r>
      <w:r w:rsidRPr="002F6A0E">
        <w:rPr>
          <w:b/>
          <w:bCs/>
        </w:rPr>
        <w:t xml:space="preserve"> incompatible with your guiding principles?</w:t>
      </w:r>
    </w:p>
    <w:p w14:paraId="571B7DF9" w14:textId="593616C2" w:rsidR="00084CA0" w:rsidRDefault="00084CA0" w:rsidP="00084CA0">
      <w:r>
        <w:t>Our principles call for fact-based, WTO-compliant measures, especially when it comes to trade in clean technologies. But the US tariffs on Chinese EVs and solar panels appear driven more by domestic political pressure than by any transparent, objective assessment of unfair subsidies.</w:t>
      </w:r>
      <w:r w:rsidR="56159AB9">
        <w:t xml:space="preserve"> There has been a temporary 90-day pause but nothing in the US-China trade war is being driven by rational thinking.</w:t>
      </w:r>
    </w:p>
    <w:p w14:paraId="4EE2D6DB" w14:textId="457DE087" w:rsidR="00084CA0" w:rsidRPr="00084CA0" w:rsidRDefault="00084CA0" w:rsidP="00166429">
      <w:r>
        <w:t>While countries do have the right to defend against market distortions, that must be done within a rules-based system. Permanent protectionism is not a climate strategy. If we’re serious about accelerating the transition, we need cooperation.</w:t>
      </w:r>
    </w:p>
    <w:p w14:paraId="4E935FBC" w14:textId="1B24465D" w:rsidR="00B05073" w:rsidRDefault="00CD7B95" w:rsidP="00B05073">
      <w:pPr>
        <w:rPr>
          <w:rFonts w:ascii="Calibri" w:eastAsia="Calibri" w:hAnsi="Calibri" w:cs="Calibri"/>
          <w:b/>
          <w:bCs/>
        </w:rPr>
      </w:pPr>
      <w:r w:rsidRPr="002908B9">
        <w:rPr>
          <w:rFonts w:ascii="Calibri" w:eastAsia="Calibri" w:hAnsi="Calibri" w:cs="Calibri"/>
          <w:b/>
          <w:bCs/>
        </w:rPr>
        <w:t>Is China’s dominance in clean energy technology supply chains due to its unethical</w:t>
      </w:r>
      <w:r w:rsidR="00B05073" w:rsidRPr="002908B9">
        <w:rPr>
          <w:rFonts w:ascii="Calibri" w:eastAsia="Calibri" w:hAnsi="Calibri" w:cs="Calibri"/>
          <w:b/>
          <w:bCs/>
        </w:rPr>
        <w:t xml:space="preserve"> labour </w:t>
      </w:r>
      <w:r w:rsidRPr="002908B9">
        <w:rPr>
          <w:rFonts w:ascii="Calibri" w:eastAsia="Calibri" w:hAnsi="Calibri" w:cs="Calibri"/>
          <w:b/>
          <w:bCs/>
        </w:rPr>
        <w:t>practices</w:t>
      </w:r>
      <w:r w:rsidR="00B05073" w:rsidRPr="002908B9">
        <w:rPr>
          <w:rFonts w:ascii="Calibri" w:eastAsia="Calibri" w:hAnsi="Calibri" w:cs="Calibri"/>
          <w:b/>
          <w:bCs/>
        </w:rPr>
        <w:t xml:space="preserve"> and</w:t>
      </w:r>
      <w:r w:rsidRPr="002908B9">
        <w:rPr>
          <w:rFonts w:ascii="Calibri" w:eastAsia="Calibri" w:hAnsi="Calibri" w:cs="Calibri"/>
          <w:b/>
          <w:bCs/>
        </w:rPr>
        <w:t xml:space="preserve"> low</w:t>
      </w:r>
      <w:r w:rsidR="00B05073" w:rsidRPr="002908B9">
        <w:rPr>
          <w:rFonts w:ascii="Calibri" w:eastAsia="Calibri" w:hAnsi="Calibri" w:cs="Calibri"/>
          <w:b/>
          <w:bCs/>
        </w:rPr>
        <w:t xml:space="preserve"> environmental standards?</w:t>
      </w:r>
    </w:p>
    <w:p w14:paraId="050D8F52" w14:textId="51601565" w:rsidR="00120C57" w:rsidRDefault="00120C57">
      <w:r>
        <w:t>Some countries have voiced concern regarding the carbon intensity of production and possible use of forced labour in some</w:t>
      </w:r>
      <w:r w:rsidR="00E04BBE">
        <w:t xml:space="preserve"> </w:t>
      </w:r>
      <w:r>
        <w:t>existing clean technology supply chains</w:t>
      </w:r>
      <w:r w:rsidR="00E04BBE">
        <w:t xml:space="preserve">, </w:t>
      </w:r>
      <w:r w:rsidR="005A7961">
        <w:t>form</w:t>
      </w:r>
      <w:r w:rsidR="00E04BBE">
        <w:t>ing</w:t>
      </w:r>
      <w:r w:rsidR="005A7961">
        <w:t xml:space="preserve"> part of the justification to nearshore supply chains and increase transparency or access to clean energy generation.</w:t>
      </w:r>
      <w:r>
        <w:t xml:space="preserve"> </w:t>
      </w:r>
      <w:r w:rsidR="00E04BBE">
        <w:t>While some concerns are valid</w:t>
      </w:r>
      <w:r>
        <w:t xml:space="preserve">, industry action and supply chain traceability </w:t>
      </w:r>
      <w:r w:rsidR="1289FC23">
        <w:t>are</w:t>
      </w:r>
      <w:r>
        <w:t xml:space="preserve"> moving to address these concerns</w:t>
      </w:r>
      <w:r w:rsidR="005A7961">
        <w:t>.</w:t>
      </w:r>
      <w:r w:rsidR="02DA519F">
        <w:t xml:space="preserve"> Also, other industries like ho</w:t>
      </w:r>
      <w:r w:rsidR="05CA451C">
        <w:t xml:space="preserve">usehold </w:t>
      </w:r>
      <w:r w:rsidR="02DA519F">
        <w:t>goods or fashion</w:t>
      </w:r>
      <w:r w:rsidR="1A6F9DFB">
        <w:t xml:space="preserve"> involve</w:t>
      </w:r>
      <w:r w:rsidR="26A906D1">
        <w:t xml:space="preserve"> </w:t>
      </w:r>
      <w:r w:rsidR="16B288C6">
        <w:t xml:space="preserve">a </w:t>
      </w:r>
      <w:r w:rsidR="02DA519F">
        <w:t xml:space="preserve">significant manual labour component, </w:t>
      </w:r>
      <w:r w:rsidR="700E533C">
        <w:t xml:space="preserve">however, </w:t>
      </w:r>
      <w:r w:rsidR="02DA519F">
        <w:t>the manufacturing of clean technologies is heavily automated.</w:t>
      </w:r>
    </w:p>
    <w:p w14:paraId="721624DF" w14:textId="08F7B419" w:rsidR="006E4985" w:rsidRPr="006E4985" w:rsidRDefault="006E4985" w:rsidP="006E4985">
      <w:pPr>
        <w:rPr>
          <w:b/>
          <w:bCs/>
        </w:rPr>
      </w:pPr>
      <w:r w:rsidRPr="006E4985">
        <w:rPr>
          <w:b/>
          <w:bCs/>
        </w:rPr>
        <w:t>How do you respond to critics who say your principles could legitimi</w:t>
      </w:r>
      <w:r w:rsidR="005C0078">
        <w:rPr>
          <w:b/>
          <w:bCs/>
        </w:rPr>
        <w:t>s</w:t>
      </w:r>
      <w:r w:rsidRPr="006E4985">
        <w:rPr>
          <w:b/>
          <w:bCs/>
        </w:rPr>
        <w:t>e Chinese overcapacity and undercut global competition?</w:t>
      </w:r>
    </w:p>
    <w:p w14:paraId="3CAC3D35" w14:textId="34DA3694" w:rsidR="00613F39" w:rsidRPr="00613F39" w:rsidRDefault="00613F39" w:rsidP="00613F39">
      <w:pPr>
        <w:rPr>
          <w:rFonts w:asciiTheme="majorHAnsi" w:eastAsiaTheme="majorEastAsia" w:hAnsiTheme="majorHAnsi" w:cstheme="majorBidi"/>
          <w:color w:val="2F5496" w:themeColor="accent1" w:themeShade="BF"/>
          <w:sz w:val="32"/>
          <w:szCs w:val="32"/>
        </w:rPr>
      </w:pPr>
      <w:r>
        <w:t>The ETC believes that the physical location of supply chains plays a far greater role in economic development and clean technology manufacturing than the ownership of assets. By focusing on where production occurs rather than who owns the factories, nations</w:t>
      </w:r>
      <w:r w:rsidR="00CE141E">
        <w:t xml:space="preserve"> beyond China</w:t>
      </w:r>
      <w:r>
        <w:t xml:space="preserve"> can reap significant benefits in job creation, technology transfer, and industrial growth.</w:t>
      </w:r>
    </w:p>
    <w:p w14:paraId="7CF8BC67" w14:textId="77777777" w:rsidR="0051747E" w:rsidRDefault="00613F39" w:rsidP="00613F39">
      <w:r w:rsidRPr="00613F39">
        <w:t xml:space="preserve">Foreign-owned companies can deliver substantial economic and social value by establishing manufacturing operations within a country. </w:t>
      </w:r>
      <w:r w:rsidR="0051747E">
        <w:t>Historically,</w:t>
      </w:r>
      <w:r w:rsidR="0051747E" w:rsidRPr="0051747E">
        <w:t xml:space="preserve"> </w:t>
      </w:r>
      <w:r w:rsidR="0051747E">
        <w:t>i</w:t>
      </w:r>
      <w:r w:rsidR="0051747E" w:rsidRPr="00613F39">
        <w:t>nward investment has been a crucial driver of technology transfer and skill-building</w:t>
      </w:r>
      <w:r w:rsidR="0051747E">
        <w:t>. For example:</w:t>
      </w:r>
    </w:p>
    <w:p w14:paraId="48968282" w14:textId="77777777" w:rsidR="0051747E" w:rsidRDefault="0051747E" w:rsidP="007C0BE2">
      <w:pPr>
        <w:pStyle w:val="ListParagraph"/>
        <w:numPr>
          <w:ilvl w:val="0"/>
          <w:numId w:val="7"/>
        </w:numPr>
        <w:ind w:left="709"/>
      </w:pPr>
      <w:r>
        <w:t>T</w:t>
      </w:r>
      <w:r w:rsidR="00613F39" w:rsidRPr="00613F39">
        <w:t>he UK’s automotive sector, though almost entirely foreign-owned, directly employed nearly 200,000 people in 2023 and produced over 900,000 vehicles.</w:t>
      </w:r>
    </w:p>
    <w:p w14:paraId="229685E3" w14:textId="77777777" w:rsidR="0051747E" w:rsidRDefault="00613F39" w:rsidP="007C0BE2">
      <w:pPr>
        <w:pStyle w:val="ListParagraph"/>
        <w:numPr>
          <w:ilvl w:val="0"/>
          <w:numId w:val="7"/>
        </w:numPr>
        <w:ind w:left="709"/>
      </w:pPr>
      <w:r w:rsidRPr="00613F39">
        <w:t xml:space="preserve">In the 1990s and 2000s, China leveraged foreign direct investment to fuel its industrial boom, creating a foundation for long-term growth. </w:t>
      </w:r>
    </w:p>
    <w:p w14:paraId="76D9D48A" w14:textId="77777777" w:rsidR="0051747E" w:rsidRDefault="00613F39" w:rsidP="007C0BE2">
      <w:pPr>
        <w:pStyle w:val="ListParagraph"/>
        <w:numPr>
          <w:ilvl w:val="0"/>
          <w:numId w:val="7"/>
        </w:numPr>
        <w:ind w:left="709"/>
      </w:pPr>
      <w:r w:rsidRPr="00613F39">
        <w:t>Toyota’s investments in the United States during the early 1990s introduced the Kaizen manufacturing philosophy, revolutionising efficiency and quality in American auto plants.</w:t>
      </w:r>
    </w:p>
    <w:p w14:paraId="785D3BF3" w14:textId="77777777" w:rsidR="0051747E" w:rsidRDefault="00613F39" w:rsidP="007C0BE2">
      <w:pPr>
        <w:pStyle w:val="ListParagraph"/>
        <w:numPr>
          <w:ilvl w:val="0"/>
          <w:numId w:val="7"/>
        </w:numPr>
        <w:ind w:left="709"/>
      </w:pPr>
      <w:r>
        <w:t xml:space="preserve">In Indonesia, Samsung’s investments have not only generated thousands of jobs but have also elevated the nation as a rising electronics exporter. </w:t>
      </w:r>
    </w:p>
    <w:p w14:paraId="48B99FD3" w14:textId="59642C73" w:rsidR="7A462FDD" w:rsidRDefault="7A462FDD" w:rsidP="27F9D7B7">
      <w:pPr>
        <w:rPr>
          <w:i/>
          <w:iCs/>
        </w:rPr>
      </w:pPr>
      <w:r w:rsidRPr="27F9D7B7">
        <w:rPr>
          <w:i/>
          <w:iCs/>
        </w:rPr>
        <w:t>[long version]</w:t>
      </w:r>
    </w:p>
    <w:p w14:paraId="45A439B3" w14:textId="77777777" w:rsidR="0051747E" w:rsidRDefault="00613F39" w:rsidP="0051747E">
      <w:r w:rsidRPr="00613F39">
        <w:t>The importance of leveraging established expertise becomes even clearer when examining cases of industrial setbacks</w:t>
      </w:r>
      <w:r w:rsidR="0051747E">
        <w:t>:</w:t>
      </w:r>
    </w:p>
    <w:p w14:paraId="61B2407D" w14:textId="77777777" w:rsidR="0051747E" w:rsidRDefault="00613F39" w:rsidP="009569D0">
      <w:pPr>
        <w:pStyle w:val="ListParagraph"/>
        <w:numPr>
          <w:ilvl w:val="0"/>
          <w:numId w:val="8"/>
        </w:numPr>
      </w:pPr>
      <w:proofErr w:type="spellStart"/>
      <w:r w:rsidRPr="00613F39">
        <w:t>BritishVolt</w:t>
      </w:r>
      <w:proofErr w:type="spellEnd"/>
      <w:r w:rsidRPr="00613F39">
        <w:t xml:space="preserve"> in the UK struggled due to gaps in technical knowledge and proven technology, despite substantial government support. </w:t>
      </w:r>
    </w:p>
    <w:p w14:paraId="2ABDBB2B" w14:textId="77777777" w:rsidR="00435C48" w:rsidRDefault="00613F39" w:rsidP="009569D0">
      <w:pPr>
        <w:pStyle w:val="ListParagraph"/>
        <w:numPr>
          <w:ilvl w:val="0"/>
          <w:numId w:val="8"/>
        </w:numPr>
      </w:pPr>
      <w:r w:rsidRPr="00613F39">
        <w:t xml:space="preserve">Similarly, </w:t>
      </w:r>
      <w:proofErr w:type="spellStart"/>
      <w:r w:rsidRPr="00613F39">
        <w:t>NorthVolt</w:t>
      </w:r>
      <w:proofErr w:type="spellEnd"/>
      <w:r w:rsidRPr="00613F39">
        <w:t xml:space="preserve"> in Sweden faced challenges in building industrial capacity without access to existing company expertise or the ability to transfer best practices. </w:t>
      </w:r>
    </w:p>
    <w:p w14:paraId="485FE429" w14:textId="0085DEB7" w:rsidR="00613F39" w:rsidRDefault="00613F39" w:rsidP="00435C48">
      <w:r w:rsidRPr="00613F39">
        <w:t>These failures underscore the risks of attempting to develop supply chains in isolation, without the benefit of foreign collaboration.</w:t>
      </w:r>
    </w:p>
    <w:p w14:paraId="7D7478C5" w14:textId="77777777" w:rsidR="00435C48" w:rsidRDefault="00613F39" w:rsidP="00613F39">
      <w:r w:rsidRPr="00613F39">
        <w:t>To ensure inward investments contribute to lasting industrial capabilities, governments can deploy policy tools such as joint ventures, local content requirements, and technology licensing agreements. China’s early FDI strategy required foreign companies to form joint ventures with domestic partners, facilitating the transfer of technical knowledge and operational expertise.</w:t>
      </w:r>
    </w:p>
    <w:p w14:paraId="24F24440" w14:textId="77777777" w:rsidR="00435C48" w:rsidRDefault="00435C48" w:rsidP="009569D0">
      <w:pPr>
        <w:pStyle w:val="ListParagraph"/>
        <w:numPr>
          <w:ilvl w:val="0"/>
          <w:numId w:val="9"/>
        </w:numPr>
      </w:pPr>
      <w:r>
        <w:t>I</w:t>
      </w:r>
      <w:r w:rsidR="00613F39" w:rsidRPr="00613F39">
        <w:t xml:space="preserve">n the US, current funding under the Inflation Reduction Act (IRA) ties battery manufacturing subsidies to rising local content requirements. </w:t>
      </w:r>
    </w:p>
    <w:p w14:paraId="3463B726" w14:textId="3CC321BE" w:rsidR="00613F39" w:rsidRDefault="00613F39" w:rsidP="009569D0">
      <w:pPr>
        <w:pStyle w:val="ListParagraph"/>
        <w:numPr>
          <w:ilvl w:val="0"/>
          <w:numId w:val="9"/>
        </w:numPr>
      </w:pPr>
      <w:r w:rsidRPr="00613F39">
        <w:t>Similarly, Indonesia’s 35% local content requirement for key industries has been instrumental in supporting domestic supply chain development, with plans to increase this threshold to 40%.</w:t>
      </w:r>
    </w:p>
    <w:p w14:paraId="0C5D9400" w14:textId="3019F273" w:rsidR="00974576" w:rsidRDefault="00613F39" w:rsidP="23017FFD">
      <w:r w:rsidRPr="00613F39">
        <w:t>ETC advocates for a global approach where nations prioritise the strategic location of supply chains over asset ownership. By welcoming inward investment and fostering local manufacturing capabilities, countries can achieve long-term industrial growth while playing a pivotal role in advancing clean technologies worldwide.</w:t>
      </w:r>
    </w:p>
    <w:p w14:paraId="04739AB9" w14:textId="60C502BE" w:rsidR="007457D9" w:rsidRDefault="007457D9" w:rsidP="23017FFD">
      <w:pPr>
        <w:rPr>
          <w:b/>
          <w:bCs/>
        </w:rPr>
      </w:pPr>
      <w:r w:rsidRPr="007457D9">
        <w:rPr>
          <w:b/>
          <w:bCs/>
        </w:rPr>
        <w:t>You promote CBAMs but warn against protectionism</w:t>
      </w:r>
      <w:r w:rsidR="00435C48">
        <w:rPr>
          <w:b/>
          <w:bCs/>
        </w:rPr>
        <w:t>, but</w:t>
      </w:r>
      <w:r w:rsidRPr="007457D9">
        <w:rPr>
          <w:b/>
          <w:bCs/>
        </w:rPr>
        <w:t xml:space="preserve"> isn’t the EU’s CBAM already pricing out </w:t>
      </w:r>
      <w:r w:rsidR="00435C48">
        <w:rPr>
          <w:b/>
          <w:bCs/>
        </w:rPr>
        <w:t>lower-income</w:t>
      </w:r>
      <w:r w:rsidRPr="007457D9">
        <w:rPr>
          <w:b/>
          <w:bCs/>
        </w:rPr>
        <w:t xml:space="preserve"> countries unfairly?</w:t>
      </w:r>
    </w:p>
    <w:p w14:paraId="5FA8A66D" w14:textId="3BB6DA6A" w:rsidR="00950DB3" w:rsidRPr="00950DB3" w:rsidRDefault="24E3A5D3" w:rsidP="27F9D7B7">
      <w:r>
        <w:t xml:space="preserve">The concern that CBAM could price out poorer countries is </w:t>
      </w:r>
      <w:r w:rsidR="7967F048">
        <w:t>valid</w:t>
      </w:r>
      <w:r>
        <w:t>, and it speaks to why design and implementation matter. A well-designed mechanism can create incentives for lower-income countries to adopt carbon pricing in a way that benefits them. If a country sets its own carbon price, any charges collected under CBAM are reduced accordingly, meaning those revenues stay in-country, rather than flowing to the EU.</w:t>
      </w:r>
    </w:p>
    <w:p w14:paraId="13C98511" w14:textId="07056E4C" w:rsidR="005F2CA0" w:rsidRDefault="24E3A5D3" w:rsidP="27F9D7B7">
      <w:pPr>
        <w:spacing w:after="0"/>
      </w:pPr>
      <w:r>
        <w:t>In that sense, CBAM can be more than a compliance tool</w:t>
      </w:r>
      <w:r w:rsidR="3DEDB809">
        <w:t>, bu</w:t>
      </w:r>
      <w:r>
        <w:t xml:space="preserve">t this only works if it’s paired with real support: technical assistance to help set up carbon pricing systems, transparency in how emissions are measured, and a commitment to channel some CBAM revenue back into climate finance. </w:t>
      </w:r>
    </w:p>
    <w:p w14:paraId="018B83A8" w14:textId="77777777" w:rsidR="005756EB" w:rsidRDefault="005756EB" w:rsidP="27F9D7B7">
      <w:pPr>
        <w:spacing w:after="0"/>
        <w:rPr>
          <w:rFonts w:ascii="Calibri" w:hAnsi="Calibri" w:cs="Calibri"/>
          <w:b/>
          <w:bCs/>
          <w:lang w:val="en-US"/>
        </w:rPr>
      </w:pPr>
    </w:p>
    <w:p w14:paraId="6D364686" w14:textId="31232D38" w:rsidR="005F2CA0" w:rsidRDefault="6933B28A" w:rsidP="27F9D7B7">
      <w:pPr>
        <w:spacing w:after="0"/>
        <w:rPr>
          <w:rFonts w:ascii="Calibri" w:hAnsi="Calibri" w:cs="Calibri"/>
          <w:b/>
          <w:bCs/>
          <w:lang w:val="en-US"/>
        </w:rPr>
      </w:pPr>
      <w:r w:rsidRPr="27F9D7B7">
        <w:rPr>
          <w:rFonts w:ascii="Calibri" w:hAnsi="Calibri" w:cs="Calibri"/>
          <w:b/>
          <w:bCs/>
          <w:lang w:val="en-US"/>
        </w:rPr>
        <w:t xml:space="preserve">What is your point of view on the </w:t>
      </w:r>
      <w:r w:rsidR="1E08BF08" w:rsidRPr="27F9D7B7">
        <w:rPr>
          <w:rFonts w:ascii="Calibri" w:hAnsi="Calibri" w:cs="Calibri"/>
          <w:b/>
          <w:bCs/>
          <w:lang w:val="en-US"/>
        </w:rPr>
        <w:t>BRICs actively opposing the EU CBAM?</w:t>
      </w:r>
    </w:p>
    <w:p w14:paraId="0C26D399" w14:textId="77777777" w:rsidR="005756EB" w:rsidRDefault="005756EB" w:rsidP="005F2CA0">
      <w:pPr>
        <w:pStyle w:val="NormalWeb"/>
        <w:spacing w:before="0" w:beforeAutospacing="0" w:after="0" w:afterAutospacing="0"/>
        <w:rPr>
          <w:rFonts w:ascii="Calibri" w:hAnsi="Calibri" w:cs="Calibri"/>
          <w:sz w:val="22"/>
          <w:szCs w:val="22"/>
        </w:rPr>
      </w:pPr>
    </w:p>
    <w:p w14:paraId="3BBD59F3" w14:textId="60468345" w:rsidR="005F2CA0" w:rsidRPr="005F2CA0" w:rsidRDefault="005F2CA0" w:rsidP="005F2CA0">
      <w:pPr>
        <w:pStyle w:val="NormalWeb"/>
        <w:spacing w:before="0" w:beforeAutospacing="0" w:after="0" w:afterAutospacing="0"/>
        <w:rPr>
          <w:rFonts w:ascii="Calibri" w:hAnsi="Calibri" w:cs="Calibri"/>
          <w:b/>
          <w:bCs/>
          <w:sz w:val="22"/>
          <w:szCs w:val="22"/>
          <w:highlight w:val="yellow"/>
          <w:lang w:val="en-US"/>
        </w:rPr>
      </w:pPr>
      <w:r w:rsidRPr="005F2CA0">
        <w:rPr>
          <w:rFonts w:ascii="Calibri" w:hAnsi="Calibri" w:cs="Calibri"/>
          <w:sz w:val="22"/>
          <w:szCs w:val="22"/>
        </w:rPr>
        <w:t>We recognise the concerns raised by BRIC countries over the EU CBAM</w:t>
      </w:r>
      <w:r>
        <w:rPr>
          <w:rFonts w:ascii="Calibri" w:hAnsi="Calibri" w:cs="Calibri"/>
          <w:sz w:val="22"/>
          <w:szCs w:val="22"/>
        </w:rPr>
        <w:t>,</w:t>
      </w:r>
      <w:r w:rsidRPr="005F2CA0">
        <w:rPr>
          <w:rFonts w:ascii="Calibri" w:hAnsi="Calibri" w:cs="Calibri"/>
          <w:sz w:val="22"/>
          <w:szCs w:val="22"/>
        </w:rPr>
        <w:t xml:space="preserve"> particularly around market access</w:t>
      </w:r>
      <w:r>
        <w:rPr>
          <w:rFonts w:ascii="Calibri" w:hAnsi="Calibri" w:cs="Calibri"/>
          <w:sz w:val="22"/>
          <w:szCs w:val="22"/>
        </w:rPr>
        <w:t xml:space="preserve"> </w:t>
      </w:r>
      <w:r w:rsidRPr="005F2CA0">
        <w:rPr>
          <w:rFonts w:ascii="Calibri" w:hAnsi="Calibri" w:cs="Calibri"/>
          <w:sz w:val="22"/>
          <w:szCs w:val="22"/>
        </w:rPr>
        <w:t xml:space="preserve">and the risk of unilateral climate measures becoming a form of green protectionism. </w:t>
      </w:r>
    </w:p>
    <w:p w14:paraId="62302AF2" w14:textId="4890583E" w:rsidR="005F2CA0" w:rsidRPr="005F2CA0" w:rsidRDefault="005F2CA0" w:rsidP="005F2CA0">
      <w:pPr>
        <w:pStyle w:val="NormalWeb"/>
        <w:spacing w:after="0"/>
        <w:rPr>
          <w:rFonts w:ascii="Calibri" w:hAnsi="Calibri" w:cs="Calibri"/>
          <w:sz w:val="22"/>
          <w:szCs w:val="22"/>
        </w:rPr>
      </w:pPr>
      <w:r w:rsidRPr="27F9D7B7">
        <w:rPr>
          <w:rFonts w:ascii="Calibri" w:hAnsi="Calibri" w:cs="Calibri"/>
          <w:sz w:val="22"/>
          <w:szCs w:val="22"/>
        </w:rPr>
        <w:t>Properly designed CBAMs, that are transparent, WTO-compliant, and provide exemptions or credit for equivalent climate efforts</w:t>
      </w:r>
      <w:r w:rsidR="004B586C" w:rsidRPr="27F9D7B7">
        <w:rPr>
          <w:rFonts w:ascii="Calibri" w:hAnsi="Calibri" w:cs="Calibri"/>
          <w:sz w:val="22"/>
          <w:szCs w:val="22"/>
        </w:rPr>
        <w:t xml:space="preserve">, </w:t>
      </w:r>
      <w:r w:rsidRPr="27F9D7B7">
        <w:rPr>
          <w:rFonts w:ascii="Calibri" w:hAnsi="Calibri" w:cs="Calibri"/>
          <w:sz w:val="22"/>
          <w:szCs w:val="22"/>
        </w:rPr>
        <w:t>can be a powerful incentive for countries to develop their own carbon pricing systems. In fact, they offer developing countries a financial and strategic rationale to implement domestic carbon pricing, so that the revenues stay at home rather than flowing to importing countries like those in the EU.</w:t>
      </w:r>
    </w:p>
    <w:p w14:paraId="1EDB6428" w14:textId="6E3CA217" w:rsidR="00D35931" w:rsidRPr="005F2CA0" w:rsidRDefault="005F2CA0" w:rsidP="005F2CA0">
      <w:pPr>
        <w:pStyle w:val="NormalWeb"/>
        <w:spacing w:before="0" w:beforeAutospacing="0" w:after="0" w:afterAutospacing="0"/>
        <w:rPr>
          <w:rFonts w:ascii="Calibri" w:hAnsi="Calibri" w:cs="Calibri"/>
          <w:sz w:val="22"/>
          <w:szCs w:val="22"/>
        </w:rPr>
      </w:pPr>
      <w:r w:rsidRPr="005F2CA0">
        <w:rPr>
          <w:rFonts w:ascii="Calibri" w:hAnsi="Calibri" w:cs="Calibri"/>
          <w:sz w:val="22"/>
          <w:szCs w:val="22"/>
        </w:rPr>
        <w:t>Ultimately, climate policy needs to be coordinated and cooperative. The real goal should be a shared international framework on carbon pricing, not fragmented or adversarial approaches. CBAMs are not the ideal end-state</w:t>
      </w:r>
      <w:r w:rsidR="009A1DF1">
        <w:rPr>
          <w:rFonts w:ascii="Calibri" w:hAnsi="Calibri" w:cs="Calibri"/>
          <w:sz w:val="22"/>
          <w:szCs w:val="22"/>
        </w:rPr>
        <w:t>,</w:t>
      </w:r>
      <w:r w:rsidRPr="005F2CA0">
        <w:rPr>
          <w:rFonts w:ascii="Calibri" w:hAnsi="Calibri" w:cs="Calibri"/>
          <w:sz w:val="22"/>
          <w:szCs w:val="22"/>
        </w:rPr>
        <w:t xml:space="preserve"> but they can be a necessary step on the path toward global convergence.</w:t>
      </w:r>
    </w:p>
    <w:p w14:paraId="6ED8E627" w14:textId="77777777" w:rsidR="005F2CA0" w:rsidRPr="005F2CA0" w:rsidRDefault="005F2CA0" w:rsidP="005F2CA0">
      <w:pPr>
        <w:pStyle w:val="NormalWeb"/>
        <w:spacing w:before="0" w:beforeAutospacing="0" w:after="0" w:afterAutospacing="0"/>
        <w:rPr>
          <w:rFonts w:ascii="Calibri" w:hAnsi="Calibri" w:cs="Calibri"/>
          <w:b/>
          <w:bCs/>
          <w:sz w:val="22"/>
          <w:szCs w:val="22"/>
          <w:highlight w:val="yellow"/>
        </w:rPr>
      </w:pPr>
    </w:p>
    <w:p w14:paraId="2A03AFF2" w14:textId="77777777" w:rsidR="00177B25" w:rsidRDefault="00177B25" w:rsidP="00177B25">
      <w:pPr>
        <w:rPr>
          <w:b/>
          <w:bCs/>
        </w:rPr>
      </w:pPr>
      <w:r w:rsidRPr="27F9D7B7">
        <w:rPr>
          <w:b/>
          <w:bCs/>
        </w:rPr>
        <w:t>How can developing countries respond to CBAMs?</w:t>
      </w:r>
    </w:p>
    <w:p w14:paraId="6CDB0961" w14:textId="04BB569C" w:rsidR="00177B25" w:rsidRDefault="00547B82" w:rsidP="00950DB3">
      <w:r w:rsidRPr="00547B82">
        <w:t>The ideal response from developing countries would be to introduce carbon prices for the heavy industry sectors of the economy, rising gradually towards European levels, and with the end result of a broadly common carbon price.</w:t>
      </w:r>
      <w:r w:rsidR="00C3580F">
        <w:t xml:space="preserve"> </w:t>
      </w:r>
    </w:p>
    <w:p w14:paraId="4797E168" w14:textId="77777777" w:rsidR="00676A16" w:rsidRDefault="00A32B1D" w:rsidP="00950DB3">
      <w:r>
        <w:t>Recogni</w:t>
      </w:r>
      <w:r w:rsidR="0043090B">
        <w:t>s</w:t>
      </w:r>
      <w:r>
        <w:t xml:space="preserve">ing that </w:t>
      </w:r>
      <w:r w:rsidR="00C07A09">
        <w:t>implementing a carbon price can be</w:t>
      </w:r>
      <w:r w:rsidR="00A87677">
        <w:t xml:space="preserve"> quite difficult, </w:t>
      </w:r>
      <w:r w:rsidR="00982652">
        <w:t xml:space="preserve">developing countries should </w:t>
      </w:r>
      <w:r w:rsidR="00A46CE2">
        <w:t xml:space="preserve">apply for </w:t>
      </w:r>
      <w:r w:rsidR="00660797">
        <w:t>capacity-building assistance from existing programs</w:t>
      </w:r>
      <w:r w:rsidR="00676A16">
        <w:t>,</w:t>
      </w:r>
      <w:r w:rsidR="00660797">
        <w:t xml:space="preserve"> </w:t>
      </w:r>
      <w:r w:rsidR="00676A16">
        <w:t xml:space="preserve">such as the Partnership for Market Implementation (PMI) administered by the World Bank, which offers technical support and funding for the development of carbon markets. Other mechanisms include the Initiative for Climate Action Transparency (ICAT), which supports the development of national MRV (monitoring, reporting, and verification) frameworks, and the Climate Action for Jobs Initiative, which helps integrate climate and labour policy. </w:t>
      </w:r>
    </w:p>
    <w:p w14:paraId="7F5EE67B" w14:textId="745DA535" w:rsidR="00A32B1D" w:rsidRDefault="00676A16" w:rsidP="00950DB3">
      <w:r>
        <w:t>Countries can also</w:t>
      </w:r>
      <w:r w:rsidR="00717D60">
        <w:t xml:space="preserve"> continue to request that a portion of revenues collected by CBAM be allocated to helping those countries that have directly faced the </w:t>
      </w:r>
      <w:r w:rsidR="0012027F">
        <w:t>CBAM.</w:t>
      </w:r>
    </w:p>
    <w:p w14:paraId="69FDCD77" w14:textId="17D2BD8F" w:rsidR="009569D0" w:rsidRPr="00A44906" w:rsidRDefault="0930569B" w:rsidP="00950DB3">
      <w:pPr>
        <w:rPr>
          <w:b/>
          <w:bCs/>
        </w:rPr>
      </w:pPr>
      <w:r w:rsidRPr="27F9D7B7">
        <w:rPr>
          <w:b/>
          <w:bCs/>
        </w:rPr>
        <w:t xml:space="preserve">It was recently </w:t>
      </w:r>
      <w:r w:rsidR="5F449BD6" w:rsidRPr="27F9D7B7">
        <w:rPr>
          <w:b/>
          <w:bCs/>
        </w:rPr>
        <w:t xml:space="preserve">reported that </w:t>
      </w:r>
      <w:r w:rsidR="12B02150" w:rsidRPr="27F9D7B7">
        <w:rPr>
          <w:b/>
          <w:bCs/>
        </w:rPr>
        <w:t xml:space="preserve">in the US, </w:t>
      </w:r>
      <w:r w:rsidR="076AAB01" w:rsidRPr="27F9D7B7">
        <w:rPr>
          <w:b/>
          <w:bCs/>
        </w:rPr>
        <w:t xml:space="preserve">that </w:t>
      </w:r>
      <w:r w:rsidR="12B02150" w:rsidRPr="27F9D7B7">
        <w:rPr>
          <w:b/>
          <w:bCs/>
        </w:rPr>
        <w:t>some</w:t>
      </w:r>
      <w:r w:rsidR="05E76F56" w:rsidRPr="27F9D7B7">
        <w:rPr>
          <w:b/>
          <w:bCs/>
        </w:rPr>
        <w:t xml:space="preserve"> solar panel</w:t>
      </w:r>
      <w:r w:rsidR="1F58F368" w:rsidRPr="27F9D7B7">
        <w:rPr>
          <w:b/>
          <w:bCs/>
        </w:rPr>
        <w:t xml:space="preserve"> inverters</w:t>
      </w:r>
      <w:r w:rsidR="12B02150" w:rsidRPr="27F9D7B7">
        <w:rPr>
          <w:b/>
          <w:bCs/>
        </w:rPr>
        <w:t xml:space="preserve"> from China </w:t>
      </w:r>
      <w:r w:rsidR="1F58F368" w:rsidRPr="27F9D7B7">
        <w:rPr>
          <w:b/>
          <w:bCs/>
        </w:rPr>
        <w:t xml:space="preserve">contained communication </w:t>
      </w:r>
      <w:r w:rsidR="05E76F56" w:rsidRPr="27F9D7B7">
        <w:rPr>
          <w:b/>
          <w:bCs/>
        </w:rPr>
        <w:t>devices</w:t>
      </w:r>
      <w:r w:rsidR="12B02150" w:rsidRPr="27F9D7B7">
        <w:rPr>
          <w:b/>
          <w:bCs/>
        </w:rPr>
        <w:t>. Is this a national security risk</w:t>
      </w:r>
      <w:r w:rsidR="05E76F56" w:rsidRPr="27F9D7B7">
        <w:rPr>
          <w:b/>
          <w:bCs/>
        </w:rPr>
        <w:t>?</w:t>
      </w:r>
    </w:p>
    <w:p w14:paraId="020B50C6" w14:textId="22B73CDC" w:rsidR="00BA2042" w:rsidRDefault="24A18117" w:rsidP="27F9D7B7">
      <w:pPr>
        <w:pStyle w:val="NormalWeb"/>
        <w:spacing w:before="0" w:beforeAutospacing="0" w:after="0" w:afterAutospacing="0"/>
        <w:rPr>
          <w:rFonts w:ascii="Calibri" w:hAnsi="Calibri" w:cs="Calibri"/>
          <w:sz w:val="22"/>
          <w:szCs w:val="22"/>
          <w:lang w:val="en-US"/>
        </w:rPr>
      </w:pPr>
      <w:r w:rsidRPr="27F9D7B7">
        <w:rPr>
          <w:rFonts w:ascii="Calibri" w:hAnsi="Calibri" w:cs="Calibri"/>
          <w:sz w:val="22"/>
          <w:szCs w:val="22"/>
          <w:lang w:val="en-US"/>
        </w:rPr>
        <w:t xml:space="preserve">We </w:t>
      </w:r>
      <w:r w:rsidR="43EB4BF0" w:rsidRPr="27F9D7B7">
        <w:rPr>
          <w:rFonts w:ascii="Calibri" w:hAnsi="Calibri" w:cs="Calibri"/>
          <w:sz w:val="22"/>
          <w:szCs w:val="22"/>
          <w:lang w:val="en-US"/>
        </w:rPr>
        <w:t>should examine these situations on a</w:t>
      </w:r>
      <w:r w:rsidRPr="27F9D7B7">
        <w:rPr>
          <w:rFonts w:ascii="Calibri" w:hAnsi="Calibri" w:cs="Calibri"/>
          <w:sz w:val="22"/>
          <w:szCs w:val="22"/>
          <w:lang w:val="en-US"/>
        </w:rPr>
        <w:t xml:space="preserve"> </w:t>
      </w:r>
      <w:r w:rsidR="2619A2E5" w:rsidRPr="27F9D7B7">
        <w:rPr>
          <w:rFonts w:ascii="Calibri" w:hAnsi="Calibri" w:cs="Calibri"/>
          <w:sz w:val="22"/>
          <w:szCs w:val="22"/>
          <w:lang w:val="en-US"/>
        </w:rPr>
        <w:t>case-by-case</w:t>
      </w:r>
      <w:r w:rsidRPr="27F9D7B7">
        <w:rPr>
          <w:rFonts w:ascii="Calibri" w:hAnsi="Calibri" w:cs="Calibri"/>
          <w:sz w:val="22"/>
          <w:szCs w:val="22"/>
          <w:lang w:val="en-US"/>
        </w:rPr>
        <w:t xml:space="preserve"> basis.</w:t>
      </w:r>
      <w:r w:rsidR="1140A1C2" w:rsidRPr="27F9D7B7">
        <w:rPr>
          <w:rFonts w:ascii="Calibri" w:hAnsi="Calibri" w:cs="Calibri"/>
          <w:sz w:val="22"/>
          <w:szCs w:val="22"/>
          <w:lang w:val="en-US"/>
        </w:rPr>
        <w:t xml:space="preserve"> G</w:t>
      </w:r>
      <w:r w:rsidR="562AFC3F" w:rsidRPr="27F9D7B7">
        <w:rPr>
          <w:rFonts w:ascii="Calibri" w:hAnsi="Calibri" w:cs="Calibri"/>
          <w:sz w:val="22"/>
          <w:szCs w:val="22"/>
          <w:lang w:val="en-US"/>
        </w:rPr>
        <w:t xml:space="preserve">enerally, </w:t>
      </w:r>
      <w:r w:rsidR="4CC56E6D" w:rsidRPr="27F9D7B7">
        <w:rPr>
          <w:rFonts w:ascii="Calibri" w:hAnsi="Calibri" w:cs="Calibri"/>
          <w:sz w:val="22"/>
          <w:szCs w:val="22"/>
          <w:lang w:val="en-US"/>
        </w:rPr>
        <w:t>s</w:t>
      </w:r>
      <w:r w:rsidR="1140A1C2" w:rsidRPr="27F9D7B7">
        <w:rPr>
          <w:rFonts w:ascii="Calibri" w:hAnsi="Calibri" w:cs="Calibri"/>
          <w:sz w:val="22"/>
          <w:szCs w:val="22"/>
          <w:lang w:val="en-US"/>
        </w:rPr>
        <w:t>olar panels themselves present minimal national security concerns. They are largely hardware-based products with no significant data or software control systems that could be exploited. Unlike technologies such as grid control software</w:t>
      </w:r>
      <w:r w:rsidR="4CC56E6D" w:rsidRPr="27F9D7B7">
        <w:rPr>
          <w:rFonts w:ascii="Calibri" w:hAnsi="Calibri" w:cs="Calibri"/>
          <w:sz w:val="22"/>
          <w:szCs w:val="22"/>
          <w:lang w:val="en-US"/>
        </w:rPr>
        <w:t xml:space="preserve"> </w:t>
      </w:r>
      <w:r w:rsidR="1140A1C2" w:rsidRPr="27F9D7B7">
        <w:rPr>
          <w:rFonts w:ascii="Calibri" w:hAnsi="Calibri" w:cs="Calibri"/>
          <w:sz w:val="22"/>
          <w:szCs w:val="22"/>
          <w:lang w:val="en-US"/>
        </w:rPr>
        <w:t>which involve real-time data and potential cyber vulnerabilities</w:t>
      </w:r>
      <w:r w:rsidR="4CC56E6D" w:rsidRPr="27F9D7B7">
        <w:rPr>
          <w:rFonts w:ascii="Calibri" w:hAnsi="Calibri" w:cs="Calibri"/>
          <w:sz w:val="22"/>
          <w:szCs w:val="22"/>
          <w:lang w:val="en-US"/>
        </w:rPr>
        <w:t>. S</w:t>
      </w:r>
      <w:r w:rsidR="1140A1C2" w:rsidRPr="27F9D7B7">
        <w:rPr>
          <w:rFonts w:ascii="Calibri" w:hAnsi="Calibri" w:cs="Calibri"/>
          <w:sz w:val="22"/>
          <w:szCs w:val="22"/>
          <w:lang w:val="en-US"/>
        </w:rPr>
        <w:t>olar PV modules are low-risk from a national security standpoint. As such, they should generally not be treated as security-sensitive technologies in trade and investment decisions.</w:t>
      </w:r>
      <w:r w:rsidR="00BA2042">
        <w:br/>
      </w:r>
    </w:p>
    <w:p w14:paraId="6C215F1E" w14:textId="4C9D1206" w:rsidR="00405D9C" w:rsidRPr="00573638" w:rsidRDefault="00D77B00" w:rsidP="27F9D7B7">
      <w:pPr>
        <w:pStyle w:val="NormalWeb"/>
        <w:spacing w:before="0" w:beforeAutospacing="0" w:after="0" w:afterAutospacing="0"/>
        <w:rPr>
          <w:rFonts w:ascii="Calibri" w:hAnsi="Calibri" w:cs="Calibri"/>
          <w:b/>
          <w:bCs/>
          <w:sz w:val="22"/>
          <w:szCs w:val="22"/>
          <w:lang w:val="en-US"/>
        </w:rPr>
      </w:pPr>
      <w:r w:rsidRPr="27F9D7B7">
        <w:rPr>
          <w:rFonts w:ascii="Calibri" w:hAnsi="Calibri" w:cs="Calibri"/>
          <w:b/>
          <w:bCs/>
          <w:sz w:val="22"/>
          <w:szCs w:val="22"/>
          <w:lang w:val="en-US"/>
        </w:rPr>
        <w:t xml:space="preserve">In the Trump era with the global tariff wars, is the WTO still a credible </w:t>
      </w:r>
      <w:proofErr w:type="spellStart"/>
      <w:r w:rsidRPr="27F9D7B7">
        <w:rPr>
          <w:rFonts w:ascii="Calibri" w:hAnsi="Calibri" w:cs="Calibri"/>
          <w:b/>
          <w:bCs/>
          <w:sz w:val="22"/>
          <w:szCs w:val="22"/>
          <w:lang w:val="en-US"/>
        </w:rPr>
        <w:t>organisation</w:t>
      </w:r>
      <w:proofErr w:type="spellEnd"/>
      <w:r w:rsidRPr="27F9D7B7">
        <w:rPr>
          <w:rFonts w:ascii="Calibri" w:hAnsi="Calibri" w:cs="Calibri"/>
          <w:b/>
          <w:bCs/>
          <w:sz w:val="22"/>
          <w:szCs w:val="22"/>
          <w:lang w:val="en-US"/>
        </w:rPr>
        <w:t xml:space="preserve">? </w:t>
      </w:r>
      <w:r>
        <w:br/>
      </w:r>
    </w:p>
    <w:p w14:paraId="2D967B2B" w14:textId="7A1DE97D" w:rsidR="00931931" w:rsidRPr="00931931" w:rsidRDefault="00931931" w:rsidP="00931931">
      <w:pPr>
        <w:pStyle w:val="NormalWeb"/>
        <w:spacing w:after="0"/>
        <w:rPr>
          <w:rFonts w:ascii="Calibri" w:hAnsi="Calibri" w:cs="Calibri"/>
          <w:sz w:val="22"/>
          <w:szCs w:val="22"/>
          <w:lang w:val="en-US"/>
        </w:rPr>
      </w:pPr>
      <w:r>
        <w:rPr>
          <w:rFonts w:ascii="Calibri" w:hAnsi="Calibri" w:cs="Calibri"/>
          <w:sz w:val="22"/>
          <w:szCs w:val="22"/>
          <w:lang w:val="en-US"/>
        </w:rPr>
        <w:t xml:space="preserve">Many of </w:t>
      </w:r>
      <w:r w:rsidRPr="00931931">
        <w:rPr>
          <w:rFonts w:ascii="Calibri" w:hAnsi="Calibri" w:cs="Calibri"/>
          <w:sz w:val="22"/>
          <w:szCs w:val="22"/>
          <w:lang w:val="en-US"/>
        </w:rPr>
        <w:t>President Trump’s</w:t>
      </w:r>
      <w:r w:rsidR="00A8385B">
        <w:rPr>
          <w:rFonts w:ascii="Calibri" w:hAnsi="Calibri" w:cs="Calibri"/>
          <w:sz w:val="22"/>
          <w:szCs w:val="22"/>
          <w:lang w:val="en-US"/>
        </w:rPr>
        <w:t xml:space="preserve"> recent</w:t>
      </w:r>
      <w:r w:rsidRPr="00931931">
        <w:rPr>
          <w:rFonts w:ascii="Calibri" w:hAnsi="Calibri" w:cs="Calibri"/>
          <w:sz w:val="22"/>
          <w:szCs w:val="22"/>
          <w:lang w:val="en-US"/>
        </w:rPr>
        <w:t xml:space="preserve"> </w:t>
      </w:r>
      <w:r>
        <w:rPr>
          <w:rFonts w:ascii="Calibri" w:hAnsi="Calibri" w:cs="Calibri"/>
          <w:sz w:val="22"/>
          <w:szCs w:val="22"/>
          <w:lang w:val="en-US"/>
        </w:rPr>
        <w:t xml:space="preserve">tariffs measures were imposed </w:t>
      </w:r>
      <w:r w:rsidRPr="00931931">
        <w:rPr>
          <w:rFonts w:ascii="Calibri" w:hAnsi="Calibri" w:cs="Calibri"/>
          <w:sz w:val="22"/>
          <w:szCs w:val="22"/>
          <w:lang w:val="en-US"/>
        </w:rPr>
        <w:t>without reference to WTO rules</w:t>
      </w:r>
      <w:r>
        <w:rPr>
          <w:rFonts w:ascii="Calibri" w:hAnsi="Calibri" w:cs="Calibri"/>
          <w:sz w:val="22"/>
          <w:szCs w:val="22"/>
          <w:lang w:val="en-US"/>
        </w:rPr>
        <w:t xml:space="preserve">. This </w:t>
      </w:r>
      <w:proofErr w:type="spellStart"/>
      <w:r>
        <w:rPr>
          <w:rFonts w:ascii="Calibri" w:hAnsi="Calibri" w:cs="Calibri"/>
          <w:sz w:val="22"/>
          <w:szCs w:val="22"/>
          <w:lang w:val="en-US"/>
        </w:rPr>
        <w:t>s</w:t>
      </w:r>
      <w:r w:rsidRPr="00931931">
        <w:rPr>
          <w:rFonts w:ascii="Calibri" w:hAnsi="Calibri" w:cs="Calibri"/>
          <w:sz w:val="22"/>
          <w:szCs w:val="22"/>
          <w:lang w:val="en-US"/>
        </w:rPr>
        <w:t>ignalled</w:t>
      </w:r>
      <w:proofErr w:type="spellEnd"/>
      <w:r w:rsidRPr="00931931">
        <w:rPr>
          <w:rFonts w:ascii="Calibri" w:hAnsi="Calibri" w:cs="Calibri"/>
          <w:sz w:val="22"/>
          <w:szCs w:val="22"/>
          <w:lang w:val="en-US"/>
        </w:rPr>
        <w:t xml:space="preserve"> a shift away from rules-based trade toward more unilateral, strategic action. </w:t>
      </w:r>
    </w:p>
    <w:p w14:paraId="2B74571D" w14:textId="4F848028" w:rsidR="00DB1697" w:rsidRDefault="17519B08" w:rsidP="27F9D7B7">
      <w:pPr>
        <w:pStyle w:val="NormalWeb"/>
        <w:spacing w:after="0"/>
        <w:rPr>
          <w:rFonts w:ascii="Calibri" w:hAnsi="Calibri" w:cs="Calibri"/>
          <w:sz w:val="22"/>
          <w:szCs w:val="22"/>
          <w:lang w:val="en-US"/>
        </w:rPr>
      </w:pPr>
      <w:r>
        <w:rPr>
          <w:rFonts w:ascii="Calibri" w:hAnsi="Calibri" w:cs="Calibri"/>
          <w:sz w:val="22"/>
          <w:szCs w:val="22"/>
          <w:lang w:val="en-US"/>
        </w:rPr>
        <w:t xml:space="preserve">However, </w:t>
      </w:r>
      <w:r w:rsidR="02A0EBC8" w:rsidRPr="00856186">
        <w:rPr>
          <w:rFonts w:ascii="Calibri" w:hAnsi="Calibri" w:cs="Calibri"/>
          <w:sz w:val="22"/>
          <w:szCs w:val="22"/>
          <w:lang w:val="en-US"/>
        </w:rPr>
        <w:t xml:space="preserve">WTO consultations </w:t>
      </w:r>
      <w:r w:rsidR="02A0EBC8">
        <w:rPr>
          <w:rFonts w:ascii="Calibri" w:hAnsi="Calibri" w:cs="Calibri"/>
          <w:sz w:val="22"/>
          <w:szCs w:val="22"/>
          <w:lang w:val="en-US"/>
        </w:rPr>
        <w:t xml:space="preserve">were </w:t>
      </w:r>
      <w:r w:rsidR="02A0EBC8" w:rsidRPr="00856186">
        <w:rPr>
          <w:rFonts w:ascii="Calibri" w:hAnsi="Calibri" w:cs="Calibri"/>
          <w:sz w:val="22"/>
          <w:szCs w:val="22"/>
          <w:lang w:val="en-US"/>
        </w:rPr>
        <w:t>requested by China, Canada and the European Union</w:t>
      </w:r>
      <w:r w:rsidR="02A0EBC8">
        <w:rPr>
          <w:rFonts w:ascii="Calibri" w:hAnsi="Calibri" w:cs="Calibri"/>
          <w:sz w:val="22"/>
          <w:szCs w:val="22"/>
          <w:lang w:val="en-US"/>
        </w:rPr>
        <w:t xml:space="preserve"> in response.</w:t>
      </w:r>
      <w:r w:rsidR="4440AE67" w:rsidRPr="00931931">
        <w:rPr>
          <w:rFonts w:ascii="Calibri" w:hAnsi="Calibri" w:cs="Calibri"/>
          <w:sz w:val="22"/>
          <w:szCs w:val="22"/>
          <w:lang w:val="en-US"/>
        </w:rPr>
        <w:t xml:space="preserve"> </w:t>
      </w:r>
      <w:r w:rsidR="26359EE0" w:rsidRPr="00DB1697">
        <w:rPr>
          <w:rFonts w:ascii="Calibri" w:hAnsi="Calibri" w:cs="Calibri"/>
          <w:sz w:val="22"/>
          <w:szCs w:val="22"/>
          <w:lang w:val="en-US"/>
        </w:rPr>
        <w:t>These actions—which will continue despite the 90-day pause on the reciprocal tariffs—may end up being symbolic, as the US’s commitment to WTO rules and the WTO as an institution is not what it once was. The US has even stopped paying into the WTO budget. But these legal actions signal that for other WTO members, the WTO remains an important part of the international architecture for free trade.</w:t>
      </w:r>
      <w:r w:rsidR="00954CC1">
        <w:rPr>
          <w:rStyle w:val="FootnoteReference"/>
          <w:rFonts w:ascii="Calibri" w:hAnsi="Calibri" w:cs="Calibri"/>
          <w:sz w:val="22"/>
          <w:szCs w:val="22"/>
          <w:lang w:val="en-US"/>
        </w:rPr>
        <w:footnoteReference w:id="2"/>
      </w:r>
    </w:p>
    <w:p w14:paraId="6A63BBF2" w14:textId="22F858C6" w:rsidR="00DB1697" w:rsidRDefault="298253E8" w:rsidP="27F9D7B7">
      <w:pPr>
        <w:spacing w:after="0"/>
        <w:rPr>
          <w:b/>
          <w:bCs/>
          <w:lang w:val="en-US"/>
        </w:rPr>
      </w:pPr>
      <w:r w:rsidRPr="27F9D7B7">
        <w:rPr>
          <w:b/>
          <w:bCs/>
          <w:lang w:val="en-US"/>
        </w:rPr>
        <w:t>There is also criticism that the Inflation Reduction Act provides an unfair advantage in clean technology development. Does it also violate WTO rules?</w:t>
      </w:r>
    </w:p>
    <w:p w14:paraId="57714B33" w14:textId="16E0F786" w:rsidR="00BC55A0" w:rsidRPr="005756EB" w:rsidRDefault="001B7497" w:rsidP="005756EB">
      <w:pPr>
        <w:pStyle w:val="NormalWeb"/>
        <w:spacing w:after="0"/>
        <w:rPr>
          <w:rFonts w:ascii="Calibri" w:hAnsi="Calibri" w:cs="Calibri"/>
          <w:sz w:val="22"/>
          <w:szCs w:val="22"/>
          <w:lang w:val="en-US"/>
        </w:rPr>
      </w:pPr>
      <w:r w:rsidRPr="27F9D7B7">
        <w:rPr>
          <w:rFonts w:ascii="Calibri" w:hAnsi="Calibri" w:cs="Calibri"/>
          <w:sz w:val="22"/>
          <w:szCs w:val="22"/>
          <w:lang w:val="en-US"/>
        </w:rPr>
        <w:t>Policies</w:t>
      </w:r>
      <w:r w:rsidR="00931931" w:rsidRPr="27F9D7B7">
        <w:rPr>
          <w:rFonts w:ascii="Calibri" w:hAnsi="Calibri" w:cs="Calibri"/>
          <w:sz w:val="22"/>
          <w:szCs w:val="22"/>
          <w:lang w:val="en-US"/>
        </w:rPr>
        <w:t xml:space="preserve"> like the US Inflation Reduction Act, while driving much-needed investment in clean technologies, have</w:t>
      </w:r>
      <w:r w:rsidRPr="27F9D7B7">
        <w:rPr>
          <w:rFonts w:ascii="Calibri" w:hAnsi="Calibri" w:cs="Calibri"/>
          <w:sz w:val="22"/>
          <w:szCs w:val="22"/>
          <w:lang w:val="en-US"/>
        </w:rPr>
        <w:t xml:space="preserve"> </w:t>
      </w:r>
      <w:r w:rsidR="00931931" w:rsidRPr="27F9D7B7">
        <w:rPr>
          <w:rFonts w:ascii="Calibri" w:hAnsi="Calibri" w:cs="Calibri"/>
          <w:sz w:val="22"/>
          <w:szCs w:val="22"/>
          <w:lang w:val="en-US"/>
        </w:rPr>
        <w:t>raised concerns globally, especially in Europe and among developing economies, about fairness and market distortion. A renewed role for the WTO could be to help define transparent rules and guardrails for climate-aligned industrial policy, ensuring that the path to net zero remains competitive but cooperative.</w:t>
      </w:r>
    </w:p>
    <w:sectPr w:rsidR="00BC55A0" w:rsidRPr="005756EB">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90A58" w14:textId="77777777" w:rsidR="00D34B85" w:rsidRDefault="00D34B85" w:rsidP="009328B1">
      <w:pPr>
        <w:spacing w:after="0" w:line="240" w:lineRule="auto"/>
      </w:pPr>
      <w:r>
        <w:separator/>
      </w:r>
    </w:p>
  </w:endnote>
  <w:endnote w:type="continuationSeparator" w:id="0">
    <w:p w14:paraId="6B78EEAF" w14:textId="77777777" w:rsidR="00D34B85" w:rsidRDefault="00D34B85" w:rsidP="009328B1">
      <w:pPr>
        <w:spacing w:after="0" w:line="240" w:lineRule="auto"/>
      </w:pPr>
      <w:r>
        <w:continuationSeparator/>
      </w:r>
    </w:p>
  </w:endnote>
  <w:endnote w:type="continuationNotice" w:id="1">
    <w:p w14:paraId="03531C08" w14:textId="77777777" w:rsidR="00D34B85" w:rsidRDefault="00D34B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Inter">
    <w:charset w:val="00"/>
    <w:family w:val="swiss"/>
    <w:notTrueType/>
    <w:pitch w:val="variable"/>
    <w:sig w:usb0="E00002FF" w:usb1="1200A1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Apto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A9284" w14:textId="77777777" w:rsidR="00D34B85" w:rsidRDefault="00D34B85" w:rsidP="009328B1">
      <w:pPr>
        <w:spacing w:after="0" w:line="240" w:lineRule="auto"/>
      </w:pPr>
      <w:r>
        <w:separator/>
      </w:r>
    </w:p>
  </w:footnote>
  <w:footnote w:type="continuationSeparator" w:id="0">
    <w:p w14:paraId="3C7D48F8" w14:textId="77777777" w:rsidR="00D34B85" w:rsidRDefault="00D34B85" w:rsidP="009328B1">
      <w:pPr>
        <w:spacing w:after="0" w:line="240" w:lineRule="auto"/>
      </w:pPr>
      <w:r>
        <w:continuationSeparator/>
      </w:r>
    </w:p>
  </w:footnote>
  <w:footnote w:type="continuationNotice" w:id="1">
    <w:p w14:paraId="1A650341" w14:textId="77777777" w:rsidR="00D34B85" w:rsidRDefault="00D34B85">
      <w:pPr>
        <w:spacing w:after="0" w:line="240" w:lineRule="auto"/>
      </w:pPr>
    </w:p>
  </w:footnote>
  <w:footnote w:id="2">
    <w:p w14:paraId="14763E5D" w14:textId="7FE5584A" w:rsidR="00954CC1" w:rsidRPr="00954CC1" w:rsidRDefault="00954CC1">
      <w:pPr>
        <w:pStyle w:val="FootnoteText"/>
        <w:rPr>
          <w:lang w:val="en-US"/>
        </w:rPr>
      </w:pPr>
      <w:r>
        <w:rPr>
          <w:rStyle w:val="FootnoteReference"/>
        </w:rPr>
        <w:footnoteRef/>
      </w:r>
      <w:r>
        <w:t xml:space="preserve"> </w:t>
      </w:r>
      <w:r>
        <w:rPr>
          <w:lang w:val="en-US"/>
        </w:rPr>
        <w:t xml:space="preserve">Freshfields (2025), </w:t>
      </w:r>
      <w:hyperlink r:id="rId1" w:history="1">
        <w:r w:rsidRPr="00471AB3">
          <w:rPr>
            <w:rStyle w:val="Hyperlink"/>
            <w:lang w:val="en-US"/>
          </w:rPr>
          <w:t>https://riskandcompliance.freshfields.com/post/102k86k/trumps-tariffs-wto-consultations-requested-by-china-canada-and-the-european-un</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4B7D" w14:textId="0D789A80" w:rsidR="001A39F3" w:rsidRDefault="001A39F3">
    <w:pPr>
      <w:pStyle w:val="Header"/>
    </w:pPr>
    <w:r w:rsidRPr="001A39F3">
      <w:rPr>
        <w:rFonts w:ascii="Times New Roman" w:eastAsia="Times New Roman" w:hAnsi="Times New Roman" w:cs="Times New Roman"/>
        <w:noProof/>
        <w:color w:val="000000"/>
        <w:sz w:val="26"/>
        <w:szCs w:val="26"/>
        <w:lang w:eastAsia="en-GB"/>
      </w:rPr>
      <w:drawing>
        <wp:anchor distT="0" distB="0" distL="114300" distR="114300" simplePos="0" relativeHeight="251658240" behindDoc="1" locked="0" layoutInCell="1" allowOverlap="1" wp14:anchorId="66CBD566" wp14:editId="60697B3F">
          <wp:simplePos x="0" y="0"/>
          <wp:positionH relativeFrom="column">
            <wp:posOffset>5359400</wp:posOffset>
          </wp:positionH>
          <wp:positionV relativeFrom="paragraph">
            <wp:posOffset>-280035</wp:posOffset>
          </wp:positionV>
          <wp:extent cx="853440" cy="741867"/>
          <wp:effectExtent l="0" t="0" r="3810" b="127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3440" cy="7418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B54A3"/>
    <w:multiLevelType w:val="hybridMultilevel"/>
    <w:tmpl w:val="4F64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15451"/>
    <w:multiLevelType w:val="hybridMultilevel"/>
    <w:tmpl w:val="CF08E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DAD192"/>
    <w:multiLevelType w:val="hybridMultilevel"/>
    <w:tmpl w:val="FFFFFFFF"/>
    <w:lvl w:ilvl="0" w:tplc="7EDAD0C0">
      <w:start w:val="1"/>
      <w:numFmt w:val="bullet"/>
      <w:lvlText w:val=""/>
      <w:lvlJc w:val="left"/>
      <w:pPr>
        <w:ind w:left="720" w:hanging="360"/>
      </w:pPr>
      <w:rPr>
        <w:rFonts w:ascii="Symbol" w:hAnsi="Symbol" w:hint="default"/>
      </w:rPr>
    </w:lvl>
    <w:lvl w:ilvl="1" w:tplc="0E98598E">
      <w:start w:val="1"/>
      <w:numFmt w:val="bullet"/>
      <w:lvlText w:val="o"/>
      <w:lvlJc w:val="left"/>
      <w:pPr>
        <w:ind w:left="1440" w:hanging="360"/>
      </w:pPr>
      <w:rPr>
        <w:rFonts w:ascii="Courier New" w:hAnsi="Courier New" w:hint="default"/>
      </w:rPr>
    </w:lvl>
    <w:lvl w:ilvl="2" w:tplc="1F80BF88">
      <w:start w:val="1"/>
      <w:numFmt w:val="bullet"/>
      <w:lvlText w:val=""/>
      <w:lvlJc w:val="left"/>
      <w:pPr>
        <w:ind w:left="2160" w:hanging="360"/>
      </w:pPr>
      <w:rPr>
        <w:rFonts w:ascii="Wingdings" w:hAnsi="Wingdings" w:hint="default"/>
      </w:rPr>
    </w:lvl>
    <w:lvl w:ilvl="3" w:tplc="6132141C">
      <w:start w:val="1"/>
      <w:numFmt w:val="bullet"/>
      <w:lvlText w:val=""/>
      <w:lvlJc w:val="left"/>
      <w:pPr>
        <w:ind w:left="2880" w:hanging="360"/>
      </w:pPr>
      <w:rPr>
        <w:rFonts w:ascii="Symbol" w:hAnsi="Symbol" w:hint="default"/>
      </w:rPr>
    </w:lvl>
    <w:lvl w:ilvl="4" w:tplc="C6DA51C6">
      <w:start w:val="1"/>
      <w:numFmt w:val="bullet"/>
      <w:lvlText w:val="o"/>
      <w:lvlJc w:val="left"/>
      <w:pPr>
        <w:ind w:left="3600" w:hanging="360"/>
      </w:pPr>
      <w:rPr>
        <w:rFonts w:ascii="Courier New" w:hAnsi="Courier New" w:hint="default"/>
      </w:rPr>
    </w:lvl>
    <w:lvl w:ilvl="5" w:tplc="7C6A7A76">
      <w:start w:val="1"/>
      <w:numFmt w:val="bullet"/>
      <w:lvlText w:val=""/>
      <w:lvlJc w:val="left"/>
      <w:pPr>
        <w:ind w:left="4320" w:hanging="360"/>
      </w:pPr>
      <w:rPr>
        <w:rFonts w:ascii="Wingdings" w:hAnsi="Wingdings" w:hint="default"/>
      </w:rPr>
    </w:lvl>
    <w:lvl w:ilvl="6" w:tplc="7A129BBE">
      <w:start w:val="1"/>
      <w:numFmt w:val="bullet"/>
      <w:lvlText w:val=""/>
      <w:lvlJc w:val="left"/>
      <w:pPr>
        <w:ind w:left="5040" w:hanging="360"/>
      </w:pPr>
      <w:rPr>
        <w:rFonts w:ascii="Symbol" w:hAnsi="Symbol" w:hint="default"/>
      </w:rPr>
    </w:lvl>
    <w:lvl w:ilvl="7" w:tplc="52DE9FB6">
      <w:start w:val="1"/>
      <w:numFmt w:val="bullet"/>
      <w:lvlText w:val="o"/>
      <w:lvlJc w:val="left"/>
      <w:pPr>
        <w:ind w:left="5760" w:hanging="360"/>
      </w:pPr>
      <w:rPr>
        <w:rFonts w:ascii="Courier New" w:hAnsi="Courier New" w:hint="default"/>
      </w:rPr>
    </w:lvl>
    <w:lvl w:ilvl="8" w:tplc="7490502C">
      <w:start w:val="1"/>
      <w:numFmt w:val="bullet"/>
      <w:lvlText w:val=""/>
      <w:lvlJc w:val="left"/>
      <w:pPr>
        <w:ind w:left="6480" w:hanging="360"/>
      </w:pPr>
      <w:rPr>
        <w:rFonts w:ascii="Wingdings" w:hAnsi="Wingdings" w:hint="default"/>
      </w:rPr>
    </w:lvl>
  </w:abstractNum>
  <w:abstractNum w:abstractNumId="3" w15:restartNumberingAfterBreak="0">
    <w:nsid w:val="29DE257A"/>
    <w:multiLevelType w:val="hybridMultilevel"/>
    <w:tmpl w:val="FFFFFFFF"/>
    <w:lvl w:ilvl="0" w:tplc="0670315A">
      <w:start w:val="1"/>
      <w:numFmt w:val="bullet"/>
      <w:lvlText w:val=""/>
      <w:lvlJc w:val="left"/>
      <w:pPr>
        <w:ind w:left="720" w:hanging="360"/>
      </w:pPr>
      <w:rPr>
        <w:rFonts w:ascii="Symbol" w:hAnsi="Symbol" w:hint="default"/>
      </w:rPr>
    </w:lvl>
    <w:lvl w:ilvl="1" w:tplc="C8922F18">
      <w:start w:val="1"/>
      <w:numFmt w:val="bullet"/>
      <w:lvlText w:val="o"/>
      <w:lvlJc w:val="left"/>
      <w:pPr>
        <w:ind w:left="1440" w:hanging="360"/>
      </w:pPr>
      <w:rPr>
        <w:rFonts w:ascii="Courier New" w:hAnsi="Courier New" w:hint="default"/>
      </w:rPr>
    </w:lvl>
    <w:lvl w:ilvl="2" w:tplc="000040D2">
      <w:start w:val="1"/>
      <w:numFmt w:val="bullet"/>
      <w:lvlText w:val=""/>
      <w:lvlJc w:val="left"/>
      <w:pPr>
        <w:ind w:left="2160" w:hanging="360"/>
      </w:pPr>
      <w:rPr>
        <w:rFonts w:ascii="Wingdings" w:hAnsi="Wingdings" w:hint="default"/>
      </w:rPr>
    </w:lvl>
    <w:lvl w:ilvl="3" w:tplc="1C8EED7A">
      <w:start w:val="1"/>
      <w:numFmt w:val="bullet"/>
      <w:lvlText w:val=""/>
      <w:lvlJc w:val="left"/>
      <w:pPr>
        <w:ind w:left="2880" w:hanging="360"/>
      </w:pPr>
      <w:rPr>
        <w:rFonts w:ascii="Symbol" w:hAnsi="Symbol" w:hint="default"/>
      </w:rPr>
    </w:lvl>
    <w:lvl w:ilvl="4" w:tplc="1C8EBF48">
      <w:start w:val="1"/>
      <w:numFmt w:val="bullet"/>
      <w:lvlText w:val="o"/>
      <w:lvlJc w:val="left"/>
      <w:pPr>
        <w:ind w:left="3600" w:hanging="360"/>
      </w:pPr>
      <w:rPr>
        <w:rFonts w:ascii="Courier New" w:hAnsi="Courier New" w:hint="default"/>
      </w:rPr>
    </w:lvl>
    <w:lvl w:ilvl="5" w:tplc="E4FC573C">
      <w:start w:val="1"/>
      <w:numFmt w:val="bullet"/>
      <w:lvlText w:val=""/>
      <w:lvlJc w:val="left"/>
      <w:pPr>
        <w:ind w:left="4320" w:hanging="360"/>
      </w:pPr>
      <w:rPr>
        <w:rFonts w:ascii="Wingdings" w:hAnsi="Wingdings" w:hint="default"/>
      </w:rPr>
    </w:lvl>
    <w:lvl w:ilvl="6" w:tplc="07B620A8">
      <w:start w:val="1"/>
      <w:numFmt w:val="bullet"/>
      <w:lvlText w:val=""/>
      <w:lvlJc w:val="left"/>
      <w:pPr>
        <w:ind w:left="5040" w:hanging="360"/>
      </w:pPr>
      <w:rPr>
        <w:rFonts w:ascii="Symbol" w:hAnsi="Symbol" w:hint="default"/>
      </w:rPr>
    </w:lvl>
    <w:lvl w:ilvl="7" w:tplc="315E34A4">
      <w:start w:val="1"/>
      <w:numFmt w:val="bullet"/>
      <w:lvlText w:val="o"/>
      <w:lvlJc w:val="left"/>
      <w:pPr>
        <w:ind w:left="5760" w:hanging="360"/>
      </w:pPr>
      <w:rPr>
        <w:rFonts w:ascii="Courier New" w:hAnsi="Courier New" w:hint="default"/>
      </w:rPr>
    </w:lvl>
    <w:lvl w:ilvl="8" w:tplc="C52E01B4">
      <w:start w:val="1"/>
      <w:numFmt w:val="bullet"/>
      <w:lvlText w:val=""/>
      <w:lvlJc w:val="left"/>
      <w:pPr>
        <w:ind w:left="6480" w:hanging="360"/>
      </w:pPr>
      <w:rPr>
        <w:rFonts w:ascii="Wingdings" w:hAnsi="Wingdings" w:hint="default"/>
      </w:rPr>
    </w:lvl>
  </w:abstractNum>
  <w:abstractNum w:abstractNumId="4" w15:restartNumberingAfterBreak="0">
    <w:nsid w:val="2EDF6395"/>
    <w:multiLevelType w:val="hybridMultilevel"/>
    <w:tmpl w:val="3FA0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96E6C"/>
    <w:multiLevelType w:val="hybridMultilevel"/>
    <w:tmpl w:val="C42A20F0"/>
    <w:lvl w:ilvl="0" w:tplc="08090001">
      <w:start w:val="1"/>
      <w:numFmt w:val="bullet"/>
      <w:lvlText w:val=""/>
      <w:lvlJc w:val="left"/>
      <w:pPr>
        <w:ind w:left="720" w:hanging="360"/>
      </w:pPr>
      <w:rPr>
        <w:rFonts w:ascii="Symbol" w:hAnsi="Symbol" w:hint="default"/>
      </w:rPr>
    </w:lvl>
    <w:lvl w:ilvl="1" w:tplc="16FC3126">
      <w:numFmt w:val="bullet"/>
      <w:lvlText w:val="-"/>
      <w:lvlJc w:val="left"/>
      <w:pPr>
        <w:ind w:left="1800" w:hanging="720"/>
      </w:pPr>
      <w:rPr>
        <w:rFonts w:ascii="Verdana" w:eastAsiaTheme="minorHAnsi" w:hAnsi="Verdana"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34419"/>
    <w:multiLevelType w:val="hybridMultilevel"/>
    <w:tmpl w:val="79D45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C1095B"/>
    <w:multiLevelType w:val="hybridMultilevel"/>
    <w:tmpl w:val="2478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A9373B"/>
    <w:multiLevelType w:val="hybridMultilevel"/>
    <w:tmpl w:val="086C7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9062C9"/>
    <w:multiLevelType w:val="hybridMultilevel"/>
    <w:tmpl w:val="1CF0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D5299D"/>
    <w:multiLevelType w:val="hybridMultilevel"/>
    <w:tmpl w:val="64AC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9D7F87"/>
    <w:multiLevelType w:val="hybridMultilevel"/>
    <w:tmpl w:val="4BD45E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FD02344"/>
    <w:multiLevelType w:val="hybridMultilevel"/>
    <w:tmpl w:val="4B58F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0813421">
    <w:abstractNumId w:val="2"/>
  </w:num>
  <w:num w:numId="2" w16cid:durableId="1500657813">
    <w:abstractNumId w:val="5"/>
  </w:num>
  <w:num w:numId="3" w16cid:durableId="963117286">
    <w:abstractNumId w:val="7"/>
  </w:num>
  <w:num w:numId="4" w16cid:durableId="19362655">
    <w:abstractNumId w:val="8"/>
  </w:num>
  <w:num w:numId="5" w16cid:durableId="34623458">
    <w:abstractNumId w:val="10"/>
  </w:num>
  <w:num w:numId="6" w16cid:durableId="623081685">
    <w:abstractNumId w:val="9"/>
  </w:num>
  <w:num w:numId="7" w16cid:durableId="1205017637">
    <w:abstractNumId w:val="11"/>
  </w:num>
  <w:num w:numId="8" w16cid:durableId="1764185461">
    <w:abstractNumId w:val="4"/>
  </w:num>
  <w:num w:numId="9" w16cid:durableId="1464691625">
    <w:abstractNumId w:val="12"/>
  </w:num>
  <w:num w:numId="10" w16cid:durableId="1910074342">
    <w:abstractNumId w:val="1"/>
  </w:num>
  <w:num w:numId="11" w16cid:durableId="979378772">
    <w:abstractNumId w:val="6"/>
  </w:num>
  <w:num w:numId="12" w16cid:durableId="362754795">
    <w:abstractNumId w:val="3"/>
  </w:num>
  <w:num w:numId="13" w16cid:durableId="44396081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cwMjMxMzY3NTAwNjBR0lEKTi0uzszPAykwMq4FAO5qYlYtAAAA"/>
  </w:docVars>
  <w:rsids>
    <w:rsidRoot w:val="006C7582"/>
    <w:rsid w:val="00000702"/>
    <w:rsid w:val="00001AC6"/>
    <w:rsid w:val="00003645"/>
    <w:rsid w:val="000047E8"/>
    <w:rsid w:val="0000490C"/>
    <w:rsid w:val="00004A02"/>
    <w:rsid w:val="000050A8"/>
    <w:rsid w:val="00011968"/>
    <w:rsid w:val="00011B71"/>
    <w:rsid w:val="0001233C"/>
    <w:rsid w:val="00013CA8"/>
    <w:rsid w:val="00014835"/>
    <w:rsid w:val="00015055"/>
    <w:rsid w:val="0001590A"/>
    <w:rsid w:val="00015DCB"/>
    <w:rsid w:val="00017E53"/>
    <w:rsid w:val="000202B4"/>
    <w:rsid w:val="00022AFD"/>
    <w:rsid w:val="00023E26"/>
    <w:rsid w:val="00024BA7"/>
    <w:rsid w:val="000252F2"/>
    <w:rsid w:val="00025306"/>
    <w:rsid w:val="00026D29"/>
    <w:rsid w:val="0002784A"/>
    <w:rsid w:val="00027F97"/>
    <w:rsid w:val="000306F8"/>
    <w:rsid w:val="00031959"/>
    <w:rsid w:val="00033AF7"/>
    <w:rsid w:val="00033D15"/>
    <w:rsid w:val="00034D59"/>
    <w:rsid w:val="00035B58"/>
    <w:rsid w:val="00036544"/>
    <w:rsid w:val="00036673"/>
    <w:rsid w:val="00037B6B"/>
    <w:rsid w:val="00037DD4"/>
    <w:rsid w:val="00037F46"/>
    <w:rsid w:val="0004028E"/>
    <w:rsid w:val="00041C59"/>
    <w:rsid w:val="00045E84"/>
    <w:rsid w:val="00047588"/>
    <w:rsid w:val="000479ED"/>
    <w:rsid w:val="00050457"/>
    <w:rsid w:val="00052144"/>
    <w:rsid w:val="00052492"/>
    <w:rsid w:val="0005364A"/>
    <w:rsid w:val="00053A08"/>
    <w:rsid w:val="000571C4"/>
    <w:rsid w:val="00057376"/>
    <w:rsid w:val="00061573"/>
    <w:rsid w:val="00063F4E"/>
    <w:rsid w:val="00065D54"/>
    <w:rsid w:val="0007057E"/>
    <w:rsid w:val="00071A93"/>
    <w:rsid w:val="00072265"/>
    <w:rsid w:val="000727B6"/>
    <w:rsid w:val="0007340C"/>
    <w:rsid w:val="0007399B"/>
    <w:rsid w:val="00074B4C"/>
    <w:rsid w:val="00075A52"/>
    <w:rsid w:val="00076302"/>
    <w:rsid w:val="0007635E"/>
    <w:rsid w:val="00076DC2"/>
    <w:rsid w:val="000777E1"/>
    <w:rsid w:val="00077987"/>
    <w:rsid w:val="00080AA9"/>
    <w:rsid w:val="00080F74"/>
    <w:rsid w:val="00080FB8"/>
    <w:rsid w:val="00081762"/>
    <w:rsid w:val="00083DA4"/>
    <w:rsid w:val="0008409B"/>
    <w:rsid w:val="00084A7F"/>
    <w:rsid w:val="00084CA0"/>
    <w:rsid w:val="00084F5D"/>
    <w:rsid w:val="00085E8E"/>
    <w:rsid w:val="00086E65"/>
    <w:rsid w:val="00090289"/>
    <w:rsid w:val="00090A77"/>
    <w:rsid w:val="00094914"/>
    <w:rsid w:val="000953CD"/>
    <w:rsid w:val="0009596D"/>
    <w:rsid w:val="00096251"/>
    <w:rsid w:val="00096951"/>
    <w:rsid w:val="00096BA6"/>
    <w:rsid w:val="00096D7A"/>
    <w:rsid w:val="000A07D6"/>
    <w:rsid w:val="000A0969"/>
    <w:rsid w:val="000A18A3"/>
    <w:rsid w:val="000A1A14"/>
    <w:rsid w:val="000A1D30"/>
    <w:rsid w:val="000A2FF5"/>
    <w:rsid w:val="000A3B01"/>
    <w:rsid w:val="000A4180"/>
    <w:rsid w:val="000A4DEE"/>
    <w:rsid w:val="000A60C2"/>
    <w:rsid w:val="000A739D"/>
    <w:rsid w:val="000A76AB"/>
    <w:rsid w:val="000B0926"/>
    <w:rsid w:val="000B0D6A"/>
    <w:rsid w:val="000B3762"/>
    <w:rsid w:val="000B472A"/>
    <w:rsid w:val="000B4A05"/>
    <w:rsid w:val="000B61B8"/>
    <w:rsid w:val="000B65AA"/>
    <w:rsid w:val="000B7F87"/>
    <w:rsid w:val="000C095C"/>
    <w:rsid w:val="000C1133"/>
    <w:rsid w:val="000C1975"/>
    <w:rsid w:val="000C1B9C"/>
    <w:rsid w:val="000C4E54"/>
    <w:rsid w:val="000C57FC"/>
    <w:rsid w:val="000C7465"/>
    <w:rsid w:val="000C767D"/>
    <w:rsid w:val="000D04ED"/>
    <w:rsid w:val="000D17B9"/>
    <w:rsid w:val="000D4DD0"/>
    <w:rsid w:val="000D50C0"/>
    <w:rsid w:val="000D7C79"/>
    <w:rsid w:val="000E0595"/>
    <w:rsid w:val="000E1360"/>
    <w:rsid w:val="000E39C3"/>
    <w:rsid w:val="000E3DBE"/>
    <w:rsid w:val="000E4F4A"/>
    <w:rsid w:val="000E5631"/>
    <w:rsid w:val="000E6085"/>
    <w:rsid w:val="000F0ED9"/>
    <w:rsid w:val="000F0FBF"/>
    <w:rsid w:val="000F30FA"/>
    <w:rsid w:val="000F4066"/>
    <w:rsid w:val="000F6604"/>
    <w:rsid w:val="000F66A3"/>
    <w:rsid w:val="000F77F8"/>
    <w:rsid w:val="000F7EBA"/>
    <w:rsid w:val="00100587"/>
    <w:rsid w:val="00100D18"/>
    <w:rsid w:val="00101370"/>
    <w:rsid w:val="001015B5"/>
    <w:rsid w:val="0010163A"/>
    <w:rsid w:val="001024E9"/>
    <w:rsid w:val="00102E4D"/>
    <w:rsid w:val="00103B18"/>
    <w:rsid w:val="00103BAB"/>
    <w:rsid w:val="00104D8F"/>
    <w:rsid w:val="0010597A"/>
    <w:rsid w:val="00106EEB"/>
    <w:rsid w:val="00107488"/>
    <w:rsid w:val="001078B3"/>
    <w:rsid w:val="001101C7"/>
    <w:rsid w:val="00110505"/>
    <w:rsid w:val="00110C39"/>
    <w:rsid w:val="00111BC6"/>
    <w:rsid w:val="00111E52"/>
    <w:rsid w:val="001127C9"/>
    <w:rsid w:val="001143B7"/>
    <w:rsid w:val="001152BC"/>
    <w:rsid w:val="00117B5B"/>
    <w:rsid w:val="00117EF7"/>
    <w:rsid w:val="0012027F"/>
    <w:rsid w:val="001203FE"/>
    <w:rsid w:val="00120C57"/>
    <w:rsid w:val="001212C3"/>
    <w:rsid w:val="0012181C"/>
    <w:rsid w:val="00122C45"/>
    <w:rsid w:val="001235D1"/>
    <w:rsid w:val="00124B5A"/>
    <w:rsid w:val="0012712C"/>
    <w:rsid w:val="00127646"/>
    <w:rsid w:val="00130774"/>
    <w:rsid w:val="001309E9"/>
    <w:rsid w:val="00132723"/>
    <w:rsid w:val="001336A6"/>
    <w:rsid w:val="00133D97"/>
    <w:rsid w:val="001343F7"/>
    <w:rsid w:val="00134684"/>
    <w:rsid w:val="00134C0B"/>
    <w:rsid w:val="00134FC0"/>
    <w:rsid w:val="001363C9"/>
    <w:rsid w:val="00136BC1"/>
    <w:rsid w:val="00137FB5"/>
    <w:rsid w:val="00140B2F"/>
    <w:rsid w:val="001411A3"/>
    <w:rsid w:val="00141485"/>
    <w:rsid w:val="00142811"/>
    <w:rsid w:val="00142FA1"/>
    <w:rsid w:val="00143709"/>
    <w:rsid w:val="00143AE1"/>
    <w:rsid w:val="001441B1"/>
    <w:rsid w:val="00145192"/>
    <w:rsid w:val="00145642"/>
    <w:rsid w:val="0014571D"/>
    <w:rsid w:val="00146270"/>
    <w:rsid w:val="001462AE"/>
    <w:rsid w:val="0014654C"/>
    <w:rsid w:val="0014724F"/>
    <w:rsid w:val="001472F4"/>
    <w:rsid w:val="0014737A"/>
    <w:rsid w:val="001514F0"/>
    <w:rsid w:val="001520B0"/>
    <w:rsid w:val="0015261F"/>
    <w:rsid w:val="00153404"/>
    <w:rsid w:val="001534CD"/>
    <w:rsid w:val="001566E9"/>
    <w:rsid w:val="00160313"/>
    <w:rsid w:val="0016134E"/>
    <w:rsid w:val="00161A9D"/>
    <w:rsid w:val="00162ADF"/>
    <w:rsid w:val="00163346"/>
    <w:rsid w:val="00166429"/>
    <w:rsid w:val="00166A61"/>
    <w:rsid w:val="001673B6"/>
    <w:rsid w:val="00167704"/>
    <w:rsid w:val="001678F2"/>
    <w:rsid w:val="001700D0"/>
    <w:rsid w:val="00170EE8"/>
    <w:rsid w:val="00171C6E"/>
    <w:rsid w:val="00173169"/>
    <w:rsid w:val="00173F22"/>
    <w:rsid w:val="001743EE"/>
    <w:rsid w:val="00174CE0"/>
    <w:rsid w:val="00176678"/>
    <w:rsid w:val="00177B25"/>
    <w:rsid w:val="00177CA4"/>
    <w:rsid w:val="00177E42"/>
    <w:rsid w:val="00180584"/>
    <w:rsid w:val="00181703"/>
    <w:rsid w:val="00182E46"/>
    <w:rsid w:val="00183316"/>
    <w:rsid w:val="001833B4"/>
    <w:rsid w:val="001839C3"/>
    <w:rsid w:val="00184947"/>
    <w:rsid w:val="00185A74"/>
    <w:rsid w:val="0018698A"/>
    <w:rsid w:val="001869EC"/>
    <w:rsid w:val="00186A84"/>
    <w:rsid w:val="00187F1D"/>
    <w:rsid w:val="001912C4"/>
    <w:rsid w:val="0019174B"/>
    <w:rsid w:val="00191FAA"/>
    <w:rsid w:val="0019215B"/>
    <w:rsid w:val="00192482"/>
    <w:rsid w:val="001926F0"/>
    <w:rsid w:val="00192AB9"/>
    <w:rsid w:val="00192FF6"/>
    <w:rsid w:val="001939F5"/>
    <w:rsid w:val="0019421C"/>
    <w:rsid w:val="001942A4"/>
    <w:rsid w:val="00195402"/>
    <w:rsid w:val="00195C17"/>
    <w:rsid w:val="00195DE7"/>
    <w:rsid w:val="001962AF"/>
    <w:rsid w:val="001962EA"/>
    <w:rsid w:val="0019734F"/>
    <w:rsid w:val="001A036E"/>
    <w:rsid w:val="001A0F44"/>
    <w:rsid w:val="001A1775"/>
    <w:rsid w:val="001A1783"/>
    <w:rsid w:val="001A20A0"/>
    <w:rsid w:val="001A210E"/>
    <w:rsid w:val="001A2A46"/>
    <w:rsid w:val="001A3591"/>
    <w:rsid w:val="001A35DE"/>
    <w:rsid w:val="001A39F3"/>
    <w:rsid w:val="001A4D2D"/>
    <w:rsid w:val="001A50C9"/>
    <w:rsid w:val="001A50E7"/>
    <w:rsid w:val="001A59C1"/>
    <w:rsid w:val="001A6CE5"/>
    <w:rsid w:val="001A752A"/>
    <w:rsid w:val="001A793F"/>
    <w:rsid w:val="001A7AA7"/>
    <w:rsid w:val="001A7AF8"/>
    <w:rsid w:val="001A7F62"/>
    <w:rsid w:val="001B0BA8"/>
    <w:rsid w:val="001B329B"/>
    <w:rsid w:val="001B53F1"/>
    <w:rsid w:val="001B58F6"/>
    <w:rsid w:val="001B5C50"/>
    <w:rsid w:val="001B63E4"/>
    <w:rsid w:val="001B7058"/>
    <w:rsid w:val="001B7497"/>
    <w:rsid w:val="001B7DFC"/>
    <w:rsid w:val="001C04FB"/>
    <w:rsid w:val="001C5ABB"/>
    <w:rsid w:val="001C5D58"/>
    <w:rsid w:val="001D0742"/>
    <w:rsid w:val="001D0DBD"/>
    <w:rsid w:val="001D2527"/>
    <w:rsid w:val="001D2A8C"/>
    <w:rsid w:val="001D2D84"/>
    <w:rsid w:val="001D38A3"/>
    <w:rsid w:val="001D4ABE"/>
    <w:rsid w:val="001D5499"/>
    <w:rsid w:val="001D5910"/>
    <w:rsid w:val="001D6F78"/>
    <w:rsid w:val="001D7073"/>
    <w:rsid w:val="001E0EE1"/>
    <w:rsid w:val="001E10B9"/>
    <w:rsid w:val="001E23F3"/>
    <w:rsid w:val="001E4B50"/>
    <w:rsid w:val="001E54DB"/>
    <w:rsid w:val="001E56A6"/>
    <w:rsid w:val="001E5711"/>
    <w:rsid w:val="001E5C3E"/>
    <w:rsid w:val="001E66C3"/>
    <w:rsid w:val="001E6ED0"/>
    <w:rsid w:val="001E7C22"/>
    <w:rsid w:val="001F0826"/>
    <w:rsid w:val="001F0F95"/>
    <w:rsid w:val="001F1674"/>
    <w:rsid w:val="001F2F7D"/>
    <w:rsid w:val="001F39EB"/>
    <w:rsid w:val="001F4837"/>
    <w:rsid w:val="001F5A58"/>
    <w:rsid w:val="001F62D5"/>
    <w:rsid w:val="001F6E3D"/>
    <w:rsid w:val="002000CB"/>
    <w:rsid w:val="002006AB"/>
    <w:rsid w:val="00202BDE"/>
    <w:rsid w:val="00202E6E"/>
    <w:rsid w:val="002037A2"/>
    <w:rsid w:val="002038EB"/>
    <w:rsid w:val="00203D13"/>
    <w:rsid w:val="00206142"/>
    <w:rsid w:val="00206CBA"/>
    <w:rsid w:val="00207CDE"/>
    <w:rsid w:val="00207EAF"/>
    <w:rsid w:val="00210C4D"/>
    <w:rsid w:val="00211863"/>
    <w:rsid w:val="00213270"/>
    <w:rsid w:val="00213384"/>
    <w:rsid w:val="0021378A"/>
    <w:rsid w:val="00214533"/>
    <w:rsid w:val="00214E0C"/>
    <w:rsid w:val="0021665D"/>
    <w:rsid w:val="0021757A"/>
    <w:rsid w:val="00220E31"/>
    <w:rsid w:val="00221498"/>
    <w:rsid w:val="00221C7B"/>
    <w:rsid w:val="00222B39"/>
    <w:rsid w:val="00223C63"/>
    <w:rsid w:val="00223D0B"/>
    <w:rsid w:val="00223FD6"/>
    <w:rsid w:val="00224253"/>
    <w:rsid w:val="0023181A"/>
    <w:rsid w:val="00231D75"/>
    <w:rsid w:val="00234545"/>
    <w:rsid w:val="00234A13"/>
    <w:rsid w:val="00235D44"/>
    <w:rsid w:val="00237146"/>
    <w:rsid w:val="002372E4"/>
    <w:rsid w:val="002372E6"/>
    <w:rsid w:val="002413BE"/>
    <w:rsid w:val="00241CE1"/>
    <w:rsid w:val="00242F4C"/>
    <w:rsid w:val="00243200"/>
    <w:rsid w:val="00243D1F"/>
    <w:rsid w:val="00243F72"/>
    <w:rsid w:val="002443EE"/>
    <w:rsid w:val="00246D05"/>
    <w:rsid w:val="00250188"/>
    <w:rsid w:val="002543DD"/>
    <w:rsid w:val="0025468F"/>
    <w:rsid w:val="0025632C"/>
    <w:rsid w:val="00256A4B"/>
    <w:rsid w:val="0026052E"/>
    <w:rsid w:val="00260C7E"/>
    <w:rsid w:val="002615FB"/>
    <w:rsid w:val="00261CE5"/>
    <w:rsid w:val="00262E7A"/>
    <w:rsid w:val="002641D2"/>
    <w:rsid w:val="00265D90"/>
    <w:rsid w:val="002666AC"/>
    <w:rsid w:val="002677AD"/>
    <w:rsid w:val="002678CE"/>
    <w:rsid w:val="00267ABF"/>
    <w:rsid w:val="00270563"/>
    <w:rsid w:val="002716A0"/>
    <w:rsid w:val="00271928"/>
    <w:rsid w:val="00271A05"/>
    <w:rsid w:val="00276144"/>
    <w:rsid w:val="00276306"/>
    <w:rsid w:val="0027637F"/>
    <w:rsid w:val="002803D2"/>
    <w:rsid w:val="00280D4A"/>
    <w:rsid w:val="002828EC"/>
    <w:rsid w:val="002831DA"/>
    <w:rsid w:val="00283380"/>
    <w:rsid w:val="0028369F"/>
    <w:rsid w:val="00283A68"/>
    <w:rsid w:val="00283E33"/>
    <w:rsid w:val="002847BB"/>
    <w:rsid w:val="002848F9"/>
    <w:rsid w:val="002851D8"/>
    <w:rsid w:val="00285874"/>
    <w:rsid w:val="00286E8C"/>
    <w:rsid w:val="00287184"/>
    <w:rsid w:val="002904BC"/>
    <w:rsid w:val="002908B9"/>
    <w:rsid w:val="00290E8C"/>
    <w:rsid w:val="0029179B"/>
    <w:rsid w:val="00292129"/>
    <w:rsid w:val="00293EE6"/>
    <w:rsid w:val="00294847"/>
    <w:rsid w:val="00294910"/>
    <w:rsid w:val="00294C92"/>
    <w:rsid w:val="0029504D"/>
    <w:rsid w:val="0029551C"/>
    <w:rsid w:val="002A1E82"/>
    <w:rsid w:val="002A2CFB"/>
    <w:rsid w:val="002A3470"/>
    <w:rsid w:val="002A34D2"/>
    <w:rsid w:val="002A3F0F"/>
    <w:rsid w:val="002A4832"/>
    <w:rsid w:val="002A4A1E"/>
    <w:rsid w:val="002A51CB"/>
    <w:rsid w:val="002A5285"/>
    <w:rsid w:val="002A58E5"/>
    <w:rsid w:val="002A5C1A"/>
    <w:rsid w:val="002A6241"/>
    <w:rsid w:val="002A685E"/>
    <w:rsid w:val="002A707C"/>
    <w:rsid w:val="002A7E2D"/>
    <w:rsid w:val="002B200E"/>
    <w:rsid w:val="002B22A1"/>
    <w:rsid w:val="002B45D7"/>
    <w:rsid w:val="002B59CF"/>
    <w:rsid w:val="002B5F5E"/>
    <w:rsid w:val="002B663E"/>
    <w:rsid w:val="002B7082"/>
    <w:rsid w:val="002B7BD7"/>
    <w:rsid w:val="002B7CB0"/>
    <w:rsid w:val="002B7CE7"/>
    <w:rsid w:val="002C33B1"/>
    <w:rsid w:val="002C3415"/>
    <w:rsid w:val="002C3B0E"/>
    <w:rsid w:val="002C4101"/>
    <w:rsid w:val="002C6816"/>
    <w:rsid w:val="002C779B"/>
    <w:rsid w:val="002C7CBC"/>
    <w:rsid w:val="002D351E"/>
    <w:rsid w:val="002D4A06"/>
    <w:rsid w:val="002D4D4A"/>
    <w:rsid w:val="002D541A"/>
    <w:rsid w:val="002D6B00"/>
    <w:rsid w:val="002E0E2A"/>
    <w:rsid w:val="002E1DCB"/>
    <w:rsid w:val="002E21DB"/>
    <w:rsid w:val="002E2BFA"/>
    <w:rsid w:val="002E32DC"/>
    <w:rsid w:val="002E42B7"/>
    <w:rsid w:val="002E42F7"/>
    <w:rsid w:val="002E540B"/>
    <w:rsid w:val="002E612A"/>
    <w:rsid w:val="002F03D3"/>
    <w:rsid w:val="002F1BD8"/>
    <w:rsid w:val="002F3309"/>
    <w:rsid w:val="002F3D42"/>
    <w:rsid w:val="002F45A0"/>
    <w:rsid w:val="002F4C4C"/>
    <w:rsid w:val="002F5EE0"/>
    <w:rsid w:val="002F642D"/>
    <w:rsid w:val="002F6A0E"/>
    <w:rsid w:val="00300729"/>
    <w:rsid w:val="0030088C"/>
    <w:rsid w:val="00300CF5"/>
    <w:rsid w:val="00300E5D"/>
    <w:rsid w:val="003013EE"/>
    <w:rsid w:val="00302D99"/>
    <w:rsid w:val="00304062"/>
    <w:rsid w:val="0030426B"/>
    <w:rsid w:val="00304691"/>
    <w:rsid w:val="00304C62"/>
    <w:rsid w:val="00305AE1"/>
    <w:rsid w:val="00311C93"/>
    <w:rsid w:val="003120B4"/>
    <w:rsid w:val="00312B4A"/>
    <w:rsid w:val="0031303C"/>
    <w:rsid w:val="00314038"/>
    <w:rsid w:val="003147FA"/>
    <w:rsid w:val="00314840"/>
    <w:rsid w:val="00316794"/>
    <w:rsid w:val="00317825"/>
    <w:rsid w:val="00317E30"/>
    <w:rsid w:val="00322E28"/>
    <w:rsid w:val="003253FB"/>
    <w:rsid w:val="00325C5B"/>
    <w:rsid w:val="00326168"/>
    <w:rsid w:val="003268D4"/>
    <w:rsid w:val="0032731A"/>
    <w:rsid w:val="00330A98"/>
    <w:rsid w:val="00331F68"/>
    <w:rsid w:val="00332026"/>
    <w:rsid w:val="00333D75"/>
    <w:rsid w:val="00334217"/>
    <w:rsid w:val="00334F95"/>
    <w:rsid w:val="00336936"/>
    <w:rsid w:val="0034380A"/>
    <w:rsid w:val="00344867"/>
    <w:rsid w:val="00346342"/>
    <w:rsid w:val="00346440"/>
    <w:rsid w:val="003476BD"/>
    <w:rsid w:val="0034785E"/>
    <w:rsid w:val="00351449"/>
    <w:rsid w:val="00351BC8"/>
    <w:rsid w:val="003521B0"/>
    <w:rsid w:val="00352ADC"/>
    <w:rsid w:val="00353DB6"/>
    <w:rsid w:val="003550E0"/>
    <w:rsid w:val="003551B6"/>
    <w:rsid w:val="00360634"/>
    <w:rsid w:val="003611DC"/>
    <w:rsid w:val="00361795"/>
    <w:rsid w:val="0036208B"/>
    <w:rsid w:val="003662FB"/>
    <w:rsid w:val="00366CB5"/>
    <w:rsid w:val="00366E6C"/>
    <w:rsid w:val="0037007A"/>
    <w:rsid w:val="00370737"/>
    <w:rsid w:val="00371513"/>
    <w:rsid w:val="003720D4"/>
    <w:rsid w:val="00372E9E"/>
    <w:rsid w:val="00373E0B"/>
    <w:rsid w:val="003742B9"/>
    <w:rsid w:val="00374471"/>
    <w:rsid w:val="003744FA"/>
    <w:rsid w:val="00375577"/>
    <w:rsid w:val="0037567A"/>
    <w:rsid w:val="00376858"/>
    <w:rsid w:val="00377270"/>
    <w:rsid w:val="003803D5"/>
    <w:rsid w:val="00380C2B"/>
    <w:rsid w:val="00380C78"/>
    <w:rsid w:val="00380D1D"/>
    <w:rsid w:val="00382C1C"/>
    <w:rsid w:val="00382C45"/>
    <w:rsid w:val="00382FB5"/>
    <w:rsid w:val="00384905"/>
    <w:rsid w:val="00385EAE"/>
    <w:rsid w:val="00387BEC"/>
    <w:rsid w:val="00387D07"/>
    <w:rsid w:val="00392901"/>
    <w:rsid w:val="00392933"/>
    <w:rsid w:val="0039318D"/>
    <w:rsid w:val="003931C9"/>
    <w:rsid w:val="00393AFF"/>
    <w:rsid w:val="00394BEA"/>
    <w:rsid w:val="00396995"/>
    <w:rsid w:val="00397060"/>
    <w:rsid w:val="003A074C"/>
    <w:rsid w:val="003A16DF"/>
    <w:rsid w:val="003A4737"/>
    <w:rsid w:val="003A5356"/>
    <w:rsid w:val="003A5EC0"/>
    <w:rsid w:val="003A702F"/>
    <w:rsid w:val="003A7203"/>
    <w:rsid w:val="003A75DE"/>
    <w:rsid w:val="003B0247"/>
    <w:rsid w:val="003B03AD"/>
    <w:rsid w:val="003B0A83"/>
    <w:rsid w:val="003B1EB5"/>
    <w:rsid w:val="003B25AB"/>
    <w:rsid w:val="003B2824"/>
    <w:rsid w:val="003B389B"/>
    <w:rsid w:val="003B38B3"/>
    <w:rsid w:val="003B462E"/>
    <w:rsid w:val="003B4771"/>
    <w:rsid w:val="003B4CAF"/>
    <w:rsid w:val="003B668B"/>
    <w:rsid w:val="003B6B24"/>
    <w:rsid w:val="003B74EA"/>
    <w:rsid w:val="003B7DBF"/>
    <w:rsid w:val="003C0CCC"/>
    <w:rsid w:val="003C0ECA"/>
    <w:rsid w:val="003C150C"/>
    <w:rsid w:val="003C2005"/>
    <w:rsid w:val="003C20B1"/>
    <w:rsid w:val="003C27A2"/>
    <w:rsid w:val="003C302E"/>
    <w:rsid w:val="003C32B1"/>
    <w:rsid w:val="003C5F08"/>
    <w:rsid w:val="003C6A93"/>
    <w:rsid w:val="003C77B6"/>
    <w:rsid w:val="003D02D7"/>
    <w:rsid w:val="003D0624"/>
    <w:rsid w:val="003D06C9"/>
    <w:rsid w:val="003D14F1"/>
    <w:rsid w:val="003D1601"/>
    <w:rsid w:val="003D21A1"/>
    <w:rsid w:val="003D3CE4"/>
    <w:rsid w:val="003D48EB"/>
    <w:rsid w:val="003D590F"/>
    <w:rsid w:val="003D6CFE"/>
    <w:rsid w:val="003D6FCC"/>
    <w:rsid w:val="003D787C"/>
    <w:rsid w:val="003D7EA9"/>
    <w:rsid w:val="003E1FFE"/>
    <w:rsid w:val="003E329C"/>
    <w:rsid w:val="003E3A10"/>
    <w:rsid w:val="003E3D54"/>
    <w:rsid w:val="003E450E"/>
    <w:rsid w:val="003E4858"/>
    <w:rsid w:val="003E4947"/>
    <w:rsid w:val="003E50A2"/>
    <w:rsid w:val="003E6911"/>
    <w:rsid w:val="003E6D00"/>
    <w:rsid w:val="003E7875"/>
    <w:rsid w:val="003E7BF9"/>
    <w:rsid w:val="003F12C5"/>
    <w:rsid w:val="003F181D"/>
    <w:rsid w:val="003F25CA"/>
    <w:rsid w:val="003F2CD1"/>
    <w:rsid w:val="003F3149"/>
    <w:rsid w:val="003F3931"/>
    <w:rsid w:val="003F3B2D"/>
    <w:rsid w:val="003F5022"/>
    <w:rsid w:val="003F571C"/>
    <w:rsid w:val="003F5730"/>
    <w:rsid w:val="003F60DF"/>
    <w:rsid w:val="003F6A81"/>
    <w:rsid w:val="0040001F"/>
    <w:rsid w:val="0040024E"/>
    <w:rsid w:val="00400BA7"/>
    <w:rsid w:val="00401821"/>
    <w:rsid w:val="00401B6F"/>
    <w:rsid w:val="00401BDE"/>
    <w:rsid w:val="00402379"/>
    <w:rsid w:val="00402C50"/>
    <w:rsid w:val="004030AF"/>
    <w:rsid w:val="004033FC"/>
    <w:rsid w:val="00403A1B"/>
    <w:rsid w:val="00403CB1"/>
    <w:rsid w:val="00403DB9"/>
    <w:rsid w:val="00403EDB"/>
    <w:rsid w:val="0040470E"/>
    <w:rsid w:val="00405D9C"/>
    <w:rsid w:val="00406CD7"/>
    <w:rsid w:val="00406F22"/>
    <w:rsid w:val="0040715E"/>
    <w:rsid w:val="00407946"/>
    <w:rsid w:val="00407DF6"/>
    <w:rsid w:val="00412B4D"/>
    <w:rsid w:val="00412E7A"/>
    <w:rsid w:val="004153D2"/>
    <w:rsid w:val="004174AF"/>
    <w:rsid w:val="00417B8B"/>
    <w:rsid w:val="004206F2"/>
    <w:rsid w:val="0042130B"/>
    <w:rsid w:val="0042136F"/>
    <w:rsid w:val="00421D65"/>
    <w:rsid w:val="0042348C"/>
    <w:rsid w:val="00423B92"/>
    <w:rsid w:val="00425120"/>
    <w:rsid w:val="00425C73"/>
    <w:rsid w:val="00425FE5"/>
    <w:rsid w:val="0042674D"/>
    <w:rsid w:val="00426D26"/>
    <w:rsid w:val="004308AE"/>
    <w:rsid w:val="0043090B"/>
    <w:rsid w:val="00431C09"/>
    <w:rsid w:val="00431CFD"/>
    <w:rsid w:val="004328D5"/>
    <w:rsid w:val="0043547C"/>
    <w:rsid w:val="00435C48"/>
    <w:rsid w:val="004370EC"/>
    <w:rsid w:val="0044076F"/>
    <w:rsid w:val="00440D0C"/>
    <w:rsid w:val="00441219"/>
    <w:rsid w:val="004412A6"/>
    <w:rsid w:val="00441AC3"/>
    <w:rsid w:val="0044554A"/>
    <w:rsid w:val="0044554C"/>
    <w:rsid w:val="004467ED"/>
    <w:rsid w:val="0045020B"/>
    <w:rsid w:val="0045052C"/>
    <w:rsid w:val="004507DD"/>
    <w:rsid w:val="00452685"/>
    <w:rsid w:val="00452844"/>
    <w:rsid w:val="00453585"/>
    <w:rsid w:val="00453A45"/>
    <w:rsid w:val="00454C32"/>
    <w:rsid w:val="00455076"/>
    <w:rsid w:val="00455D52"/>
    <w:rsid w:val="00456AAB"/>
    <w:rsid w:val="00456B9F"/>
    <w:rsid w:val="004573A3"/>
    <w:rsid w:val="00457469"/>
    <w:rsid w:val="00461C0F"/>
    <w:rsid w:val="004643A4"/>
    <w:rsid w:val="00464DF7"/>
    <w:rsid w:val="004652B8"/>
    <w:rsid w:val="004656F5"/>
    <w:rsid w:val="0046572B"/>
    <w:rsid w:val="00466F73"/>
    <w:rsid w:val="004670E4"/>
    <w:rsid w:val="004676FF"/>
    <w:rsid w:val="00467BC6"/>
    <w:rsid w:val="00470AB8"/>
    <w:rsid w:val="00471692"/>
    <w:rsid w:val="00472073"/>
    <w:rsid w:val="004739B1"/>
    <w:rsid w:val="00473DB0"/>
    <w:rsid w:val="0047435F"/>
    <w:rsid w:val="00474C63"/>
    <w:rsid w:val="00474C76"/>
    <w:rsid w:val="00474E53"/>
    <w:rsid w:val="00474E83"/>
    <w:rsid w:val="00475399"/>
    <w:rsid w:val="00475D07"/>
    <w:rsid w:val="00476287"/>
    <w:rsid w:val="004767C1"/>
    <w:rsid w:val="004805F5"/>
    <w:rsid w:val="00481070"/>
    <w:rsid w:val="00481917"/>
    <w:rsid w:val="00481C7C"/>
    <w:rsid w:val="004839DF"/>
    <w:rsid w:val="00484003"/>
    <w:rsid w:val="004859BC"/>
    <w:rsid w:val="004870A5"/>
    <w:rsid w:val="0048798E"/>
    <w:rsid w:val="00490BE1"/>
    <w:rsid w:val="00493115"/>
    <w:rsid w:val="00493BBB"/>
    <w:rsid w:val="00493FAF"/>
    <w:rsid w:val="00494B67"/>
    <w:rsid w:val="00494D9E"/>
    <w:rsid w:val="00495DE5"/>
    <w:rsid w:val="004A0D4E"/>
    <w:rsid w:val="004A105D"/>
    <w:rsid w:val="004A31B8"/>
    <w:rsid w:val="004A325A"/>
    <w:rsid w:val="004A32FD"/>
    <w:rsid w:val="004A42FF"/>
    <w:rsid w:val="004A51F8"/>
    <w:rsid w:val="004A54A7"/>
    <w:rsid w:val="004A5B0E"/>
    <w:rsid w:val="004A7D78"/>
    <w:rsid w:val="004B196B"/>
    <w:rsid w:val="004B1CBD"/>
    <w:rsid w:val="004B27AB"/>
    <w:rsid w:val="004B2863"/>
    <w:rsid w:val="004B44BC"/>
    <w:rsid w:val="004B48AC"/>
    <w:rsid w:val="004B4929"/>
    <w:rsid w:val="004B586C"/>
    <w:rsid w:val="004B5B57"/>
    <w:rsid w:val="004B5EF2"/>
    <w:rsid w:val="004B626A"/>
    <w:rsid w:val="004B650E"/>
    <w:rsid w:val="004B72AE"/>
    <w:rsid w:val="004B7989"/>
    <w:rsid w:val="004B7C17"/>
    <w:rsid w:val="004C0B74"/>
    <w:rsid w:val="004C139D"/>
    <w:rsid w:val="004C1F38"/>
    <w:rsid w:val="004C2A47"/>
    <w:rsid w:val="004C5B80"/>
    <w:rsid w:val="004C7677"/>
    <w:rsid w:val="004D0287"/>
    <w:rsid w:val="004D02BD"/>
    <w:rsid w:val="004D0484"/>
    <w:rsid w:val="004D0EB8"/>
    <w:rsid w:val="004D21AA"/>
    <w:rsid w:val="004D21CA"/>
    <w:rsid w:val="004D71D1"/>
    <w:rsid w:val="004E0AA4"/>
    <w:rsid w:val="004E425C"/>
    <w:rsid w:val="004E4FA5"/>
    <w:rsid w:val="004E54E7"/>
    <w:rsid w:val="004E5802"/>
    <w:rsid w:val="004E58C5"/>
    <w:rsid w:val="004E592E"/>
    <w:rsid w:val="004E5EC9"/>
    <w:rsid w:val="004E702F"/>
    <w:rsid w:val="004E7410"/>
    <w:rsid w:val="004E7D46"/>
    <w:rsid w:val="004F102F"/>
    <w:rsid w:val="004F1943"/>
    <w:rsid w:val="004F29A9"/>
    <w:rsid w:val="004F3002"/>
    <w:rsid w:val="004F365C"/>
    <w:rsid w:val="004F380C"/>
    <w:rsid w:val="004F3CC4"/>
    <w:rsid w:val="004F44FC"/>
    <w:rsid w:val="004F4E5E"/>
    <w:rsid w:val="004F6438"/>
    <w:rsid w:val="004F70C1"/>
    <w:rsid w:val="004F7BA2"/>
    <w:rsid w:val="005005D3"/>
    <w:rsid w:val="00501182"/>
    <w:rsid w:val="00501BE2"/>
    <w:rsid w:val="00501F58"/>
    <w:rsid w:val="00502F78"/>
    <w:rsid w:val="005043F8"/>
    <w:rsid w:val="00504D9A"/>
    <w:rsid w:val="0050616F"/>
    <w:rsid w:val="00506549"/>
    <w:rsid w:val="005074C4"/>
    <w:rsid w:val="00507788"/>
    <w:rsid w:val="0050796E"/>
    <w:rsid w:val="005107AA"/>
    <w:rsid w:val="00513F41"/>
    <w:rsid w:val="00513FB0"/>
    <w:rsid w:val="00514671"/>
    <w:rsid w:val="00516364"/>
    <w:rsid w:val="00516DDF"/>
    <w:rsid w:val="00516F1D"/>
    <w:rsid w:val="0051712B"/>
    <w:rsid w:val="0051747E"/>
    <w:rsid w:val="005177F3"/>
    <w:rsid w:val="00520664"/>
    <w:rsid w:val="00520FB5"/>
    <w:rsid w:val="00521219"/>
    <w:rsid w:val="00521290"/>
    <w:rsid w:val="005214F5"/>
    <w:rsid w:val="00521EDA"/>
    <w:rsid w:val="00521F23"/>
    <w:rsid w:val="0052350C"/>
    <w:rsid w:val="0052408C"/>
    <w:rsid w:val="0052527C"/>
    <w:rsid w:val="00525E51"/>
    <w:rsid w:val="00526D16"/>
    <w:rsid w:val="00530025"/>
    <w:rsid w:val="00530A49"/>
    <w:rsid w:val="00530CB4"/>
    <w:rsid w:val="00531026"/>
    <w:rsid w:val="00531400"/>
    <w:rsid w:val="00531CAA"/>
    <w:rsid w:val="00532468"/>
    <w:rsid w:val="00536123"/>
    <w:rsid w:val="005364B1"/>
    <w:rsid w:val="00536FFF"/>
    <w:rsid w:val="00537385"/>
    <w:rsid w:val="00537B50"/>
    <w:rsid w:val="00541473"/>
    <w:rsid w:val="00541562"/>
    <w:rsid w:val="00541A2F"/>
    <w:rsid w:val="00542640"/>
    <w:rsid w:val="00542B49"/>
    <w:rsid w:val="00542FD8"/>
    <w:rsid w:val="00543498"/>
    <w:rsid w:val="005435D2"/>
    <w:rsid w:val="005442E2"/>
    <w:rsid w:val="00545DB7"/>
    <w:rsid w:val="0054621E"/>
    <w:rsid w:val="005467FF"/>
    <w:rsid w:val="005468C6"/>
    <w:rsid w:val="00546F52"/>
    <w:rsid w:val="00547B82"/>
    <w:rsid w:val="00547EDF"/>
    <w:rsid w:val="005511F0"/>
    <w:rsid w:val="00551891"/>
    <w:rsid w:val="00552C82"/>
    <w:rsid w:val="00555A2E"/>
    <w:rsid w:val="00555C7A"/>
    <w:rsid w:val="00555E83"/>
    <w:rsid w:val="0055730F"/>
    <w:rsid w:val="005574FC"/>
    <w:rsid w:val="005578BB"/>
    <w:rsid w:val="00557A30"/>
    <w:rsid w:val="00560723"/>
    <w:rsid w:val="00560D1D"/>
    <w:rsid w:val="005613A0"/>
    <w:rsid w:val="00561577"/>
    <w:rsid w:val="005616C7"/>
    <w:rsid w:val="005623F0"/>
    <w:rsid w:val="00562554"/>
    <w:rsid w:val="00562F80"/>
    <w:rsid w:val="0056323F"/>
    <w:rsid w:val="00563A32"/>
    <w:rsid w:val="005645C2"/>
    <w:rsid w:val="00564D87"/>
    <w:rsid w:val="0056503E"/>
    <w:rsid w:val="005664E8"/>
    <w:rsid w:val="00567231"/>
    <w:rsid w:val="00567FD8"/>
    <w:rsid w:val="00570FF0"/>
    <w:rsid w:val="00572F03"/>
    <w:rsid w:val="00573638"/>
    <w:rsid w:val="00574187"/>
    <w:rsid w:val="005741D9"/>
    <w:rsid w:val="00575511"/>
    <w:rsid w:val="005756EB"/>
    <w:rsid w:val="00575F1D"/>
    <w:rsid w:val="00577414"/>
    <w:rsid w:val="00577F95"/>
    <w:rsid w:val="00580D5A"/>
    <w:rsid w:val="00582A71"/>
    <w:rsid w:val="00582B52"/>
    <w:rsid w:val="00584558"/>
    <w:rsid w:val="00585410"/>
    <w:rsid w:val="005867B0"/>
    <w:rsid w:val="00586BC1"/>
    <w:rsid w:val="00587936"/>
    <w:rsid w:val="00587996"/>
    <w:rsid w:val="005879E2"/>
    <w:rsid w:val="00587CAE"/>
    <w:rsid w:val="00593387"/>
    <w:rsid w:val="00593489"/>
    <w:rsid w:val="00593CCC"/>
    <w:rsid w:val="00596A4D"/>
    <w:rsid w:val="00597F8D"/>
    <w:rsid w:val="005A1145"/>
    <w:rsid w:val="005A11DA"/>
    <w:rsid w:val="005A308B"/>
    <w:rsid w:val="005A33D7"/>
    <w:rsid w:val="005A391B"/>
    <w:rsid w:val="005A3E3B"/>
    <w:rsid w:val="005A404C"/>
    <w:rsid w:val="005A4AC0"/>
    <w:rsid w:val="005A5103"/>
    <w:rsid w:val="005A55ED"/>
    <w:rsid w:val="005A5FBC"/>
    <w:rsid w:val="005A6DE6"/>
    <w:rsid w:val="005A6FD3"/>
    <w:rsid w:val="005A7961"/>
    <w:rsid w:val="005B04C5"/>
    <w:rsid w:val="005B102C"/>
    <w:rsid w:val="005B1A29"/>
    <w:rsid w:val="005B1A3F"/>
    <w:rsid w:val="005B3D72"/>
    <w:rsid w:val="005B4120"/>
    <w:rsid w:val="005B4D62"/>
    <w:rsid w:val="005B4FC6"/>
    <w:rsid w:val="005B51BA"/>
    <w:rsid w:val="005B56B1"/>
    <w:rsid w:val="005B5D99"/>
    <w:rsid w:val="005B6204"/>
    <w:rsid w:val="005B77D9"/>
    <w:rsid w:val="005B7FA4"/>
    <w:rsid w:val="005C0078"/>
    <w:rsid w:val="005C0B1A"/>
    <w:rsid w:val="005C1228"/>
    <w:rsid w:val="005C28A4"/>
    <w:rsid w:val="005C2B34"/>
    <w:rsid w:val="005C38DC"/>
    <w:rsid w:val="005C4B6A"/>
    <w:rsid w:val="005C589B"/>
    <w:rsid w:val="005C5E7F"/>
    <w:rsid w:val="005C7DE1"/>
    <w:rsid w:val="005D02AE"/>
    <w:rsid w:val="005D1F15"/>
    <w:rsid w:val="005D222E"/>
    <w:rsid w:val="005D283A"/>
    <w:rsid w:val="005D2B95"/>
    <w:rsid w:val="005D32F6"/>
    <w:rsid w:val="005D3421"/>
    <w:rsid w:val="005D34B7"/>
    <w:rsid w:val="005D5D48"/>
    <w:rsid w:val="005E00D4"/>
    <w:rsid w:val="005E0168"/>
    <w:rsid w:val="005E0F96"/>
    <w:rsid w:val="005E2292"/>
    <w:rsid w:val="005E2C1E"/>
    <w:rsid w:val="005E2E64"/>
    <w:rsid w:val="005E402C"/>
    <w:rsid w:val="005E425F"/>
    <w:rsid w:val="005E5709"/>
    <w:rsid w:val="005E571F"/>
    <w:rsid w:val="005E5B66"/>
    <w:rsid w:val="005E6D96"/>
    <w:rsid w:val="005E6E3B"/>
    <w:rsid w:val="005E7018"/>
    <w:rsid w:val="005F10C3"/>
    <w:rsid w:val="005F2321"/>
    <w:rsid w:val="005F2BC9"/>
    <w:rsid w:val="005F2CA0"/>
    <w:rsid w:val="005F523F"/>
    <w:rsid w:val="005F529E"/>
    <w:rsid w:val="005F5A91"/>
    <w:rsid w:val="005F618B"/>
    <w:rsid w:val="005F6BB8"/>
    <w:rsid w:val="005F7AA2"/>
    <w:rsid w:val="00600168"/>
    <w:rsid w:val="0060030F"/>
    <w:rsid w:val="00600683"/>
    <w:rsid w:val="00600699"/>
    <w:rsid w:val="006009F8"/>
    <w:rsid w:val="00600F61"/>
    <w:rsid w:val="006021D3"/>
    <w:rsid w:val="00602776"/>
    <w:rsid w:val="00603907"/>
    <w:rsid w:val="00603CB8"/>
    <w:rsid w:val="00604922"/>
    <w:rsid w:val="00604B5C"/>
    <w:rsid w:val="00604F25"/>
    <w:rsid w:val="00605603"/>
    <w:rsid w:val="00606AFD"/>
    <w:rsid w:val="00606F65"/>
    <w:rsid w:val="006076AE"/>
    <w:rsid w:val="00607D2F"/>
    <w:rsid w:val="0061036F"/>
    <w:rsid w:val="006104E2"/>
    <w:rsid w:val="00611438"/>
    <w:rsid w:val="00613D3F"/>
    <w:rsid w:val="00613F39"/>
    <w:rsid w:val="00617D74"/>
    <w:rsid w:val="00621C09"/>
    <w:rsid w:val="00622635"/>
    <w:rsid w:val="00622C8F"/>
    <w:rsid w:val="00623113"/>
    <w:rsid w:val="00626820"/>
    <w:rsid w:val="00630632"/>
    <w:rsid w:val="00630AD8"/>
    <w:rsid w:val="00631A62"/>
    <w:rsid w:val="006334A8"/>
    <w:rsid w:val="00633681"/>
    <w:rsid w:val="00633782"/>
    <w:rsid w:val="00634461"/>
    <w:rsid w:val="00634926"/>
    <w:rsid w:val="00636312"/>
    <w:rsid w:val="00636622"/>
    <w:rsid w:val="00636AAB"/>
    <w:rsid w:val="00636BA7"/>
    <w:rsid w:val="00636C43"/>
    <w:rsid w:val="006414F4"/>
    <w:rsid w:val="00643981"/>
    <w:rsid w:val="00643A6F"/>
    <w:rsid w:val="0064493C"/>
    <w:rsid w:val="00645089"/>
    <w:rsid w:val="00645A6C"/>
    <w:rsid w:val="00646653"/>
    <w:rsid w:val="00646FDA"/>
    <w:rsid w:val="00647BA1"/>
    <w:rsid w:val="006505EE"/>
    <w:rsid w:val="0065136D"/>
    <w:rsid w:val="006519A7"/>
    <w:rsid w:val="00651B37"/>
    <w:rsid w:val="00651C04"/>
    <w:rsid w:val="0065463D"/>
    <w:rsid w:val="00654926"/>
    <w:rsid w:val="00654DD5"/>
    <w:rsid w:val="00655DDF"/>
    <w:rsid w:val="00660797"/>
    <w:rsid w:val="006615FE"/>
    <w:rsid w:val="00662DDF"/>
    <w:rsid w:val="00663440"/>
    <w:rsid w:val="006641B9"/>
    <w:rsid w:val="00664465"/>
    <w:rsid w:val="006656C0"/>
    <w:rsid w:val="00665DFD"/>
    <w:rsid w:val="00672BBE"/>
    <w:rsid w:val="0067311A"/>
    <w:rsid w:val="00675F45"/>
    <w:rsid w:val="00676A16"/>
    <w:rsid w:val="00677108"/>
    <w:rsid w:val="00677B4A"/>
    <w:rsid w:val="00681317"/>
    <w:rsid w:val="00681C97"/>
    <w:rsid w:val="0068287F"/>
    <w:rsid w:val="0068375C"/>
    <w:rsid w:val="00683BDC"/>
    <w:rsid w:val="006852DC"/>
    <w:rsid w:val="00686288"/>
    <w:rsid w:val="0068631E"/>
    <w:rsid w:val="0069074E"/>
    <w:rsid w:val="00690968"/>
    <w:rsid w:val="00691DE8"/>
    <w:rsid w:val="00692818"/>
    <w:rsid w:val="00692CDB"/>
    <w:rsid w:val="0069587E"/>
    <w:rsid w:val="00697959"/>
    <w:rsid w:val="006A14A8"/>
    <w:rsid w:val="006A18FD"/>
    <w:rsid w:val="006A1F98"/>
    <w:rsid w:val="006A20D9"/>
    <w:rsid w:val="006A26E9"/>
    <w:rsid w:val="006A32FA"/>
    <w:rsid w:val="006A3BDA"/>
    <w:rsid w:val="006A4B0F"/>
    <w:rsid w:val="006A583E"/>
    <w:rsid w:val="006A79FC"/>
    <w:rsid w:val="006B1E15"/>
    <w:rsid w:val="006B2667"/>
    <w:rsid w:val="006B269B"/>
    <w:rsid w:val="006B3D55"/>
    <w:rsid w:val="006B3D78"/>
    <w:rsid w:val="006B4319"/>
    <w:rsid w:val="006B5277"/>
    <w:rsid w:val="006B57CB"/>
    <w:rsid w:val="006B709D"/>
    <w:rsid w:val="006B7621"/>
    <w:rsid w:val="006B7950"/>
    <w:rsid w:val="006C09E1"/>
    <w:rsid w:val="006C17C8"/>
    <w:rsid w:val="006C1AF2"/>
    <w:rsid w:val="006C4F76"/>
    <w:rsid w:val="006C5289"/>
    <w:rsid w:val="006C528D"/>
    <w:rsid w:val="006C54E1"/>
    <w:rsid w:val="006C5939"/>
    <w:rsid w:val="006C6BCF"/>
    <w:rsid w:val="006C7582"/>
    <w:rsid w:val="006C75F3"/>
    <w:rsid w:val="006D0291"/>
    <w:rsid w:val="006D22C5"/>
    <w:rsid w:val="006D3B67"/>
    <w:rsid w:val="006D462F"/>
    <w:rsid w:val="006D5491"/>
    <w:rsid w:val="006D5D53"/>
    <w:rsid w:val="006D6EC6"/>
    <w:rsid w:val="006D727D"/>
    <w:rsid w:val="006E18A5"/>
    <w:rsid w:val="006E1A38"/>
    <w:rsid w:val="006E292F"/>
    <w:rsid w:val="006E31B1"/>
    <w:rsid w:val="006E3DB3"/>
    <w:rsid w:val="006E3E1E"/>
    <w:rsid w:val="006E429A"/>
    <w:rsid w:val="006E4985"/>
    <w:rsid w:val="006E4C2F"/>
    <w:rsid w:val="006E5952"/>
    <w:rsid w:val="006E6478"/>
    <w:rsid w:val="006F15B6"/>
    <w:rsid w:val="006F28AA"/>
    <w:rsid w:val="006F2FA4"/>
    <w:rsid w:val="006F687F"/>
    <w:rsid w:val="006F6A2A"/>
    <w:rsid w:val="006F6AD8"/>
    <w:rsid w:val="007003AE"/>
    <w:rsid w:val="00701478"/>
    <w:rsid w:val="00701480"/>
    <w:rsid w:val="007027AD"/>
    <w:rsid w:val="00702937"/>
    <w:rsid w:val="00703009"/>
    <w:rsid w:val="00703B55"/>
    <w:rsid w:val="00703B95"/>
    <w:rsid w:val="007047C0"/>
    <w:rsid w:val="00707CEE"/>
    <w:rsid w:val="00710572"/>
    <w:rsid w:val="00710D49"/>
    <w:rsid w:val="0071134A"/>
    <w:rsid w:val="007116A4"/>
    <w:rsid w:val="00713EE8"/>
    <w:rsid w:val="00714D19"/>
    <w:rsid w:val="00717442"/>
    <w:rsid w:val="007174D2"/>
    <w:rsid w:val="00717516"/>
    <w:rsid w:val="00717D60"/>
    <w:rsid w:val="00720408"/>
    <w:rsid w:val="0072454A"/>
    <w:rsid w:val="00724E04"/>
    <w:rsid w:val="007260FF"/>
    <w:rsid w:val="00726CE9"/>
    <w:rsid w:val="0073043E"/>
    <w:rsid w:val="00731EDF"/>
    <w:rsid w:val="00732486"/>
    <w:rsid w:val="00732AE0"/>
    <w:rsid w:val="0073426B"/>
    <w:rsid w:val="007361CB"/>
    <w:rsid w:val="00736907"/>
    <w:rsid w:val="00736A1A"/>
    <w:rsid w:val="007370B6"/>
    <w:rsid w:val="00737100"/>
    <w:rsid w:val="00740201"/>
    <w:rsid w:val="00740FC3"/>
    <w:rsid w:val="0074291D"/>
    <w:rsid w:val="0074376B"/>
    <w:rsid w:val="00743AA3"/>
    <w:rsid w:val="007455E8"/>
    <w:rsid w:val="007457D9"/>
    <w:rsid w:val="00746014"/>
    <w:rsid w:val="00746688"/>
    <w:rsid w:val="00746B9B"/>
    <w:rsid w:val="00746FA1"/>
    <w:rsid w:val="007477B6"/>
    <w:rsid w:val="007503E6"/>
    <w:rsid w:val="007518A4"/>
    <w:rsid w:val="0075399A"/>
    <w:rsid w:val="00760AD8"/>
    <w:rsid w:val="00760BB5"/>
    <w:rsid w:val="007619E1"/>
    <w:rsid w:val="00761E11"/>
    <w:rsid w:val="00762C45"/>
    <w:rsid w:val="0076581C"/>
    <w:rsid w:val="007668F8"/>
    <w:rsid w:val="00767BE8"/>
    <w:rsid w:val="00767D29"/>
    <w:rsid w:val="007723DA"/>
    <w:rsid w:val="00773DC6"/>
    <w:rsid w:val="00773E1D"/>
    <w:rsid w:val="007755B1"/>
    <w:rsid w:val="00776207"/>
    <w:rsid w:val="00776F5C"/>
    <w:rsid w:val="007779A4"/>
    <w:rsid w:val="00777E42"/>
    <w:rsid w:val="00780013"/>
    <w:rsid w:val="00780205"/>
    <w:rsid w:val="00780690"/>
    <w:rsid w:val="00780AC4"/>
    <w:rsid w:val="007810D4"/>
    <w:rsid w:val="007810E3"/>
    <w:rsid w:val="0078123B"/>
    <w:rsid w:val="00782747"/>
    <w:rsid w:val="007854C8"/>
    <w:rsid w:val="007860EA"/>
    <w:rsid w:val="00787B4B"/>
    <w:rsid w:val="00787EE0"/>
    <w:rsid w:val="0079029D"/>
    <w:rsid w:val="00791638"/>
    <w:rsid w:val="007937FB"/>
    <w:rsid w:val="00794B47"/>
    <w:rsid w:val="00794F93"/>
    <w:rsid w:val="007A124C"/>
    <w:rsid w:val="007A1454"/>
    <w:rsid w:val="007A2463"/>
    <w:rsid w:val="007A2EE8"/>
    <w:rsid w:val="007A34D1"/>
    <w:rsid w:val="007A58D2"/>
    <w:rsid w:val="007A767E"/>
    <w:rsid w:val="007A7820"/>
    <w:rsid w:val="007B02A5"/>
    <w:rsid w:val="007B0AAD"/>
    <w:rsid w:val="007B0B80"/>
    <w:rsid w:val="007B0C51"/>
    <w:rsid w:val="007B0D36"/>
    <w:rsid w:val="007B1E67"/>
    <w:rsid w:val="007B224C"/>
    <w:rsid w:val="007B2EC0"/>
    <w:rsid w:val="007B44CA"/>
    <w:rsid w:val="007B4AF2"/>
    <w:rsid w:val="007B4E8E"/>
    <w:rsid w:val="007B6307"/>
    <w:rsid w:val="007C0BE2"/>
    <w:rsid w:val="007C0C3E"/>
    <w:rsid w:val="007C0EF5"/>
    <w:rsid w:val="007C0F11"/>
    <w:rsid w:val="007C23A7"/>
    <w:rsid w:val="007C4843"/>
    <w:rsid w:val="007C5180"/>
    <w:rsid w:val="007C56F8"/>
    <w:rsid w:val="007C5FC6"/>
    <w:rsid w:val="007C7026"/>
    <w:rsid w:val="007C7C49"/>
    <w:rsid w:val="007C7C5D"/>
    <w:rsid w:val="007D2E3A"/>
    <w:rsid w:val="007D448A"/>
    <w:rsid w:val="007D57D6"/>
    <w:rsid w:val="007D5921"/>
    <w:rsid w:val="007D6839"/>
    <w:rsid w:val="007D7019"/>
    <w:rsid w:val="007D7AC9"/>
    <w:rsid w:val="007E014C"/>
    <w:rsid w:val="007E0801"/>
    <w:rsid w:val="007E0D1E"/>
    <w:rsid w:val="007E0E94"/>
    <w:rsid w:val="007E1C3D"/>
    <w:rsid w:val="007E368A"/>
    <w:rsid w:val="007E4D5D"/>
    <w:rsid w:val="007E5DE4"/>
    <w:rsid w:val="007E649C"/>
    <w:rsid w:val="007E6EF7"/>
    <w:rsid w:val="007E7A67"/>
    <w:rsid w:val="007E7D0E"/>
    <w:rsid w:val="007F0444"/>
    <w:rsid w:val="007F1964"/>
    <w:rsid w:val="007F2169"/>
    <w:rsid w:val="007F2B8B"/>
    <w:rsid w:val="007F2D0D"/>
    <w:rsid w:val="007F54C0"/>
    <w:rsid w:val="007F57F8"/>
    <w:rsid w:val="007F6D39"/>
    <w:rsid w:val="00800944"/>
    <w:rsid w:val="0080133B"/>
    <w:rsid w:val="008018C5"/>
    <w:rsid w:val="00801905"/>
    <w:rsid w:val="008041BF"/>
    <w:rsid w:val="00804215"/>
    <w:rsid w:val="00804A93"/>
    <w:rsid w:val="00804D82"/>
    <w:rsid w:val="00804FFF"/>
    <w:rsid w:val="00806A86"/>
    <w:rsid w:val="00807726"/>
    <w:rsid w:val="00807F3B"/>
    <w:rsid w:val="00810BF1"/>
    <w:rsid w:val="0081146E"/>
    <w:rsid w:val="00811C62"/>
    <w:rsid w:val="00812EE8"/>
    <w:rsid w:val="00813076"/>
    <w:rsid w:val="00813799"/>
    <w:rsid w:val="00813BCA"/>
    <w:rsid w:val="00814CFB"/>
    <w:rsid w:val="00814D88"/>
    <w:rsid w:val="0081585F"/>
    <w:rsid w:val="00816648"/>
    <w:rsid w:val="00816855"/>
    <w:rsid w:val="00816923"/>
    <w:rsid w:val="00816CB2"/>
    <w:rsid w:val="0081771F"/>
    <w:rsid w:val="00817A1D"/>
    <w:rsid w:val="008204DA"/>
    <w:rsid w:val="00820B11"/>
    <w:rsid w:val="00821076"/>
    <w:rsid w:val="00821235"/>
    <w:rsid w:val="008219D6"/>
    <w:rsid w:val="008228EB"/>
    <w:rsid w:val="00822D4D"/>
    <w:rsid w:val="0082315C"/>
    <w:rsid w:val="00823FDA"/>
    <w:rsid w:val="0082401F"/>
    <w:rsid w:val="00827A16"/>
    <w:rsid w:val="00830278"/>
    <w:rsid w:val="00830945"/>
    <w:rsid w:val="00830BAE"/>
    <w:rsid w:val="008317E3"/>
    <w:rsid w:val="0083360B"/>
    <w:rsid w:val="008336DC"/>
    <w:rsid w:val="00833FB7"/>
    <w:rsid w:val="0083565B"/>
    <w:rsid w:val="0083641A"/>
    <w:rsid w:val="00836C3A"/>
    <w:rsid w:val="00837041"/>
    <w:rsid w:val="00837050"/>
    <w:rsid w:val="008400F1"/>
    <w:rsid w:val="008401AD"/>
    <w:rsid w:val="008403CE"/>
    <w:rsid w:val="00840601"/>
    <w:rsid w:val="0084204C"/>
    <w:rsid w:val="00842C3E"/>
    <w:rsid w:val="008459E9"/>
    <w:rsid w:val="00845E98"/>
    <w:rsid w:val="0084612E"/>
    <w:rsid w:val="008464D8"/>
    <w:rsid w:val="00850983"/>
    <w:rsid w:val="00850B82"/>
    <w:rsid w:val="00851084"/>
    <w:rsid w:val="008537F5"/>
    <w:rsid w:val="00856186"/>
    <w:rsid w:val="00856BBA"/>
    <w:rsid w:val="008601D3"/>
    <w:rsid w:val="00861553"/>
    <w:rsid w:val="008630E9"/>
    <w:rsid w:val="00863711"/>
    <w:rsid w:val="0086475D"/>
    <w:rsid w:val="00864D1E"/>
    <w:rsid w:val="0086593A"/>
    <w:rsid w:val="00866E96"/>
    <w:rsid w:val="00867DF6"/>
    <w:rsid w:val="00867E63"/>
    <w:rsid w:val="0087083B"/>
    <w:rsid w:val="0087371A"/>
    <w:rsid w:val="0087395E"/>
    <w:rsid w:val="00873E7A"/>
    <w:rsid w:val="008741D1"/>
    <w:rsid w:val="008757EE"/>
    <w:rsid w:val="00875BA2"/>
    <w:rsid w:val="00875CC3"/>
    <w:rsid w:val="00876AD4"/>
    <w:rsid w:val="008803D3"/>
    <w:rsid w:val="0088097E"/>
    <w:rsid w:val="008827F2"/>
    <w:rsid w:val="00882FA8"/>
    <w:rsid w:val="008836DF"/>
    <w:rsid w:val="008836EF"/>
    <w:rsid w:val="00883CF5"/>
    <w:rsid w:val="0088466A"/>
    <w:rsid w:val="00884726"/>
    <w:rsid w:val="00884D48"/>
    <w:rsid w:val="00885EA4"/>
    <w:rsid w:val="00886089"/>
    <w:rsid w:val="008860F9"/>
    <w:rsid w:val="00887F4E"/>
    <w:rsid w:val="00890677"/>
    <w:rsid w:val="008918C1"/>
    <w:rsid w:val="00891C5A"/>
    <w:rsid w:val="008928D4"/>
    <w:rsid w:val="00893625"/>
    <w:rsid w:val="00893DA3"/>
    <w:rsid w:val="00894113"/>
    <w:rsid w:val="00894966"/>
    <w:rsid w:val="0089569D"/>
    <w:rsid w:val="0089609C"/>
    <w:rsid w:val="0089686A"/>
    <w:rsid w:val="0089690F"/>
    <w:rsid w:val="008A0558"/>
    <w:rsid w:val="008A27AD"/>
    <w:rsid w:val="008A3234"/>
    <w:rsid w:val="008A326C"/>
    <w:rsid w:val="008A62B7"/>
    <w:rsid w:val="008A66F5"/>
    <w:rsid w:val="008A6F37"/>
    <w:rsid w:val="008A704F"/>
    <w:rsid w:val="008B072B"/>
    <w:rsid w:val="008B26D4"/>
    <w:rsid w:val="008B397A"/>
    <w:rsid w:val="008B3C4C"/>
    <w:rsid w:val="008B47E8"/>
    <w:rsid w:val="008B5B41"/>
    <w:rsid w:val="008B64CD"/>
    <w:rsid w:val="008B762D"/>
    <w:rsid w:val="008B763A"/>
    <w:rsid w:val="008C07E5"/>
    <w:rsid w:val="008C0CDA"/>
    <w:rsid w:val="008C0D19"/>
    <w:rsid w:val="008C0FB6"/>
    <w:rsid w:val="008C2677"/>
    <w:rsid w:val="008C2E83"/>
    <w:rsid w:val="008C38E1"/>
    <w:rsid w:val="008C4A23"/>
    <w:rsid w:val="008C68D8"/>
    <w:rsid w:val="008C6E1C"/>
    <w:rsid w:val="008C7284"/>
    <w:rsid w:val="008D07FA"/>
    <w:rsid w:val="008D73F5"/>
    <w:rsid w:val="008E002F"/>
    <w:rsid w:val="008E02F5"/>
    <w:rsid w:val="008E0E09"/>
    <w:rsid w:val="008E0F60"/>
    <w:rsid w:val="008E15B9"/>
    <w:rsid w:val="008E1ECA"/>
    <w:rsid w:val="008E25D7"/>
    <w:rsid w:val="008E322D"/>
    <w:rsid w:val="008E3325"/>
    <w:rsid w:val="008E45DE"/>
    <w:rsid w:val="008E4CE0"/>
    <w:rsid w:val="008E4FBA"/>
    <w:rsid w:val="008E4FE8"/>
    <w:rsid w:val="008E5A5B"/>
    <w:rsid w:val="008E6894"/>
    <w:rsid w:val="008E6B23"/>
    <w:rsid w:val="008E6DE4"/>
    <w:rsid w:val="008F043D"/>
    <w:rsid w:val="008F0653"/>
    <w:rsid w:val="008F107D"/>
    <w:rsid w:val="008F1346"/>
    <w:rsid w:val="008F16F9"/>
    <w:rsid w:val="008F4061"/>
    <w:rsid w:val="008F70AA"/>
    <w:rsid w:val="008F76D4"/>
    <w:rsid w:val="00901CFF"/>
    <w:rsid w:val="00902285"/>
    <w:rsid w:val="00902635"/>
    <w:rsid w:val="009035C7"/>
    <w:rsid w:val="00903F76"/>
    <w:rsid w:val="009051D7"/>
    <w:rsid w:val="0090578F"/>
    <w:rsid w:val="00905FDF"/>
    <w:rsid w:val="00906010"/>
    <w:rsid w:val="0090798C"/>
    <w:rsid w:val="00907ACA"/>
    <w:rsid w:val="00911042"/>
    <w:rsid w:val="009113DD"/>
    <w:rsid w:val="00911623"/>
    <w:rsid w:val="009120BE"/>
    <w:rsid w:val="00913604"/>
    <w:rsid w:val="00915BCE"/>
    <w:rsid w:val="00915E63"/>
    <w:rsid w:val="00915F80"/>
    <w:rsid w:val="00916E8C"/>
    <w:rsid w:val="009172B5"/>
    <w:rsid w:val="009174DC"/>
    <w:rsid w:val="0092197B"/>
    <w:rsid w:val="00921C69"/>
    <w:rsid w:val="00924012"/>
    <w:rsid w:val="009243B4"/>
    <w:rsid w:val="00925019"/>
    <w:rsid w:val="009254E9"/>
    <w:rsid w:val="00925547"/>
    <w:rsid w:val="00925E48"/>
    <w:rsid w:val="00931931"/>
    <w:rsid w:val="009328B1"/>
    <w:rsid w:val="00933085"/>
    <w:rsid w:val="00933267"/>
    <w:rsid w:val="00936A0D"/>
    <w:rsid w:val="009373D3"/>
    <w:rsid w:val="00944380"/>
    <w:rsid w:val="00944CE2"/>
    <w:rsid w:val="00944E0F"/>
    <w:rsid w:val="009462DA"/>
    <w:rsid w:val="0094748B"/>
    <w:rsid w:val="00950DB3"/>
    <w:rsid w:val="0095463F"/>
    <w:rsid w:val="009548EA"/>
    <w:rsid w:val="00954CC1"/>
    <w:rsid w:val="009553B8"/>
    <w:rsid w:val="00955D16"/>
    <w:rsid w:val="009569D0"/>
    <w:rsid w:val="00956F59"/>
    <w:rsid w:val="00960D4A"/>
    <w:rsid w:val="00961AD8"/>
    <w:rsid w:val="0096209B"/>
    <w:rsid w:val="00962489"/>
    <w:rsid w:val="00962810"/>
    <w:rsid w:val="0096328B"/>
    <w:rsid w:val="00963531"/>
    <w:rsid w:val="009643E2"/>
    <w:rsid w:val="009646B4"/>
    <w:rsid w:val="00964830"/>
    <w:rsid w:val="00964916"/>
    <w:rsid w:val="0096545A"/>
    <w:rsid w:val="009665F3"/>
    <w:rsid w:val="009672C0"/>
    <w:rsid w:val="009677AA"/>
    <w:rsid w:val="00970416"/>
    <w:rsid w:val="00972B47"/>
    <w:rsid w:val="0097370E"/>
    <w:rsid w:val="00974576"/>
    <w:rsid w:val="00974D40"/>
    <w:rsid w:val="00974F44"/>
    <w:rsid w:val="009772AA"/>
    <w:rsid w:val="00977C1A"/>
    <w:rsid w:val="00980AF0"/>
    <w:rsid w:val="0098171C"/>
    <w:rsid w:val="00982652"/>
    <w:rsid w:val="00982C92"/>
    <w:rsid w:val="00983672"/>
    <w:rsid w:val="00983E62"/>
    <w:rsid w:val="009844A6"/>
    <w:rsid w:val="00985C3B"/>
    <w:rsid w:val="00985ECE"/>
    <w:rsid w:val="00986455"/>
    <w:rsid w:val="00986714"/>
    <w:rsid w:val="00990661"/>
    <w:rsid w:val="0099077F"/>
    <w:rsid w:val="009911B7"/>
    <w:rsid w:val="00991BBC"/>
    <w:rsid w:val="00992035"/>
    <w:rsid w:val="0099332D"/>
    <w:rsid w:val="00993D24"/>
    <w:rsid w:val="00994685"/>
    <w:rsid w:val="0099483B"/>
    <w:rsid w:val="0099529F"/>
    <w:rsid w:val="00995E82"/>
    <w:rsid w:val="0099797F"/>
    <w:rsid w:val="009A00DF"/>
    <w:rsid w:val="009A0ED5"/>
    <w:rsid w:val="009A1DF1"/>
    <w:rsid w:val="009A2654"/>
    <w:rsid w:val="009A4327"/>
    <w:rsid w:val="009A56E4"/>
    <w:rsid w:val="009A5F01"/>
    <w:rsid w:val="009A6A0C"/>
    <w:rsid w:val="009A6E61"/>
    <w:rsid w:val="009A7012"/>
    <w:rsid w:val="009A71D8"/>
    <w:rsid w:val="009A735F"/>
    <w:rsid w:val="009A7C91"/>
    <w:rsid w:val="009B0F67"/>
    <w:rsid w:val="009B1083"/>
    <w:rsid w:val="009B1A17"/>
    <w:rsid w:val="009B1B5D"/>
    <w:rsid w:val="009B2000"/>
    <w:rsid w:val="009B41E6"/>
    <w:rsid w:val="009B44AB"/>
    <w:rsid w:val="009C160C"/>
    <w:rsid w:val="009C2233"/>
    <w:rsid w:val="009C3C53"/>
    <w:rsid w:val="009C40F1"/>
    <w:rsid w:val="009C4753"/>
    <w:rsid w:val="009C5308"/>
    <w:rsid w:val="009C5D7C"/>
    <w:rsid w:val="009C5EB5"/>
    <w:rsid w:val="009C7EA9"/>
    <w:rsid w:val="009D0D72"/>
    <w:rsid w:val="009D141F"/>
    <w:rsid w:val="009D23AC"/>
    <w:rsid w:val="009D2604"/>
    <w:rsid w:val="009D326C"/>
    <w:rsid w:val="009D419D"/>
    <w:rsid w:val="009D4429"/>
    <w:rsid w:val="009D634A"/>
    <w:rsid w:val="009D6A2A"/>
    <w:rsid w:val="009D6AA7"/>
    <w:rsid w:val="009D75C0"/>
    <w:rsid w:val="009D784A"/>
    <w:rsid w:val="009E16C3"/>
    <w:rsid w:val="009E2A1C"/>
    <w:rsid w:val="009E2A95"/>
    <w:rsid w:val="009E3610"/>
    <w:rsid w:val="009E3BF1"/>
    <w:rsid w:val="009E5FA5"/>
    <w:rsid w:val="009E6E19"/>
    <w:rsid w:val="009F00A2"/>
    <w:rsid w:val="009F1552"/>
    <w:rsid w:val="009F17CF"/>
    <w:rsid w:val="009F218E"/>
    <w:rsid w:val="009F2363"/>
    <w:rsid w:val="009F2656"/>
    <w:rsid w:val="009F2843"/>
    <w:rsid w:val="009F61C5"/>
    <w:rsid w:val="009F6B42"/>
    <w:rsid w:val="009F6D4A"/>
    <w:rsid w:val="009F7C8C"/>
    <w:rsid w:val="00A00652"/>
    <w:rsid w:val="00A00E78"/>
    <w:rsid w:val="00A01579"/>
    <w:rsid w:val="00A036EA"/>
    <w:rsid w:val="00A0416D"/>
    <w:rsid w:val="00A04F39"/>
    <w:rsid w:val="00A050E1"/>
    <w:rsid w:val="00A06483"/>
    <w:rsid w:val="00A06913"/>
    <w:rsid w:val="00A06DE3"/>
    <w:rsid w:val="00A06FD0"/>
    <w:rsid w:val="00A073A8"/>
    <w:rsid w:val="00A11E07"/>
    <w:rsid w:val="00A122BA"/>
    <w:rsid w:val="00A129D2"/>
    <w:rsid w:val="00A12A6C"/>
    <w:rsid w:val="00A1348A"/>
    <w:rsid w:val="00A13D85"/>
    <w:rsid w:val="00A15A58"/>
    <w:rsid w:val="00A167CB"/>
    <w:rsid w:val="00A2006D"/>
    <w:rsid w:val="00A209CB"/>
    <w:rsid w:val="00A2136E"/>
    <w:rsid w:val="00A22170"/>
    <w:rsid w:val="00A239F4"/>
    <w:rsid w:val="00A23C3F"/>
    <w:rsid w:val="00A24D06"/>
    <w:rsid w:val="00A24FAA"/>
    <w:rsid w:val="00A25495"/>
    <w:rsid w:val="00A25BBB"/>
    <w:rsid w:val="00A267ED"/>
    <w:rsid w:val="00A3050E"/>
    <w:rsid w:val="00A30578"/>
    <w:rsid w:val="00A31F0F"/>
    <w:rsid w:val="00A32B1D"/>
    <w:rsid w:val="00A336EC"/>
    <w:rsid w:val="00A33DA6"/>
    <w:rsid w:val="00A352C3"/>
    <w:rsid w:val="00A35B61"/>
    <w:rsid w:val="00A37875"/>
    <w:rsid w:val="00A400AE"/>
    <w:rsid w:val="00A40108"/>
    <w:rsid w:val="00A40389"/>
    <w:rsid w:val="00A4091B"/>
    <w:rsid w:val="00A41076"/>
    <w:rsid w:val="00A41DD4"/>
    <w:rsid w:val="00A424FE"/>
    <w:rsid w:val="00A43A8A"/>
    <w:rsid w:val="00A43DB7"/>
    <w:rsid w:val="00A43DF3"/>
    <w:rsid w:val="00A442DB"/>
    <w:rsid w:val="00A44906"/>
    <w:rsid w:val="00A45209"/>
    <w:rsid w:val="00A46CE2"/>
    <w:rsid w:val="00A46CEA"/>
    <w:rsid w:val="00A506BC"/>
    <w:rsid w:val="00A507CC"/>
    <w:rsid w:val="00A50B42"/>
    <w:rsid w:val="00A50DF8"/>
    <w:rsid w:val="00A52F06"/>
    <w:rsid w:val="00A5312E"/>
    <w:rsid w:val="00A53C3A"/>
    <w:rsid w:val="00A547AE"/>
    <w:rsid w:val="00A54AF5"/>
    <w:rsid w:val="00A55314"/>
    <w:rsid w:val="00A5674C"/>
    <w:rsid w:val="00A57884"/>
    <w:rsid w:val="00A60CCE"/>
    <w:rsid w:val="00A60E14"/>
    <w:rsid w:val="00A60F30"/>
    <w:rsid w:val="00A61F7D"/>
    <w:rsid w:val="00A62792"/>
    <w:rsid w:val="00A63372"/>
    <w:rsid w:val="00A65E55"/>
    <w:rsid w:val="00A6607D"/>
    <w:rsid w:val="00A662E3"/>
    <w:rsid w:val="00A701C3"/>
    <w:rsid w:val="00A70D67"/>
    <w:rsid w:val="00A71E7A"/>
    <w:rsid w:val="00A723CF"/>
    <w:rsid w:val="00A724A2"/>
    <w:rsid w:val="00A72763"/>
    <w:rsid w:val="00A72FEE"/>
    <w:rsid w:val="00A73896"/>
    <w:rsid w:val="00A74B4E"/>
    <w:rsid w:val="00A76DC7"/>
    <w:rsid w:val="00A80BC3"/>
    <w:rsid w:val="00A80FAF"/>
    <w:rsid w:val="00A8360F"/>
    <w:rsid w:val="00A8385B"/>
    <w:rsid w:val="00A86793"/>
    <w:rsid w:val="00A86DF6"/>
    <w:rsid w:val="00A87677"/>
    <w:rsid w:val="00A906BC"/>
    <w:rsid w:val="00A91A2D"/>
    <w:rsid w:val="00A91BEE"/>
    <w:rsid w:val="00A94146"/>
    <w:rsid w:val="00A9509A"/>
    <w:rsid w:val="00A952A6"/>
    <w:rsid w:val="00A967EB"/>
    <w:rsid w:val="00A967FB"/>
    <w:rsid w:val="00A96845"/>
    <w:rsid w:val="00A97CE2"/>
    <w:rsid w:val="00AA0D99"/>
    <w:rsid w:val="00AA1EC5"/>
    <w:rsid w:val="00AA485B"/>
    <w:rsid w:val="00AA498E"/>
    <w:rsid w:val="00AA54EA"/>
    <w:rsid w:val="00AA5F79"/>
    <w:rsid w:val="00AA62F0"/>
    <w:rsid w:val="00AB0831"/>
    <w:rsid w:val="00AB08B9"/>
    <w:rsid w:val="00AB0FAA"/>
    <w:rsid w:val="00AB153E"/>
    <w:rsid w:val="00AB24E4"/>
    <w:rsid w:val="00AB2A35"/>
    <w:rsid w:val="00AB40FB"/>
    <w:rsid w:val="00AB4706"/>
    <w:rsid w:val="00AB5AD5"/>
    <w:rsid w:val="00AB5EE2"/>
    <w:rsid w:val="00AB7D93"/>
    <w:rsid w:val="00AC02BB"/>
    <w:rsid w:val="00AC1767"/>
    <w:rsid w:val="00AC25B4"/>
    <w:rsid w:val="00AC2744"/>
    <w:rsid w:val="00AC2E68"/>
    <w:rsid w:val="00AC3858"/>
    <w:rsid w:val="00AC45AD"/>
    <w:rsid w:val="00AC51B1"/>
    <w:rsid w:val="00AC5891"/>
    <w:rsid w:val="00AC60AC"/>
    <w:rsid w:val="00AC6651"/>
    <w:rsid w:val="00AC690E"/>
    <w:rsid w:val="00AC7784"/>
    <w:rsid w:val="00AD0C90"/>
    <w:rsid w:val="00AD2571"/>
    <w:rsid w:val="00AD2FA1"/>
    <w:rsid w:val="00AD3FC5"/>
    <w:rsid w:val="00AD417D"/>
    <w:rsid w:val="00AD431D"/>
    <w:rsid w:val="00AD43CB"/>
    <w:rsid w:val="00AD51B2"/>
    <w:rsid w:val="00AD5523"/>
    <w:rsid w:val="00AD5E4D"/>
    <w:rsid w:val="00AD7A71"/>
    <w:rsid w:val="00AE082C"/>
    <w:rsid w:val="00AE2492"/>
    <w:rsid w:val="00AE2BB1"/>
    <w:rsid w:val="00AE2C08"/>
    <w:rsid w:val="00AE333D"/>
    <w:rsid w:val="00AE3C08"/>
    <w:rsid w:val="00AE4831"/>
    <w:rsid w:val="00AE5AFF"/>
    <w:rsid w:val="00AE67D1"/>
    <w:rsid w:val="00AE7DC5"/>
    <w:rsid w:val="00AF062C"/>
    <w:rsid w:val="00AF1A1F"/>
    <w:rsid w:val="00AF222A"/>
    <w:rsid w:val="00AF25B2"/>
    <w:rsid w:val="00AF39C8"/>
    <w:rsid w:val="00AF5F4D"/>
    <w:rsid w:val="00AF7FC4"/>
    <w:rsid w:val="00B0011A"/>
    <w:rsid w:val="00B020BE"/>
    <w:rsid w:val="00B0307F"/>
    <w:rsid w:val="00B04A79"/>
    <w:rsid w:val="00B04C7B"/>
    <w:rsid w:val="00B05073"/>
    <w:rsid w:val="00B054FF"/>
    <w:rsid w:val="00B07A51"/>
    <w:rsid w:val="00B118E0"/>
    <w:rsid w:val="00B12BF6"/>
    <w:rsid w:val="00B13397"/>
    <w:rsid w:val="00B14D29"/>
    <w:rsid w:val="00B16DEA"/>
    <w:rsid w:val="00B211F7"/>
    <w:rsid w:val="00B23770"/>
    <w:rsid w:val="00B23A2A"/>
    <w:rsid w:val="00B23CAE"/>
    <w:rsid w:val="00B275AD"/>
    <w:rsid w:val="00B30F19"/>
    <w:rsid w:val="00B3186F"/>
    <w:rsid w:val="00B31AAD"/>
    <w:rsid w:val="00B31AEE"/>
    <w:rsid w:val="00B32316"/>
    <w:rsid w:val="00B329EE"/>
    <w:rsid w:val="00B335DE"/>
    <w:rsid w:val="00B33732"/>
    <w:rsid w:val="00B34D8D"/>
    <w:rsid w:val="00B35570"/>
    <w:rsid w:val="00B35E21"/>
    <w:rsid w:val="00B3601B"/>
    <w:rsid w:val="00B37C4F"/>
    <w:rsid w:val="00B37CE9"/>
    <w:rsid w:val="00B4133A"/>
    <w:rsid w:val="00B41FDF"/>
    <w:rsid w:val="00B42477"/>
    <w:rsid w:val="00B42F88"/>
    <w:rsid w:val="00B44E2B"/>
    <w:rsid w:val="00B453B2"/>
    <w:rsid w:val="00B46143"/>
    <w:rsid w:val="00B53078"/>
    <w:rsid w:val="00B53B82"/>
    <w:rsid w:val="00B549CD"/>
    <w:rsid w:val="00B54E45"/>
    <w:rsid w:val="00B54FCF"/>
    <w:rsid w:val="00B5738D"/>
    <w:rsid w:val="00B573C6"/>
    <w:rsid w:val="00B57A33"/>
    <w:rsid w:val="00B609AE"/>
    <w:rsid w:val="00B60ADF"/>
    <w:rsid w:val="00B6111A"/>
    <w:rsid w:val="00B622BB"/>
    <w:rsid w:val="00B653C0"/>
    <w:rsid w:val="00B658E7"/>
    <w:rsid w:val="00B6662F"/>
    <w:rsid w:val="00B67DBE"/>
    <w:rsid w:val="00B67E30"/>
    <w:rsid w:val="00B71A6A"/>
    <w:rsid w:val="00B71E02"/>
    <w:rsid w:val="00B72214"/>
    <w:rsid w:val="00B72D36"/>
    <w:rsid w:val="00B74ECD"/>
    <w:rsid w:val="00B77F4A"/>
    <w:rsid w:val="00B81115"/>
    <w:rsid w:val="00B81F01"/>
    <w:rsid w:val="00B822EF"/>
    <w:rsid w:val="00B834D5"/>
    <w:rsid w:val="00B86021"/>
    <w:rsid w:val="00B864F8"/>
    <w:rsid w:val="00B93E2F"/>
    <w:rsid w:val="00B950D1"/>
    <w:rsid w:val="00B96CC1"/>
    <w:rsid w:val="00B97879"/>
    <w:rsid w:val="00BA01E1"/>
    <w:rsid w:val="00BA08C1"/>
    <w:rsid w:val="00BA0DAD"/>
    <w:rsid w:val="00BA2042"/>
    <w:rsid w:val="00BA235B"/>
    <w:rsid w:val="00BA3E5E"/>
    <w:rsid w:val="00BA4707"/>
    <w:rsid w:val="00BA714D"/>
    <w:rsid w:val="00BB04D8"/>
    <w:rsid w:val="00BB1270"/>
    <w:rsid w:val="00BB2216"/>
    <w:rsid w:val="00BB3AED"/>
    <w:rsid w:val="00BB4BAB"/>
    <w:rsid w:val="00BB6634"/>
    <w:rsid w:val="00BC0014"/>
    <w:rsid w:val="00BC0020"/>
    <w:rsid w:val="00BC0531"/>
    <w:rsid w:val="00BC0F53"/>
    <w:rsid w:val="00BC1237"/>
    <w:rsid w:val="00BC19F5"/>
    <w:rsid w:val="00BC1FA3"/>
    <w:rsid w:val="00BC2269"/>
    <w:rsid w:val="00BC29FD"/>
    <w:rsid w:val="00BC3203"/>
    <w:rsid w:val="00BC33AD"/>
    <w:rsid w:val="00BC36CA"/>
    <w:rsid w:val="00BC3758"/>
    <w:rsid w:val="00BC55A0"/>
    <w:rsid w:val="00BC5EE9"/>
    <w:rsid w:val="00BC651F"/>
    <w:rsid w:val="00BC7297"/>
    <w:rsid w:val="00BC792E"/>
    <w:rsid w:val="00BD0687"/>
    <w:rsid w:val="00BD129C"/>
    <w:rsid w:val="00BD1A51"/>
    <w:rsid w:val="00BD41EC"/>
    <w:rsid w:val="00BD430A"/>
    <w:rsid w:val="00BD54CA"/>
    <w:rsid w:val="00BD63D5"/>
    <w:rsid w:val="00BE0669"/>
    <w:rsid w:val="00BE08F4"/>
    <w:rsid w:val="00BE11B1"/>
    <w:rsid w:val="00BE132D"/>
    <w:rsid w:val="00BE29CE"/>
    <w:rsid w:val="00BE2DE9"/>
    <w:rsid w:val="00BE38F0"/>
    <w:rsid w:val="00BE42B6"/>
    <w:rsid w:val="00BE46B6"/>
    <w:rsid w:val="00BE4C75"/>
    <w:rsid w:val="00BE63E7"/>
    <w:rsid w:val="00BE6C1F"/>
    <w:rsid w:val="00BE6D5E"/>
    <w:rsid w:val="00BE70EA"/>
    <w:rsid w:val="00BE7C21"/>
    <w:rsid w:val="00BF22C8"/>
    <w:rsid w:val="00BF23EE"/>
    <w:rsid w:val="00BF2F8C"/>
    <w:rsid w:val="00BF3BA9"/>
    <w:rsid w:val="00BF3D05"/>
    <w:rsid w:val="00BF4380"/>
    <w:rsid w:val="00BF4C17"/>
    <w:rsid w:val="00BF4E75"/>
    <w:rsid w:val="00BF5F0E"/>
    <w:rsid w:val="00C01455"/>
    <w:rsid w:val="00C0180A"/>
    <w:rsid w:val="00C01FD0"/>
    <w:rsid w:val="00C020DF"/>
    <w:rsid w:val="00C04030"/>
    <w:rsid w:val="00C0473D"/>
    <w:rsid w:val="00C05489"/>
    <w:rsid w:val="00C060B8"/>
    <w:rsid w:val="00C06263"/>
    <w:rsid w:val="00C06ABF"/>
    <w:rsid w:val="00C06F3C"/>
    <w:rsid w:val="00C07924"/>
    <w:rsid w:val="00C07A09"/>
    <w:rsid w:val="00C10AB7"/>
    <w:rsid w:val="00C10C4C"/>
    <w:rsid w:val="00C11125"/>
    <w:rsid w:val="00C11428"/>
    <w:rsid w:val="00C1168D"/>
    <w:rsid w:val="00C12A9F"/>
    <w:rsid w:val="00C1379C"/>
    <w:rsid w:val="00C14769"/>
    <w:rsid w:val="00C147E1"/>
    <w:rsid w:val="00C15193"/>
    <w:rsid w:val="00C16BCB"/>
    <w:rsid w:val="00C1790A"/>
    <w:rsid w:val="00C17B05"/>
    <w:rsid w:val="00C20785"/>
    <w:rsid w:val="00C216FD"/>
    <w:rsid w:val="00C2295D"/>
    <w:rsid w:val="00C243A2"/>
    <w:rsid w:val="00C24927"/>
    <w:rsid w:val="00C269C0"/>
    <w:rsid w:val="00C26F84"/>
    <w:rsid w:val="00C308A1"/>
    <w:rsid w:val="00C30E4B"/>
    <w:rsid w:val="00C31623"/>
    <w:rsid w:val="00C3369B"/>
    <w:rsid w:val="00C34007"/>
    <w:rsid w:val="00C34307"/>
    <w:rsid w:val="00C35526"/>
    <w:rsid w:val="00C3580F"/>
    <w:rsid w:val="00C35F0C"/>
    <w:rsid w:val="00C40BD5"/>
    <w:rsid w:val="00C4103A"/>
    <w:rsid w:val="00C41B75"/>
    <w:rsid w:val="00C434E9"/>
    <w:rsid w:val="00C447A6"/>
    <w:rsid w:val="00C44E03"/>
    <w:rsid w:val="00C45231"/>
    <w:rsid w:val="00C458B4"/>
    <w:rsid w:val="00C45A2A"/>
    <w:rsid w:val="00C50717"/>
    <w:rsid w:val="00C5198D"/>
    <w:rsid w:val="00C51AEF"/>
    <w:rsid w:val="00C532DF"/>
    <w:rsid w:val="00C55F23"/>
    <w:rsid w:val="00C5679F"/>
    <w:rsid w:val="00C57DD0"/>
    <w:rsid w:val="00C57FB3"/>
    <w:rsid w:val="00C61984"/>
    <w:rsid w:val="00C63002"/>
    <w:rsid w:val="00C63FFF"/>
    <w:rsid w:val="00C64715"/>
    <w:rsid w:val="00C64D8C"/>
    <w:rsid w:val="00C651E2"/>
    <w:rsid w:val="00C65248"/>
    <w:rsid w:val="00C67C92"/>
    <w:rsid w:val="00C67D55"/>
    <w:rsid w:val="00C67ED2"/>
    <w:rsid w:val="00C715AE"/>
    <w:rsid w:val="00C71894"/>
    <w:rsid w:val="00C719B4"/>
    <w:rsid w:val="00C71BF4"/>
    <w:rsid w:val="00C726B7"/>
    <w:rsid w:val="00C736D3"/>
    <w:rsid w:val="00C74556"/>
    <w:rsid w:val="00C747A3"/>
    <w:rsid w:val="00C74945"/>
    <w:rsid w:val="00C75AC2"/>
    <w:rsid w:val="00C76528"/>
    <w:rsid w:val="00C77FED"/>
    <w:rsid w:val="00C82053"/>
    <w:rsid w:val="00C83FBF"/>
    <w:rsid w:val="00C844B0"/>
    <w:rsid w:val="00C849B8"/>
    <w:rsid w:val="00C862A5"/>
    <w:rsid w:val="00C867F0"/>
    <w:rsid w:val="00C871C8"/>
    <w:rsid w:val="00C90212"/>
    <w:rsid w:val="00C9070B"/>
    <w:rsid w:val="00C91137"/>
    <w:rsid w:val="00C9193D"/>
    <w:rsid w:val="00C91A77"/>
    <w:rsid w:val="00C91EED"/>
    <w:rsid w:val="00C92AD9"/>
    <w:rsid w:val="00C93869"/>
    <w:rsid w:val="00C94290"/>
    <w:rsid w:val="00C95675"/>
    <w:rsid w:val="00C96137"/>
    <w:rsid w:val="00C969F4"/>
    <w:rsid w:val="00C971B9"/>
    <w:rsid w:val="00C97508"/>
    <w:rsid w:val="00CA04CF"/>
    <w:rsid w:val="00CA0A44"/>
    <w:rsid w:val="00CA18A4"/>
    <w:rsid w:val="00CA3AFA"/>
    <w:rsid w:val="00CA40A3"/>
    <w:rsid w:val="00CA50CF"/>
    <w:rsid w:val="00CA52C9"/>
    <w:rsid w:val="00CA56C4"/>
    <w:rsid w:val="00CA5845"/>
    <w:rsid w:val="00CA5CD1"/>
    <w:rsid w:val="00CA6C07"/>
    <w:rsid w:val="00CB14EE"/>
    <w:rsid w:val="00CB2FAC"/>
    <w:rsid w:val="00CB3CDD"/>
    <w:rsid w:val="00CB5FC7"/>
    <w:rsid w:val="00CB60B6"/>
    <w:rsid w:val="00CB6551"/>
    <w:rsid w:val="00CB7B78"/>
    <w:rsid w:val="00CC0427"/>
    <w:rsid w:val="00CC12C2"/>
    <w:rsid w:val="00CC165A"/>
    <w:rsid w:val="00CC1892"/>
    <w:rsid w:val="00CC27D4"/>
    <w:rsid w:val="00CC4875"/>
    <w:rsid w:val="00CC54E6"/>
    <w:rsid w:val="00CC618A"/>
    <w:rsid w:val="00CC7071"/>
    <w:rsid w:val="00CD0219"/>
    <w:rsid w:val="00CD09FC"/>
    <w:rsid w:val="00CD116E"/>
    <w:rsid w:val="00CD1C86"/>
    <w:rsid w:val="00CD2034"/>
    <w:rsid w:val="00CD33A8"/>
    <w:rsid w:val="00CD36AF"/>
    <w:rsid w:val="00CD36EB"/>
    <w:rsid w:val="00CD3CA5"/>
    <w:rsid w:val="00CD41A6"/>
    <w:rsid w:val="00CD5008"/>
    <w:rsid w:val="00CD5CA0"/>
    <w:rsid w:val="00CD5DCE"/>
    <w:rsid w:val="00CD6317"/>
    <w:rsid w:val="00CD758A"/>
    <w:rsid w:val="00CD7B95"/>
    <w:rsid w:val="00CE12C9"/>
    <w:rsid w:val="00CE141E"/>
    <w:rsid w:val="00CE2262"/>
    <w:rsid w:val="00CE29CE"/>
    <w:rsid w:val="00CE3D8D"/>
    <w:rsid w:val="00CE3DCC"/>
    <w:rsid w:val="00CE4E55"/>
    <w:rsid w:val="00CE5B5A"/>
    <w:rsid w:val="00CE5F41"/>
    <w:rsid w:val="00CE5F94"/>
    <w:rsid w:val="00CE60A9"/>
    <w:rsid w:val="00CE6D10"/>
    <w:rsid w:val="00CF0740"/>
    <w:rsid w:val="00CF0C8A"/>
    <w:rsid w:val="00CF12FE"/>
    <w:rsid w:val="00CF2439"/>
    <w:rsid w:val="00CF2A76"/>
    <w:rsid w:val="00CF2CBD"/>
    <w:rsid w:val="00CF2F16"/>
    <w:rsid w:val="00CF3B33"/>
    <w:rsid w:val="00CF3C05"/>
    <w:rsid w:val="00CF4498"/>
    <w:rsid w:val="00CF49CC"/>
    <w:rsid w:val="00CF55ED"/>
    <w:rsid w:val="00CF5C06"/>
    <w:rsid w:val="00D013AC"/>
    <w:rsid w:val="00D0148D"/>
    <w:rsid w:val="00D02C6D"/>
    <w:rsid w:val="00D03589"/>
    <w:rsid w:val="00D040E4"/>
    <w:rsid w:val="00D04F37"/>
    <w:rsid w:val="00D06328"/>
    <w:rsid w:val="00D0697B"/>
    <w:rsid w:val="00D07DE9"/>
    <w:rsid w:val="00D101D0"/>
    <w:rsid w:val="00D1119B"/>
    <w:rsid w:val="00D124F8"/>
    <w:rsid w:val="00D1262C"/>
    <w:rsid w:val="00D13D4F"/>
    <w:rsid w:val="00D14D0E"/>
    <w:rsid w:val="00D1522C"/>
    <w:rsid w:val="00D1553E"/>
    <w:rsid w:val="00D17768"/>
    <w:rsid w:val="00D17D32"/>
    <w:rsid w:val="00D2104A"/>
    <w:rsid w:val="00D221B8"/>
    <w:rsid w:val="00D22670"/>
    <w:rsid w:val="00D234B5"/>
    <w:rsid w:val="00D23CF1"/>
    <w:rsid w:val="00D23EBB"/>
    <w:rsid w:val="00D2557F"/>
    <w:rsid w:val="00D26AB6"/>
    <w:rsid w:val="00D30749"/>
    <w:rsid w:val="00D3360A"/>
    <w:rsid w:val="00D33D83"/>
    <w:rsid w:val="00D34275"/>
    <w:rsid w:val="00D34B85"/>
    <w:rsid w:val="00D35931"/>
    <w:rsid w:val="00D3627F"/>
    <w:rsid w:val="00D363A3"/>
    <w:rsid w:val="00D371DE"/>
    <w:rsid w:val="00D41397"/>
    <w:rsid w:val="00D414E7"/>
    <w:rsid w:val="00D4599C"/>
    <w:rsid w:val="00D460F5"/>
    <w:rsid w:val="00D46F8D"/>
    <w:rsid w:val="00D5024F"/>
    <w:rsid w:val="00D5192A"/>
    <w:rsid w:val="00D54077"/>
    <w:rsid w:val="00D56A1A"/>
    <w:rsid w:val="00D57BEE"/>
    <w:rsid w:val="00D62C53"/>
    <w:rsid w:val="00D639FD"/>
    <w:rsid w:val="00D643F1"/>
    <w:rsid w:val="00D64AEC"/>
    <w:rsid w:val="00D65EA1"/>
    <w:rsid w:val="00D66054"/>
    <w:rsid w:val="00D67D50"/>
    <w:rsid w:val="00D7174B"/>
    <w:rsid w:val="00D71B32"/>
    <w:rsid w:val="00D71EA2"/>
    <w:rsid w:val="00D74755"/>
    <w:rsid w:val="00D7584E"/>
    <w:rsid w:val="00D76100"/>
    <w:rsid w:val="00D76B15"/>
    <w:rsid w:val="00D77469"/>
    <w:rsid w:val="00D7768E"/>
    <w:rsid w:val="00D77979"/>
    <w:rsid w:val="00D77B00"/>
    <w:rsid w:val="00D80247"/>
    <w:rsid w:val="00D81E77"/>
    <w:rsid w:val="00D82285"/>
    <w:rsid w:val="00D82E3D"/>
    <w:rsid w:val="00D84415"/>
    <w:rsid w:val="00D844CC"/>
    <w:rsid w:val="00D847EB"/>
    <w:rsid w:val="00D8490D"/>
    <w:rsid w:val="00D84F55"/>
    <w:rsid w:val="00D853FE"/>
    <w:rsid w:val="00D90572"/>
    <w:rsid w:val="00D90B9C"/>
    <w:rsid w:val="00D914E8"/>
    <w:rsid w:val="00D91996"/>
    <w:rsid w:val="00D923E8"/>
    <w:rsid w:val="00D937E8"/>
    <w:rsid w:val="00D93E72"/>
    <w:rsid w:val="00D94602"/>
    <w:rsid w:val="00D947A9"/>
    <w:rsid w:val="00D94973"/>
    <w:rsid w:val="00D94F1D"/>
    <w:rsid w:val="00D9659F"/>
    <w:rsid w:val="00D971DB"/>
    <w:rsid w:val="00DA23A0"/>
    <w:rsid w:val="00DA27F5"/>
    <w:rsid w:val="00DA296F"/>
    <w:rsid w:val="00DA36A2"/>
    <w:rsid w:val="00DA4370"/>
    <w:rsid w:val="00DA4CAF"/>
    <w:rsid w:val="00DA5579"/>
    <w:rsid w:val="00DA56B4"/>
    <w:rsid w:val="00DA6347"/>
    <w:rsid w:val="00DA70A9"/>
    <w:rsid w:val="00DB0A3A"/>
    <w:rsid w:val="00DB0C49"/>
    <w:rsid w:val="00DB1697"/>
    <w:rsid w:val="00DB184C"/>
    <w:rsid w:val="00DB1B0E"/>
    <w:rsid w:val="00DB2151"/>
    <w:rsid w:val="00DB2824"/>
    <w:rsid w:val="00DB28D8"/>
    <w:rsid w:val="00DB2BAA"/>
    <w:rsid w:val="00DB2F4D"/>
    <w:rsid w:val="00DB356A"/>
    <w:rsid w:val="00DB3ABF"/>
    <w:rsid w:val="00DB42C9"/>
    <w:rsid w:val="00DC0E0D"/>
    <w:rsid w:val="00DC1374"/>
    <w:rsid w:val="00DC17F1"/>
    <w:rsid w:val="00DC7D54"/>
    <w:rsid w:val="00DC7F26"/>
    <w:rsid w:val="00DD0C05"/>
    <w:rsid w:val="00DD0C73"/>
    <w:rsid w:val="00DD12A3"/>
    <w:rsid w:val="00DD1EC2"/>
    <w:rsid w:val="00DD2295"/>
    <w:rsid w:val="00DD2BC2"/>
    <w:rsid w:val="00DD3BCD"/>
    <w:rsid w:val="00DD4C37"/>
    <w:rsid w:val="00DD4F92"/>
    <w:rsid w:val="00DD6802"/>
    <w:rsid w:val="00DD6AD0"/>
    <w:rsid w:val="00DD7616"/>
    <w:rsid w:val="00DD78CB"/>
    <w:rsid w:val="00DD7A14"/>
    <w:rsid w:val="00DD7E22"/>
    <w:rsid w:val="00DE0B29"/>
    <w:rsid w:val="00DE0B2F"/>
    <w:rsid w:val="00DE2B46"/>
    <w:rsid w:val="00DE40C3"/>
    <w:rsid w:val="00DE5A6A"/>
    <w:rsid w:val="00DE5D2D"/>
    <w:rsid w:val="00DE5E0D"/>
    <w:rsid w:val="00DE6ABB"/>
    <w:rsid w:val="00DE78F9"/>
    <w:rsid w:val="00DF05B8"/>
    <w:rsid w:val="00DF1034"/>
    <w:rsid w:val="00DF23BF"/>
    <w:rsid w:val="00DF2435"/>
    <w:rsid w:val="00DF2445"/>
    <w:rsid w:val="00DF2B0D"/>
    <w:rsid w:val="00DF3A7D"/>
    <w:rsid w:val="00DF5498"/>
    <w:rsid w:val="00DF5887"/>
    <w:rsid w:val="00DF6350"/>
    <w:rsid w:val="00DF6A45"/>
    <w:rsid w:val="00E00CD9"/>
    <w:rsid w:val="00E046EE"/>
    <w:rsid w:val="00E04BBE"/>
    <w:rsid w:val="00E05955"/>
    <w:rsid w:val="00E05BD3"/>
    <w:rsid w:val="00E06981"/>
    <w:rsid w:val="00E105C9"/>
    <w:rsid w:val="00E11093"/>
    <w:rsid w:val="00E13093"/>
    <w:rsid w:val="00E13C6A"/>
    <w:rsid w:val="00E13DC5"/>
    <w:rsid w:val="00E15101"/>
    <w:rsid w:val="00E15DC3"/>
    <w:rsid w:val="00E174FE"/>
    <w:rsid w:val="00E216D2"/>
    <w:rsid w:val="00E2364E"/>
    <w:rsid w:val="00E2379C"/>
    <w:rsid w:val="00E2517A"/>
    <w:rsid w:val="00E25838"/>
    <w:rsid w:val="00E30C92"/>
    <w:rsid w:val="00E31334"/>
    <w:rsid w:val="00E31C80"/>
    <w:rsid w:val="00E32163"/>
    <w:rsid w:val="00E3297F"/>
    <w:rsid w:val="00E32DA3"/>
    <w:rsid w:val="00E33268"/>
    <w:rsid w:val="00E3364B"/>
    <w:rsid w:val="00E34005"/>
    <w:rsid w:val="00E352FE"/>
    <w:rsid w:val="00E35D3D"/>
    <w:rsid w:val="00E363F6"/>
    <w:rsid w:val="00E366E6"/>
    <w:rsid w:val="00E377CA"/>
    <w:rsid w:val="00E41A41"/>
    <w:rsid w:val="00E42054"/>
    <w:rsid w:val="00E422DD"/>
    <w:rsid w:val="00E426AE"/>
    <w:rsid w:val="00E45199"/>
    <w:rsid w:val="00E46C38"/>
    <w:rsid w:val="00E510AD"/>
    <w:rsid w:val="00E51DF7"/>
    <w:rsid w:val="00E52549"/>
    <w:rsid w:val="00E539DA"/>
    <w:rsid w:val="00E5578A"/>
    <w:rsid w:val="00E568FD"/>
    <w:rsid w:val="00E60FDE"/>
    <w:rsid w:val="00E612B0"/>
    <w:rsid w:val="00E63AE2"/>
    <w:rsid w:val="00E64166"/>
    <w:rsid w:val="00E64B48"/>
    <w:rsid w:val="00E64B9D"/>
    <w:rsid w:val="00E667DC"/>
    <w:rsid w:val="00E66C3A"/>
    <w:rsid w:val="00E67EE8"/>
    <w:rsid w:val="00E71367"/>
    <w:rsid w:val="00E71F2F"/>
    <w:rsid w:val="00E73EA4"/>
    <w:rsid w:val="00E74A03"/>
    <w:rsid w:val="00E75459"/>
    <w:rsid w:val="00E75524"/>
    <w:rsid w:val="00E75EA2"/>
    <w:rsid w:val="00E76404"/>
    <w:rsid w:val="00E764BA"/>
    <w:rsid w:val="00E766B3"/>
    <w:rsid w:val="00E76F6E"/>
    <w:rsid w:val="00E771C8"/>
    <w:rsid w:val="00E7E2C8"/>
    <w:rsid w:val="00E7E894"/>
    <w:rsid w:val="00E84C82"/>
    <w:rsid w:val="00E85697"/>
    <w:rsid w:val="00E856F1"/>
    <w:rsid w:val="00E85FEB"/>
    <w:rsid w:val="00E870B8"/>
    <w:rsid w:val="00E900A8"/>
    <w:rsid w:val="00E90D4C"/>
    <w:rsid w:val="00E918BC"/>
    <w:rsid w:val="00E92745"/>
    <w:rsid w:val="00E935F2"/>
    <w:rsid w:val="00E93A86"/>
    <w:rsid w:val="00E96FC9"/>
    <w:rsid w:val="00E97418"/>
    <w:rsid w:val="00EA1701"/>
    <w:rsid w:val="00EA20D7"/>
    <w:rsid w:val="00EA331C"/>
    <w:rsid w:val="00EA7463"/>
    <w:rsid w:val="00EA786B"/>
    <w:rsid w:val="00EA78DE"/>
    <w:rsid w:val="00EA7FBA"/>
    <w:rsid w:val="00EB00AD"/>
    <w:rsid w:val="00EB026D"/>
    <w:rsid w:val="00EB123E"/>
    <w:rsid w:val="00EB189C"/>
    <w:rsid w:val="00EB3DEE"/>
    <w:rsid w:val="00EB409B"/>
    <w:rsid w:val="00EB4232"/>
    <w:rsid w:val="00EB5730"/>
    <w:rsid w:val="00EB5E35"/>
    <w:rsid w:val="00EB6082"/>
    <w:rsid w:val="00EB6185"/>
    <w:rsid w:val="00EB697D"/>
    <w:rsid w:val="00EB77B7"/>
    <w:rsid w:val="00EC0004"/>
    <w:rsid w:val="00EC0343"/>
    <w:rsid w:val="00EC0721"/>
    <w:rsid w:val="00EC078E"/>
    <w:rsid w:val="00EC07E1"/>
    <w:rsid w:val="00EC17B9"/>
    <w:rsid w:val="00EC2EF4"/>
    <w:rsid w:val="00EC2FC3"/>
    <w:rsid w:val="00EC38E4"/>
    <w:rsid w:val="00EC3C38"/>
    <w:rsid w:val="00EC4540"/>
    <w:rsid w:val="00EC6BF8"/>
    <w:rsid w:val="00EC7494"/>
    <w:rsid w:val="00EC7F9E"/>
    <w:rsid w:val="00ECB635"/>
    <w:rsid w:val="00ED01AB"/>
    <w:rsid w:val="00ED159E"/>
    <w:rsid w:val="00ED18ED"/>
    <w:rsid w:val="00ED1B74"/>
    <w:rsid w:val="00ED2AF4"/>
    <w:rsid w:val="00ED3326"/>
    <w:rsid w:val="00ED3724"/>
    <w:rsid w:val="00ED4487"/>
    <w:rsid w:val="00ED4DAA"/>
    <w:rsid w:val="00EE0345"/>
    <w:rsid w:val="00EE036C"/>
    <w:rsid w:val="00EE140B"/>
    <w:rsid w:val="00EE1900"/>
    <w:rsid w:val="00EE1CC3"/>
    <w:rsid w:val="00EE3AB7"/>
    <w:rsid w:val="00EE5447"/>
    <w:rsid w:val="00EE624C"/>
    <w:rsid w:val="00EE63B1"/>
    <w:rsid w:val="00EE669C"/>
    <w:rsid w:val="00EE66C7"/>
    <w:rsid w:val="00EE7676"/>
    <w:rsid w:val="00EE7B3D"/>
    <w:rsid w:val="00EF3132"/>
    <w:rsid w:val="00EF4EB8"/>
    <w:rsid w:val="00EF5472"/>
    <w:rsid w:val="00EF54C3"/>
    <w:rsid w:val="00F0093C"/>
    <w:rsid w:val="00F0266F"/>
    <w:rsid w:val="00F05C3A"/>
    <w:rsid w:val="00F07172"/>
    <w:rsid w:val="00F07191"/>
    <w:rsid w:val="00F0730D"/>
    <w:rsid w:val="00F07EB3"/>
    <w:rsid w:val="00F108F6"/>
    <w:rsid w:val="00F10C5F"/>
    <w:rsid w:val="00F12C4D"/>
    <w:rsid w:val="00F14191"/>
    <w:rsid w:val="00F1419E"/>
    <w:rsid w:val="00F14779"/>
    <w:rsid w:val="00F14A97"/>
    <w:rsid w:val="00F154CD"/>
    <w:rsid w:val="00F15E81"/>
    <w:rsid w:val="00F17BB4"/>
    <w:rsid w:val="00F20195"/>
    <w:rsid w:val="00F211B8"/>
    <w:rsid w:val="00F22485"/>
    <w:rsid w:val="00F22846"/>
    <w:rsid w:val="00F26502"/>
    <w:rsid w:val="00F26A84"/>
    <w:rsid w:val="00F26E4D"/>
    <w:rsid w:val="00F27A80"/>
    <w:rsid w:val="00F303C8"/>
    <w:rsid w:val="00F309B3"/>
    <w:rsid w:val="00F30C86"/>
    <w:rsid w:val="00F30D46"/>
    <w:rsid w:val="00F30F5D"/>
    <w:rsid w:val="00F31604"/>
    <w:rsid w:val="00F31918"/>
    <w:rsid w:val="00F327F9"/>
    <w:rsid w:val="00F32C22"/>
    <w:rsid w:val="00F34351"/>
    <w:rsid w:val="00F34434"/>
    <w:rsid w:val="00F34610"/>
    <w:rsid w:val="00F36323"/>
    <w:rsid w:val="00F36C45"/>
    <w:rsid w:val="00F36FE2"/>
    <w:rsid w:val="00F37201"/>
    <w:rsid w:val="00F420AA"/>
    <w:rsid w:val="00F43A41"/>
    <w:rsid w:val="00F43A52"/>
    <w:rsid w:val="00F43C0B"/>
    <w:rsid w:val="00F44C6D"/>
    <w:rsid w:val="00F45CEA"/>
    <w:rsid w:val="00F46150"/>
    <w:rsid w:val="00F4716A"/>
    <w:rsid w:val="00F477F4"/>
    <w:rsid w:val="00F5000B"/>
    <w:rsid w:val="00F507ED"/>
    <w:rsid w:val="00F516F7"/>
    <w:rsid w:val="00F517B5"/>
    <w:rsid w:val="00F52B14"/>
    <w:rsid w:val="00F54287"/>
    <w:rsid w:val="00F557FE"/>
    <w:rsid w:val="00F55891"/>
    <w:rsid w:val="00F560FB"/>
    <w:rsid w:val="00F561E8"/>
    <w:rsid w:val="00F565F0"/>
    <w:rsid w:val="00F56A37"/>
    <w:rsid w:val="00F56ADB"/>
    <w:rsid w:val="00F60251"/>
    <w:rsid w:val="00F622BC"/>
    <w:rsid w:val="00F64C58"/>
    <w:rsid w:val="00F64E10"/>
    <w:rsid w:val="00F655BC"/>
    <w:rsid w:val="00F65AF7"/>
    <w:rsid w:val="00F6778E"/>
    <w:rsid w:val="00F67BE6"/>
    <w:rsid w:val="00F72C43"/>
    <w:rsid w:val="00F7379D"/>
    <w:rsid w:val="00F73AAB"/>
    <w:rsid w:val="00F742D0"/>
    <w:rsid w:val="00F74498"/>
    <w:rsid w:val="00F745FF"/>
    <w:rsid w:val="00F75A47"/>
    <w:rsid w:val="00F7621E"/>
    <w:rsid w:val="00F762A2"/>
    <w:rsid w:val="00F77132"/>
    <w:rsid w:val="00F807F2"/>
    <w:rsid w:val="00F83B38"/>
    <w:rsid w:val="00F844C6"/>
    <w:rsid w:val="00F84622"/>
    <w:rsid w:val="00F84E86"/>
    <w:rsid w:val="00F84FC7"/>
    <w:rsid w:val="00F85EE8"/>
    <w:rsid w:val="00F86FDC"/>
    <w:rsid w:val="00F874ED"/>
    <w:rsid w:val="00F9072A"/>
    <w:rsid w:val="00F907D2"/>
    <w:rsid w:val="00F90912"/>
    <w:rsid w:val="00F92A21"/>
    <w:rsid w:val="00F933B7"/>
    <w:rsid w:val="00F9361E"/>
    <w:rsid w:val="00F93CEE"/>
    <w:rsid w:val="00F94A48"/>
    <w:rsid w:val="00F94EC2"/>
    <w:rsid w:val="00F95691"/>
    <w:rsid w:val="00F95D88"/>
    <w:rsid w:val="00F95F2F"/>
    <w:rsid w:val="00F96557"/>
    <w:rsid w:val="00F97753"/>
    <w:rsid w:val="00F97F8D"/>
    <w:rsid w:val="00FA0852"/>
    <w:rsid w:val="00FA1A5C"/>
    <w:rsid w:val="00FA2F9F"/>
    <w:rsid w:val="00FA3652"/>
    <w:rsid w:val="00FA3E20"/>
    <w:rsid w:val="00FA5918"/>
    <w:rsid w:val="00FA77C9"/>
    <w:rsid w:val="00FB1B04"/>
    <w:rsid w:val="00FB2237"/>
    <w:rsid w:val="00FB2F58"/>
    <w:rsid w:val="00FB384D"/>
    <w:rsid w:val="00FB593D"/>
    <w:rsid w:val="00FB5E7D"/>
    <w:rsid w:val="00FB78AF"/>
    <w:rsid w:val="00FB7A9D"/>
    <w:rsid w:val="00FC14D8"/>
    <w:rsid w:val="00FC19B4"/>
    <w:rsid w:val="00FC1B09"/>
    <w:rsid w:val="00FC1E19"/>
    <w:rsid w:val="00FC3564"/>
    <w:rsid w:val="00FC39B2"/>
    <w:rsid w:val="00FC3DA3"/>
    <w:rsid w:val="00FC45CF"/>
    <w:rsid w:val="00FC46BE"/>
    <w:rsid w:val="00FC4ADD"/>
    <w:rsid w:val="00FC4D4A"/>
    <w:rsid w:val="00FC5F68"/>
    <w:rsid w:val="00FC717C"/>
    <w:rsid w:val="00FD09E2"/>
    <w:rsid w:val="00FD0BFE"/>
    <w:rsid w:val="00FD1257"/>
    <w:rsid w:val="00FD18F7"/>
    <w:rsid w:val="00FD2A2B"/>
    <w:rsid w:val="00FD364C"/>
    <w:rsid w:val="00FD36D4"/>
    <w:rsid w:val="00FD4C06"/>
    <w:rsid w:val="00FD56F2"/>
    <w:rsid w:val="00FD5E9C"/>
    <w:rsid w:val="00FD66CB"/>
    <w:rsid w:val="00FD6E73"/>
    <w:rsid w:val="00FE0668"/>
    <w:rsid w:val="00FE0C17"/>
    <w:rsid w:val="00FE143C"/>
    <w:rsid w:val="00FE1BA8"/>
    <w:rsid w:val="00FE1DEE"/>
    <w:rsid w:val="00FE21DB"/>
    <w:rsid w:val="00FE24E7"/>
    <w:rsid w:val="00FE330D"/>
    <w:rsid w:val="00FE344B"/>
    <w:rsid w:val="00FE34A3"/>
    <w:rsid w:val="00FE3596"/>
    <w:rsid w:val="00FE591F"/>
    <w:rsid w:val="00FE62B2"/>
    <w:rsid w:val="00FE6486"/>
    <w:rsid w:val="00FE79CB"/>
    <w:rsid w:val="00FF12F2"/>
    <w:rsid w:val="00FF1A89"/>
    <w:rsid w:val="00FF1B85"/>
    <w:rsid w:val="00FF21E1"/>
    <w:rsid w:val="00FF57FC"/>
    <w:rsid w:val="00FF6732"/>
    <w:rsid w:val="010A4665"/>
    <w:rsid w:val="0148FF12"/>
    <w:rsid w:val="015BA8FD"/>
    <w:rsid w:val="017A46A8"/>
    <w:rsid w:val="019E0C28"/>
    <w:rsid w:val="01A06184"/>
    <w:rsid w:val="01F449F1"/>
    <w:rsid w:val="01F87F7B"/>
    <w:rsid w:val="0200A140"/>
    <w:rsid w:val="0201C33A"/>
    <w:rsid w:val="0223967F"/>
    <w:rsid w:val="024A2E24"/>
    <w:rsid w:val="0252FE7E"/>
    <w:rsid w:val="0257452F"/>
    <w:rsid w:val="026439F4"/>
    <w:rsid w:val="026A40CB"/>
    <w:rsid w:val="02A0EBC8"/>
    <w:rsid w:val="02A98E2A"/>
    <w:rsid w:val="02D4CCA4"/>
    <w:rsid w:val="02DA519F"/>
    <w:rsid w:val="02E07170"/>
    <w:rsid w:val="02ED9AD9"/>
    <w:rsid w:val="02FB7132"/>
    <w:rsid w:val="02FEFD63"/>
    <w:rsid w:val="034AE4BE"/>
    <w:rsid w:val="035389C6"/>
    <w:rsid w:val="03754DFF"/>
    <w:rsid w:val="03B6B78D"/>
    <w:rsid w:val="03B87027"/>
    <w:rsid w:val="03E5B308"/>
    <w:rsid w:val="03EB8B91"/>
    <w:rsid w:val="041DDA1F"/>
    <w:rsid w:val="043879D2"/>
    <w:rsid w:val="04A93932"/>
    <w:rsid w:val="04C2CF87"/>
    <w:rsid w:val="04F022A6"/>
    <w:rsid w:val="04F0A51F"/>
    <w:rsid w:val="05142470"/>
    <w:rsid w:val="0539BFB7"/>
    <w:rsid w:val="054B5A20"/>
    <w:rsid w:val="055ED70D"/>
    <w:rsid w:val="059D845F"/>
    <w:rsid w:val="05CA451C"/>
    <w:rsid w:val="05E76F56"/>
    <w:rsid w:val="05FFD86D"/>
    <w:rsid w:val="0609092B"/>
    <w:rsid w:val="061B4AB9"/>
    <w:rsid w:val="061D8294"/>
    <w:rsid w:val="0658104B"/>
    <w:rsid w:val="0692FDCC"/>
    <w:rsid w:val="06ACF34C"/>
    <w:rsid w:val="06BCFFD2"/>
    <w:rsid w:val="06F9D6C6"/>
    <w:rsid w:val="072B5D37"/>
    <w:rsid w:val="073D9EC5"/>
    <w:rsid w:val="0752D5AB"/>
    <w:rsid w:val="076AAB01"/>
    <w:rsid w:val="076C291D"/>
    <w:rsid w:val="07A7F9F9"/>
    <w:rsid w:val="07BE3E57"/>
    <w:rsid w:val="07BFACE9"/>
    <w:rsid w:val="07D0EB63"/>
    <w:rsid w:val="07D2D1C5"/>
    <w:rsid w:val="07F7E424"/>
    <w:rsid w:val="0814175D"/>
    <w:rsid w:val="082EDFD1"/>
    <w:rsid w:val="085DD637"/>
    <w:rsid w:val="08ACDDF0"/>
    <w:rsid w:val="08AFE578"/>
    <w:rsid w:val="08BFA4EF"/>
    <w:rsid w:val="08F8BEA1"/>
    <w:rsid w:val="09266845"/>
    <w:rsid w:val="09287DAF"/>
    <w:rsid w:val="0930569B"/>
    <w:rsid w:val="09510D16"/>
    <w:rsid w:val="097D32D3"/>
    <w:rsid w:val="09B30305"/>
    <w:rsid w:val="09BB9586"/>
    <w:rsid w:val="09CE92DF"/>
    <w:rsid w:val="0A106EB9"/>
    <w:rsid w:val="0A307B69"/>
    <w:rsid w:val="0A317788"/>
    <w:rsid w:val="0ABC9878"/>
    <w:rsid w:val="0ABCF162"/>
    <w:rsid w:val="0AD1BC8D"/>
    <w:rsid w:val="0ADCE5F4"/>
    <w:rsid w:val="0AE1727C"/>
    <w:rsid w:val="0AE9C3AE"/>
    <w:rsid w:val="0B41C674"/>
    <w:rsid w:val="0B5961A4"/>
    <w:rsid w:val="0B7B6C41"/>
    <w:rsid w:val="0BAB94C8"/>
    <w:rsid w:val="0BD368FB"/>
    <w:rsid w:val="0BD51ADB"/>
    <w:rsid w:val="0C0E3F12"/>
    <w:rsid w:val="0C3DA8C3"/>
    <w:rsid w:val="0C52CF72"/>
    <w:rsid w:val="0C6B7E48"/>
    <w:rsid w:val="0CBC6209"/>
    <w:rsid w:val="0CD63F47"/>
    <w:rsid w:val="0CF1D1E9"/>
    <w:rsid w:val="0CF22A20"/>
    <w:rsid w:val="0D0CF237"/>
    <w:rsid w:val="0D2CAF1A"/>
    <w:rsid w:val="0D355881"/>
    <w:rsid w:val="0D8D91C9"/>
    <w:rsid w:val="0DEC7E29"/>
    <w:rsid w:val="0DECFD1B"/>
    <w:rsid w:val="0E216470"/>
    <w:rsid w:val="0E3D8CBD"/>
    <w:rsid w:val="0E488823"/>
    <w:rsid w:val="0E660CDD"/>
    <w:rsid w:val="0E766A74"/>
    <w:rsid w:val="0EA48E75"/>
    <w:rsid w:val="0ED8A605"/>
    <w:rsid w:val="0EE26865"/>
    <w:rsid w:val="0EEF82E3"/>
    <w:rsid w:val="0F220CBB"/>
    <w:rsid w:val="0F2F88EC"/>
    <w:rsid w:val="0F510E0F"/>
    <w:rsid w:val="0F6CB22A"/>
    <w:rsid w:val="0F825677"/>
    <w:rsid w:val="0F8F095A"/>
    <w:rsid w:val="0F96C314"/>
    <w:rsid w:val="0FAEEF52"/>
    <w:rsid w:val="0FC130E0"/>
    <w:rsid w:val="0FD10BCA"/>
    <w:rsid w:val="0FF3B370"/>
    <w:rsid w:val="0FFFCEDB"/>
    <w:rsid w:val="101FFA68"/>
    <w:rsid w:val="103A5E73"/>
    <w:rsid w:val="10A2D05C"/>
    <w:rsid w:val="10D3E8CA"/>
    <w:rsid w:val="10D99498"/>
    <w:rsid w:val="10F677A6"/>
    <w:rsid w:val="11005DB4"/>
    <w:rsid w:val="1102A4C7"/>
    <w:rsid w:val="11186E52"/>
    <w:rsid w:val="11199E88"/>
    <w:rsid w:val="112D1941"/>
    <w:rsid w:val="1140A1C2"/>
    <w:rsid w:val="11487F57"/>
    <w:rsid w:val="114E298B"/>
    <w:rsid w:val="11D8A8A5"/>
    <w:rsid w:val="121135CF"/>
    <w:rsid w:val="121FEFAB"/>
    <w:rsid w:val="1222BA44"/>
    <w:rsid w:val="1236B59D"/>
    <w:rsid w:val="12429F32"/>
    <w:rsid w:val="12642385"/>
    <w:rsid w:val="127ADA7F"/>
    <w:rsid w:val="127F6B51"/>
    <w:rsid w:val="1286788A"/>
    <w:rsid w:val="1289FC23"/>
    <w:rsid w:val="1299A4DE"/>
    <w:rsid w:val="12B02150"/>
    <w:rsid w:val="12B1D7DD"/>
    <w:rsid w:val="12E15A74"/>
    <w:rsid w:val="132A6C8F"/>
    <w:rsid w:val="132C5C60"/>
    <w:rsid w:val="13430FC6"/>
    <w:rsid w:val="1355A2B8"/>
    <w:rsid w:val="1363BAB5"/>
    <w:rsid w:val="1367FED1"/>
    <w:rsid w:val="136D55C9"/>
    <w:rsid w:val="13835149"/>
    <w:rsid w:val="139A830C"/>
    <w:rsid w:val="13A7D466"/>
    <w:rsid w:val="13A8CC96"/>
    <w:rsid w:val="13B05A4C"/>
    <w:rsid w:val="13B67B3C"/>
    <w:rsid w:val="13C86F9C"/>
    <w:rsid w:val="14001DDF"/>
    <w:rsid w:val="141B25AE"/>
    <w:rsid w:val="144FD8B3"/>
    <w:rsid w:val="1496CD12"/>
    <w:rsid w:val="14A1AEF5"/>
    <w:rsid w:val="14CBA5EF"/>
    <w:rsid w:val="151D905C"/>
    <w:rsid w:val="154052F2"/>
    <w:rsid w:val="1567D6DC"/>
    <w:rsid w:val="156D39C3"/>
    <w:rsid w:val="157446A2"/>
    <w:rsid w:val="159AEF3A"/>
    <w:rsid w:val="163D0223"/>
    <w:rsid w:val="164EC4C5"/>
    <w:rsid w:val="165332D8"/>
    <w:rsid w:val="1655E802"/>
    <w:rsid w:val="166B2C3E"/>
    <w:rsid w:val="1671A9C5"/>
    <w:rsid w:val="16776191"/>
    <w:rsid w:val="168966B1"/>
    <w:rsid w:val="168B94CB"/>
    <w:rsid w:val="16A6E6CB"/>
    <w:rsid w:val="16B288C6"/>
    <w:rsid w:val="16B9FB9B"/>
    <w:rsid w:val="16E30F72"/>
    <w:rsid w:val="16E9E479"/>
    <w:rsid w:val="16F160B5"/>
    <w:rsid w:val="16F4CE1F"/>
    <w:rsid w:val="170A1F33"/>
    <w:rsid w:val="17500D08"/>
    <w:rsid w:val="17519B08"/>
    <w:rsid w:val="17636A6E"/>
    <w:rsid w:val="17736BA2"/>
    <w:rsid w:val="178FAF49"/>
    <w:rsid w:val="17D22632"/>
    <w:rsid w:val="17D6CBD3"/>
    <w:rsid w:val="17E6A071"/>
    <w:rsid w:val="17FFD636"/>
    <w:rsid w:val="18222695"/>
    <w:rsid w:val="1832BC25"/>
    <w:rsid w:val="1882C922"/>
    <w:rsid w:val="189D1331"/>
    <w:rsid w:val="18F0FAD3"/>
    <w:rsid w:val="1901CAE1"/>
    <w:rsid w:val="19202868"/>
    <w:rsid w:val="1926C65E"/>
    <w:rsid w:val="192C38AD"/>
    <w:rsid w:val="198F38EC"/>
    <w:rsid w:val="1999EEEC"/>
    <w:rsid w:val="19CA1A6D"/>
    <w:rsid w:val="19D209B3"/>
    <w:rsid w:val="19D7B653"/>
    <w:rsid w:val="1A453E11"/>
    <w:rsid w:val="1A6F9DFB"/>
    <w:rsid w:val="1AA07410"/>
    <w:rsid w:val="1ABDC1CE"/>
    <w:rsid w:val="1AF05B58"/>
    <w:rsid w:val="1B158CB8"/>
    <w:rsid w:val="1B5B46E7"/>
    <w:rsid w:val="1B60D086"/>
    <w:rsid w:val="1B704852"/>
    <w:rsid w:val="1BDB4D63"/>
    <w:rsid w:val="1C10FFE3"/>
    <w:rsid w:val="1C5EE141"/>
    <w:rsid w:val="1CBD30CC"/>
    <w:rsid w:val="1CEA9F24"/>
    <w:rsid w:val="1CEDAA89"/>
    <w:rsid w:val="1CFADF8F"/>
    <w:rsid w:val="1CFBCCD3"/>
    <w:rsid w:val="1D406C43"/>
    <w:rsid w:val="1D444C32"/>
    <w:rsid w:val="1D588BA7"/>
    <w:rsid w:val="1D6242A1"/>
    <w:rsid w:val="1D635DC0"/>
    <w:rsid w:val="1DACE125"/>
    <w:rsid w:val="1DAE1C88"/>
    <w:rsid w:val="1DF0BAE7"/>
    <w:rsid w:val="1E077305"/>
    <w:rsid w:val="1E08BF08"/>
    <w:rsid w:val="1E62D1D7"/>
    <w:rsid w:val="1EB8F215"/>
    <w:rsid w:val="1EDC3CA4"/>
    <w:rsid w:val="1EFC8AB8"/>
    <w:rsid w:val="1F1ED3CD"/>
    <w:rsid w:val="1F58F368"/>
    <w:rsid w:val="1F91E448"/>
    <w:rsid w:val="1FE2695E"/>
    <w:rsid w:val="1FF0AEDD"/>
    <w:rsid w:val="1FF371A6"/>
    <w:rsid w:val="2016247B"/>
    <w:rsid w:val="2027E6FF"/>
    <w:rsid w:val="2042C391"/>
    <w:rsid w:val="2067A23F"/>
    <w:rsid w:val="20A0A9D1"/>
    <w:rsid w:val="2125DC8E"/>
    <w:rsid w:val="212BE7E8"/>
    <w:rsid w:val="21387887"/>
    <w:rsid w:val="214493F2"/>
    <w:rsid w:val="2146BF01"/>
    <w:rsid w:val="21559CF3"/>
    <w:rsid w:val="21C72BC2"/>
    <w:rsid w:val="220EF361"/>
    <w:rsid w:val="22345482"/>
    <w:rsid w:val="22537ACF"/>
    <w:rsid w:val="2283629E"/>
    <w:rsid w:val="2291351E"/>
    <w:rsid w:val="22AB3A82"/>
    <w:rsid w:val="22B7B62E"/>
    <w:rsid w:val="22C14848"/>
    <w:rsid w:val="22DB6C25"/>
    <w:rsid w:val="23017FFD"/>
    <w:rsid w:val="232D709D"/>
    <w:rsid w:val="232E76BD"/>
    <w:rsid w:val="23379053"/>
    <w:rsid w:val="23609106"/>
    <w:rsid w:val="23C3D6BB"/>
    <w:rsid w:val="23CB3DA1"/>
    <w:rsid w:val="23D6DCCB"/>
    <w:rsid w:val="241D160B"/>
    <w:rsid w:val="244BE6DA"/>
    <w:rsid w:val="24974E8E"/>
    <w:rsid w:val="24A18117"/>
    <w:rsid w:val="24B35462"/>
    <w:rsid w:val="24C066BC"/>
    <w:rsid w:val="24E3A5D3"/>
    <w:rsid w:val="24E78140"/>
    <w:rsid w:val="24F8B6EA"/>
    <w:rsid w:val="2521105C"/>
    <w:rsid w:val="255EFFC3"/>
    <w:rsid w:val="257CBBBC"/>
    <w:rsid w:val="2592211D"/>
    <w:rsid w:val="25BCDB21"/>
    <w:rsid w:val="25BE19FE"/>
    <w:rsid w:val="25C38F90"/>
    <w:rsid w:val="25D8126D"/>
    <w:rsid w:val="25F805E3"/>
    <w:rsid w:val="26089703"/>
    <w:rsid w:val="2619A2E5"/>
    <w:rsid w:val="26359EE0"/>
    <w:rsid w:val="26772080"/>
    <w:rsid w:val="26783D1C"/>
    <w:rsid w:val="267D19A9"/>
    <w:rsid w:val="269347D2"/>
    <w:rsid w:val="26A906D1"/>
    <w:rsid w:val="26CE8B72"/>
    <w:rsid w:val="26E2565B"/>
    <w:rsid w:val="26FBDD55"/>
    <w:rsid w:val="26FC533D"/>
    <w:rsid w:val="270E5302"/>
    <w:rsid w:val="27139B1E"/>
    <w:rsid w:val="2734E18B"/>
    <w:rsid w:val="273CB42A"/>
    <w:rsid w:val="275C4E1F"/>
    <w:rsid w:val="275FCEBF"/>
    <w:rsid w:val="27743CDD"/>
    <w:rsid w:val="2781484E"/>
    <w:rsid w:val="2786A5C2"/>
    <w:rsid w:val="278ACE64"/>
    <w:rsid w:val="2798297C"/>
    <w:rsid w:val="27B62B75"/>
    <w:rsid w:val="27C1CB60"/>
    <w:rsid w:val="27DFB021"/>
    <w:rsid w:val="27F9D7B7"/>
    <w:rsid w:val="27FEC0B2"/>
    <w:rsid w:val="2808C810"/>
    <w:rsid w:val="28324B79"/>
    <w:rsid w:val="2876FCBE"/>
    <w:rsid w:val="288F7283"/>
    <w:rsid w:val="28CAD14E"/>
    <w:rsid w:val="2900F288"/>
    <w:rsid w:val="29252356"/>
    <w:rsid w:val="294BEF82"/>
    <w:rsid w:val="298253E8"/>
    <w:rsid w:val="29AB9A14"/>
    <w:rsid w:val="29B4E765"/>
    <w:rsid w:val="29D9C81B"/>
    <w:rsid w:val="29FC49A1"/>
    <w:rsid w:val="2A0CEA2B"/>
    <w:rsid w:val="2A2AC03A"/>
    <w:rsid w:val="2A3586F7"/>
    <w:rsid w:val="2A3F6CBB"/>
    <w:rsid w:val="2A927753"/>
    <w:rsid w:val="2AC2C813"/>
    <w:rsid w:val="2AC4EA77"/>
    <w:rsid w:val="2ACFCA3E"/>
    <w:rsid w:val="2AFA6410"/>
    <w:rsid w:val="2B099667"/>
    <w:rsid w:val="2B3766FB"/>
    <w:rsid w:val="2B617940"/>
    <w:rsid w:val="2BD18AC8"/>
    <w:rsid w:val="2BD2AEDC"/>
    <w:rsid w:val="2C21865F"/>
    <w:rsid w:val="2C2A1961"/>
    <w:rsid w:val="2C968FC1"/>
    <w:rsid w:val="2C97C4B8"/>
    <w:rsid w:val="2CAEFA2D"/>
    <w:rsid w:val="2CAFF0E7"/>
    <w:rsid w:val="2CB1A9CD"/>
    <w:rsid w:val="2CD81B8A"/>
    <w:rsid w:val="2CF71B7A"/>
    <w:rsid w:val="2CFC6919"/>
    <w:rsid w:val="2D5F0314"/>
    <w:rsid w:val="2D6ACA78"/>
    <w:rsid w:val="2D96B232"/>
    <w:rsid w:val="2DAEDCF7"/>
    <w:rsid w:val="2DC1AE9F"/>
    <w:rsid w:val="2DE5839C"/>
    <w:rsid w:val="2E3949FF"/>
    <w:rsid w:val="2E885888"/>
    <w:rsid w:val="2E9FBAC3"/>
    <w:rsid w:val="2EC4F989"/>
    <w:rsid w:val="2ECA28E8"/>
    <w:rsid w:val="2EDAB3AE"/>
    <w:rsid w:val="2F24A9AE"/>
    <w:rsid w:val="2F2A1420"/>
    <w:rsid w:val="2F3F76B9"/>
    <w:rsid w:val="2F532526"/>
    <w:rsid w:val="2FB8F827"/>
    <w:rsid w:val="2FEB6944"/>
    <w:rsid w:val="300A8D98"/>
    <w:rsid w:val="3010875F"/>
    <w:rsid w:val="30499E87"/>
    <w:rsid w:val="3050C1C4"/>
    <w:rsid w:val="3068DEEC"/>
    <w:rsid w:val="30977B7E"/>
    <w:rsid w:val="3134AC1F"/>
    <w:rsid w:val="3162A542"/>
    <w:rsid w:val="316D6A0A"/>
    <w:rsid w:val="31CC9AD4"/>
    <w:rsid w:val="31CE0E3B"/>
    <w:rsid w:val="320CA42D"/>
    <w:rsid w:val="32147CD5"/>
    <w:rsid w:val="321EB315"/>
    <w:rsid w:val="3223FA84"/>
    <w:rsid w:val="322A316A"/>
    <w:rsid w:val="32387980"/>
    <w:rsid w:val="32719ABD"/>
    <w:rsid w:val="327DD611"/>
    <w:rsid w:val="328AC5E8"/>
    <w:rsid w:val="3293CBC8"/>
    <w:rsid w:val="32C59A4C"/>
    <w:rsid w:val="32E9078A"/>
    <w:rsid w:val="336CD2AC"/>
    <w:rsid w:val="33F635AD"/>
    <w:rsid w:val="341FCD34"/>
    <w:rsid w:val="345D8427"/>
    <w:rsid w:val="347111F2"/>
    <w:rsid w:val="347A2CDF"/>
    <w:rsid w:val="34954BBB"/>
    <w:rsid w:val="34A39355"/>
    <w:rsid w:val="34BBBF93"/>
    <w:rsid w:val="34C023C3"/>
    <w:rsid w:val="352170FF"/>
    <w:rsid w:val="3526FCC8"/>
    <w:rsid w:val="352E18AB"/>
    <w:rsid w:val="353CB016"/>
    <w:rsid w:val="355CD4D4"/>
    <w:rsid w:val="359F64C9"/>
    <w:rsid w:val="35F0552D"/>
    <w:rsid w:val="3627CFEB"/>
    <w:rsid w:val="363DE3FC"/>
    <w:rsid w:val="36498F21"/>
    <w:rsid w:val="3675E255"/>
    <w:rsid w:val="368428CF"/>
    <w:rsid w:val="3779E400"/>
    <w:rsid w:val="378ED526"/>
    <w:rsid w:val="37CB0754"/>
    <w:rsid w:val="38323ABE"/>
    <w:rsid w:val="38763532"/>
    <w:rsid w:val="387B92E9"/>
    <w:rsid w:val="38A9EEF3"/>
    <w:rsid w:val="38CD30A2"/>
    <w:rsid w:val="38F74FAC"/>
    <w:rsid w:val="38FCF5F1"/>
    <w:rsid w:val="3930F54A"/>
    <w:rsid w:val="3931443B"/>
    <w:rsid w:val="394EDEE4"/>
    <w:rsid w:val="395A977E"/>
    <w:rsid w:val="3967FE12"/>
    <w:rsid w:val="39932CC5"/>
    <w:rsid w:val="39AD8317"/>
    <w:rsid w:val="39BEAC95"/>
    <w:rsid w:val="3A1AC869"/>
    <w:rsid w:val="3A3ED237"/>
    <w:rsid w:val="3A4AAC87"/>
    <w:rsid w:val="3A60D031"/>
    <w:rsid w:val="3A9D5493"/>
    <w:rsid w:val="3AE50253"/>
    <w:rsid w:val="3AF1A270"/>
    <w:rsid w:val="3AFD6C1D"/>
    <w:rsid w:val="3B0C2CF9"/>
    <w:rsid w:val="3B74B4C1"/>
    <w:rsid w:val="3B9C5E10"/>
    <w:rsid w:val="3BBCA02E"/>
    <w:rsid w:val="3BDD10D3"/>
    <w:rsid w:val="3BE123DA"/>
    <w:rsid w:val="3BEF3D06"/>
    <w:rsid w:val="3C000268"/>
    <w:rsid w:val="3C04BA0A"/>
    <w:rsid w:val="3C3AC1C8"/>
    <w:rsid w:val="3C437395"/>
    <w:rsid w:val="3C53CECD"/>
    <w:rsid w:val="3C75CA55"/>
    <w:rsid w:val="3CC5D559"/>
    <w:rsid w:val="3CC80FCA"/>
    <w:rsid w:val="3CD0F3AA"/>
    <w:rsid w:val="3CDED566"/>
    <w:rsid w:val="3D16B4E2"/>
    <w:rsid w:val="3D18D1A5"/>
    <w:rsid w:val="3D2DDD75"/>
    <w:rsid w:val="3D7C892C"/>
    <w:rsid w:val="3D8B3909"/>
    <w:rsid w:val="3DEDB809"/>
    <w:rsid w:val="3DEDF02D"/>
    <w:rsid w:val="3E10D06D"/>
    <w:rsid w:val="3E27FFED"/>
    <w:rsid w:val="3E330FE5"/>
    <w:rsid w:val="3E605E6D"/>
    <w:rsid w:val="3E6CC40B"/>
    <w:rsid w:val="3EF1D8EC"/>
    <w:rsid w:val="3F3452CA"/>
    <w:rsid w:val="3F394AF8"/>
    <w:rsid w:val="3F4C7F08"/>
    <w:rsid w:val="3F65FAE7"/>
    <w:rsid w:val="3F70C655"/>
    <w:rsid w:val="3F7CD689"/>
    <w:rsid w:val="3F90DE7F"/>
    <w:rsid w:val="3F923F45"/>
    <w:rsid w:val="3F9B2229"/>
    <w:rsid w:val="3FB0E677"/>
    <w:rsid w:val="3FE48F27"/>
    <w:rsid w:val="4020C0AA"/>
    <w:rsid w:val="4028606A"/>
    <w:rsid w:val="402DC5E0"/>
    <w:rsid w:val="403A0955"/>
    <w:rsid w:val="403AE4B7"/>
    <w:rsid w:val="40470EE8"/>
    <w:rsid w:val="4083BABE"/>
    <w:rsid w:val="4092AFF0"/>
    <w:rsid w:val="409A3CFF"/>
    <w:rsid w:val="40F9E3DD"/>
    <w:rsid w:val="41029EFA"/>
    <w:rsid w:val="41031690"/>
    <w:rsid w:val="410B83BE"/>
    <w:rsid w:val="41243361"/>
    <w:rsid w:val="412E0FA6"/>
    <w:rsid w:val="4136F28A"/>
    <w:rsid w:val="415D0305"/>
    <w:rsid w:val="4165F53D"/>
    <w:rsid w:val="41797F2C"/>
    <w:rsid w:val="41CBD9BC"/>
    <w:rsid w:val="41DD3F99"/>
    <w:rsid w:val="41FF2822"/>
    <w:rsid w:val="42030CE2"/>
    <w:rsid w:val="42047C57"/>
    <w:rsid w:val="4220CB5B"/>
    <w:rsid w:val="424F61EC"/>
    <w:rsid w:val="426B824B"/>
    <w:rsid w:val="42750999"/>
    <w:rsid w:val="4278B5EF"/>
    <w:rsid w:val="427C0B1F"/>
    <w:rsid w:val="428EC5D3"/>
    <w:rsid w:val="42BE9A1C"/>
    <w:rsid w:val="42DF518C"/>
    <w:rsid w:val="42E2E13A"/>
    <w:rsid w:val="42E521DC"/>
    <w:rsid w:val="42EF55A5"/>
    <w:rsid w:val="42F4EDF6"/>
    <w:rsid w:val="43009A6E"/>
    <w:rsid w:val="432F21A4"/>
    <w:rsid w:val="4339EBBF"/>
    <w:rsid w:val="43A4AE0D"/>
    <w:rsid w:val="43A673D6"/>
    <w:rsid w:val="43B19227"/>
    <w:rsid w:val="43C9B11B"/>
    <w:rsid w:val="43E198D2"/>
    <w:rsid w:val="43E24AC8"/>
    <w:rsid w:val="43EB4BF0"/>
    <w:rsid w:val="43F7535F"/>
    <w:rsid w:val="4440AE67"/>
    <w:rsid w:val="444D207E"/>
    <w:rsid w:val="447B9577"/>
    <w:rsid w:val="4485B268"/>
    <w:rsid w:val="44E633DA"/>
    <w:rsid w:val="44E9FD47"/>
    <w:rsid w:val="44EFD227"/>
    <w:rsid w:val="452065A5"/>
    <w:rsid w:val="455D254B"/>
    <w:rsid w:val="4562DA10"/>
    <w:rsid w:val="45648653"/>
    <w:rsid w:val="456CB203"/>
    <w:rsid w:val="4578E258"/>
    <w:rsid w:val="458FB9AF"/>
    <w:rsid w:val="45F17844"/>
    <w:rsid w:val="45F3EF4A"/>
    <w:rsid w:val="461FD32A"/>
    <w:rsid w:val="46699071"/>
    <w:rsid w:val="46F05626"/>
    <w:rsid w:val="46F810DB"/>
    <w:rsid w:val="46F989E2"/>
    <w:rsid w:val="46FC8991"/>
    <w:rsid w:val="4722D8B6"/>
    <w:rsid w:val="473977BC"/>
    <w:rsid w:val="4756A902"/>
    <w:rsid w:val="4779C519"/>
    <w:rsid w:val="4788798A"/>
    <w:rsid w:val="47971B9A"/>
    <w:rsid w:val="47C2E745"/>
    <w:rsid w:val="47C5189B"/>
    <w:rsid w:val="480068A4"/>
    <w:rsid w:val="480EAE23"/>
    <w:rsid w:val="480F1F9E"/>
    <w:rsid w:val="4853733C"/>
    <w:rsid w:val="486F5EA4"/>
    <w:rsid w:val="4888BBE8"/>
    <w:rsid w:val="488C2687"/>
    <w:rsid w:val="48D315B4"/>
    <w:rsid w:val="48D5D17A"/>
    <w:rsid w:val="48FB66C9"/>
    <w:rsid w:val="4964BBE1"/>
    <w:rsid w:val="496DAC6B"/>
    <w:rsid w:val="496E7E7A"/>
    <w:rsid w:val="49B8C2E3"/>
    <w:rsid w:val="49C105AA"/>
    <w:rsid w:val="49D7175F"/>
    <w:rsid w:val="4A2DD9DC"/>
    <w:rsid w:val="4A6B7831"/>
    <w:rsid w:val="4A7E47ED"/>
    <w:rsid w:val="4A83FDAC"/>
    <w:rsid w:val="4A910417"/>
    <w:rsid w:val="4A91F436"/>
    <w:rsid w:val="4AD25D7A"/>
    <w:rsid w:val="4AEB920A"/>
    <w:rsid w:val="4AED8D69"/>
    <w:rsid w:val="4AF291F3"/>
    <w:rsid w:val="4AFE3B19"/>
    <w:rsid w:val="4B008EA8"/>
    <w:rsid w:val="4B1ABD60"/>
    <w:rsid w:val="4B5C38B2"/>
    <w:rsid w:val="4B7A5AB7"/>
    <w:rsid w:val="4B99344D"/>
    <w:rsid w:val="4BB196B9"/>
    <w:rsid w:val="4BB1D60B"/>
    <w:rsid w:val="4BE219AA"/>
    <w:rsid w:val="4C2653C5"/>
    <w:rsid w:val="4C57CDAC"/>
    <w:rsid w:val="4C643B7A"/>
    <w:rsid w:val="4C7DA801"/>
    <w:rsid w:val="4C8E603F"/>
    <w:rsid w:val="4C953BCC"/>
    <w:rsid w:val="4CBD6D30"/>
    <w:rsid w:val="4CC56E6D"/>
    <w:rsid w:val="4CDBE6CF"/>
    <w:rsid w:val="4CF50F2C"/>
    <w:rsid w:val="4CFCE04D"/>
    <w:rsid w:val="4D12E6A5"/>
    <w:rsid w:val="4D80151A"/>
    <w:rsid w:val="4D9929C5"/>
    <w:rsid w:val="4DBFDA13"/>
    <w:rsid w:val="4DE04128"/>
    <w:rsid w:val="4DEC12DF"/>
    <w:rsid w:val="4E0A9A70"/>
    <w:rsid w:val="4E20369C"/>
    <w:rsid w:val="4E205F9D"/>
    <w:rsid w:val="4E3EEE00"/>
    <w:rsid w:val="4E5B79F9"/>
    <w:rsid w:val="4E7B34B2"/>
    <w:rsid w:val="4E81C215"/>
    <w:rsid w:val="4EA03E17"/>
    <w:rsid w:val="4ED9A2A1"/>
    <w:rsid w:val="4EDE4322"/>
    <w:rsid w:val="4EFF9FE0"/>
    <w:rsid w:val="4F014AFF"/>
    <w:rsid w:val="4F209E35"/>
    <w:rsid w:val="4F2311BB"/>
    <w:rsid w:val="4F483203"/>
    <w:rsid w:val="4F83F4C7"/>
    <w:rsid w:val="4F88EA78"/>
    <w:rsid w:val="4FA66AD1"/>
    <w:rsid w:val="4FEB36A4"/>
    <w:rsid w:val="50543AB6"/>
    <w:rsid w:val="5099BCEA"/>
    <w:rsid w:val="50A0C997"/>
    <w:rsid w:val="50F3F696"/>
    <w:rsid w:val="5123DE34"/>
    <w:rsid w:val="5140F022"/>
    <w:rsid w:val="5147012E"/>
    <w:rsid w:val="515652C8"/>
    <w:rsid w:val="518E228D"/>
    <w:rsid w:val="51AD710D"/>
    <w:rsid w:val="51AF140C"/>
    <w:rsid w:val="523A9150"/>
    <w:rsid w:val="52455AB9"/>
    <w:rsid w:val="524A4B6A"/>
    <w:rsid w:val="524AD008"/>
    <w:rsid w:val="526BE328"/>
    <w:rsid w:val="529CABB0"/>
    <w:rsid w:val="529F6D98"/>
    <w:rsid w:val="52DC78BC"/>
    <w:rsid w:val="52F83F1D"/>
    <w:rsid w:val="5307152A"/>
    <w:rsid w:val="53094F34"/>
    <w:rsid w:val="531A3E77"/>
    <w:rsid w:val="536EB70C"/>
    <w:rsid w:val="5372E590"/>
    <w:rsid w:val="5374976A"/>
    <w:rsid w:val="538251D0"/>
    <w:rsid w:val="538C5AC2"/>
    <w:rsid w:val="539F1264"/>
    <w:rsid w:val="53B15116"/>
    <w:rsid w:val="53C1C1A4"/>
    <w:rsid w:val="53C8A9AE"/>
    <w:rsid w:val="53C8E4E1"/>
    <w:rsid w:val="540124DA"/>
    <w:rsid w:val="5417B763"/>
    <w:rsid w:val="5418F54A"/>
    <w:rsid w:val="5435624E"/>
    <w:rsid w:val="546F9189"/>
    <w:rsid w:val="549969DB"/>
    <w:rsid w:val="54B18434"/>
    <w:rsid w:val="54B766C6"/>
    <w:rsid w:val="55013A1C"/>
    <w:rsid w:val="553FB4F3"/>
    <w:rsid w:val="5576616D"/>
    <w:rsid w:val="56159AB9"/>
    <w:rsid w:val="562AFC3F"/>
    <w:rsid w:val="562C900B"/>
    <w:rsid w:val="563AFAEE"/>
    <w:rsid w:val="5682C522"/>
    <w:rsid w:val="5689AE3B"/>
    <w:rsid w:val="568F6D98"/>
    <w:rsid w:val="569CA57A"/>
    <w:rsid w:val="56EF30C5"/>
    <w:rsid w:val="56FEE0B3"/>
    <w:rsid w:val="57235C77"/>
    <w:rsid w:val="5753534F"/>
    <w:rsid w:val="575652C2"/>
    <w:rsid w:val="5768D33A"/>
    <w:rsid w:val="577D8073"/>
    <w:rsid w:val="57985459"/>
    <w:rsid w:val="579EA787"/>
    <w:rsid w:val="57AECC76"/>
    <w:rsid w:val="57D2907C"/>
    <w:rsid w:val="57FC307E"/>
    <w:rsid w:val="581AEAB0"/>
    <w:rsid w:val="581ED6DF"/>
    <w:rsid w:val="582A5270"/>
    <w:rsid w:val="583ED41D"/>
    <w:rsid w:val="587031FA"/>
    <w:rsid w:val="588D2EC5"/>
    <w:rsid w:val="58965012"/>
    <w:rsid w:val="58DC0FA6"/>
    <w:rsid w:val="58E82845"/>
    <w:rsid w:val="590A3089"/>
    <w:rsid w:val="59802991"/>
    <w:rsid w:val="59824A87"/>
    <w:rsid w:val="59983853"/>
    <w:rsid w:val="59999C56"/>
    <w:rsid w:val="599CA427"/>
    <w:rsid w:val="59A071C9"/>
    <w:rsid w:val="59AC72BE"/>
    <w:rsid w:val="59CDA99E"/>
    <w:rsid w:val="59CE4F35"/>
    <w:rsid w:val="59FFDB98"/>
    <w:rsid w:val="5A036E2E"/>
    <w:rsid w:val="5A045BB3"/>
    <w:rsid w:val="5A387E94"/>
    <w:rsid w:val="5A73245D"/>
    <w:rsid w:val="5AC6BF94"/>
    <w:rsid w:val="5B2CE577"/>
    <w:rsid w:val="5B613907"/>
    <w:rsid w:val="5B779721"/>
    <w:rsid w:val="5BC12C7B"/>
    <w:rsid w:val="5BC13420"/>
    <w:rsid w:val="5BC84B39"/>
    <w:rsid w:val="5BF1E51F"/>
    <w:rsid w:val="5C00591F"/>
    <w:rsid w:val="5C0060A8"/>
    <w:rsid w:val="5C01B220"/>
    <w:rsid w:val="5C67B32B"/>
    <w:rsid w:val="5CA82834"/>
    <w:rsid w:val="5CD9BED9"/>
    <w:rsid w:val="5CE60CB9"/>
    <w:rsid w:val="5CFD0968"/>
    <w:rsid w:val="5D11A87A"/>
    <w:rsid w:val="5D1BCEE4"/>
    <w:rsid w:val="5D26A253"/>
    <w:rsid w:val="5D2BB132"/>
    <w:rsid w:val="5D2C6FE8"/>
    <w:rsid w:val="5D2E3D93"/>
    <w:rsid w:val="5D2E7036"/>
    <w:rsid w:val="5D5D8E8D"/>
    <w:rsid w:val="5D9B9658"/>
    <w:rsid w:val="5DA286C4"/>
    <w:rsid w:val="5DA8C309"/>
    <w:rsid w:val="5DBD4A27"/>
    <w:rsid w:val="5DDA00E3"/>
    <w:rsid w:val="5DE7CC8D"/>
    <w:rsid w:val="5DEB09E4"/>
    <w:rsid w:val="5E046EAF"/>
    <w:rsid w:val="5E09EBAA"/>
    <w:rsid w:val="5E0BD1B9"/>
    <w:rsid w:val="5E50BFDD"/>
    <w:rsid w:val="5E5E50B0"/>
    <w:rsid w:val="5E63ECA6"/>
    <w:rsid w:val="5E8FF024"/>
    <w:rsid w:val="5EA34907"/>
    <w:rsid w:val="5EB0BF76"/>
    <w:rsid w:val="5EEB25F1"/>
    <w:rsid w:val="5F03782C"/>
    <w:rsid w:val="5F449BD6"/>
    <w:rsid w:val="5F57DF13"/>
    <w:rsid w:val="5F59454B"/>
    <w:rsid w:val="5F616E9B"/>
    <w:rsid w:val="5F7FD0CA"/>
    <w:rsid w:val="5F9A2EA3"/>
    <w:rsid w:val="5FB37320"/>
    <w:rsid w:val="5FDB56D6"/>
    <w:rsid w:val="6008C504"/>
    <w:rsid w:val="6013C7B7"/>
    <w:rsid w:val="60326B55"/>
    <w:rsid w:val="60544805"/>
    <w:rsid w:val="60939D00"/>
    <w:rsid w:val="60A4F2DD"/>
    <w:rsid w:val="60B9BC64"/>
    <w:rsid w:val="60C3F4E9"/>
    <w:rsid w:val="6114D9B5"/>
    <w:rsid w:val="61154FED"/>
    <w:rsid w:val="613C89FA"/>
    <w:rsid w:val="614D1872"/>
    <w:rsid w:val="618B30E9"/>
    <w:rsid w:val="6195C746"/>
    <w:rsid w:val="61BBB59F"/>
    <w:rsid w:val="620DAA8E"/>
    <w:rsid w:val="6214A731"/>
    <w:rsid w:val="622592FE"/>
    <w:rsid w:val="6246B136"/>
    <w:rsid w:val="626DD88B"/>
    <w:rsid w:val="62ADAF5B"/>
    <w:rsid w:val="62EAE143"/>
    <w:rsid w:val="62F3AC47"/>
    <w:rsid w:val="630E5E71"/>
    <w:rsid w:val="6320D5FA"/>
    <w:rsid w:val="633CA822"/>
    <w:rsid w:val="6354981F"/>
    <w:rsid w:val="6394D3F7"/>
    <w:rsid w:val="63BD14E2"/>
    <w:rsid w:val="63CD8BCA"/>
    <w:rsid w:val="63CDCE73"/>
    <w:rsid w:val="6406739F"/>
    <w:rsid w:val="641234A2"/>
    <w:rsid w:val="64176E2F"/>
    <w:rsid w:val="641A7B8E"/>
    <w:rsid w:val="643C5FD7"/>
    <w:rsid w:val="64766BF9"/>
    <w:rsid w:val="649C806F"/>
    <w:rsid w:val="64B73BC4"/>
    <w:rsid w:val="65106C7F"/>
    <w:rsid w:val="651CDBD3"/>
    <w:rsid w:val="6537AFD0"/>
    <w:rsid w:val="654C2273"/>
    <w:rsid w:val="65757576"/>
    <w:rsid w:val="65E4E6BD"/>
    <w:rsid w:val="66123C5A"/>
    <w:rsid w:val="66146E2A"/>
    <w:rsid w:val="661FBE5D"/>
    <w:rsid w:val="662A6A9D"/>
    <w:rsid w:val="6645FF33"/>
    <w:rsid w:val="668AB2DA"/>
    <w:rsid w:val="668CEE60"/>
    <w:rsid w:val="66A0DA65"/>
    <w:rsid w:val="66DBFB51"/>
    <w:rsid w:val="66F6C414"/>
    <w:rsid w:val="67004397"/>
    <w:rsid w:val="670FC49D"/>
    <w:rsid w:val="671145D7"/>
    <w:rsid w:val="67AE0CBB"/>
    <w:rsid w:val="682CED45"/>
    <w:rsid w:val="6843E68B"/>
    <w:rsid w:val="684F307E"/>
    <w:rsid w:val="686DCA53"/>
    <w:rsid w:val="68727BAC"/>
    <w:rsid w:val="6882BA64"/>
    <w:rsid w:val="689D8093"/>
    <w:rsid w:val="68C35D40"/>
    <w:rsid w:val="68DA4B3A"/>
    <w:rsid w:val="68E18516"/>
    <w:rsid w:val="690A0694"/>
    <w:rsid w:val="6933B28A"/>
    <w:rsid w:val="693E5E4B"/>
    <w:rsid w:val="6976ED78"/>
    <w:rsid w:val="69B85B88"/>
    <w:rsid w:val="69C98750"/>
    <w:rsid w:val="69D87734"/>
    <w:rsid w:val="69EEFCEE"/>
    <w:rsid w:val="6A3355A4"/>
    <w:rsid w:val="6A36E83A"/>
    <w:rsid w:val="6A3E0B77"/>
    <w:rsid w:val="6A488F12"/>
    <w:rsid w:val="6A70826B"/>
    <w:rsid w:val="6A7DCB37"/>
    <w:rsid w:val="6A93712B"/>
    <w:rsid w:val="6AAB3B10"/>
    <w:rsid w:val="6AD54FB5"/>
    <w:rsid w:val="6AE9FFD1"/>
    <w:rsid w:val="6B3E17AD"/>
    <w:rsid w:val="6B5D1871"/>
    <w:rsid w:val="6B6BF013"/>
    <w:rsid w:val="6B829020"/>
    <w:rsid w:val="6B9C00AB"/>
    <w:rsid w:val="6BB6F0C9"/>
    <w:rsid w:val="6BDD1032"/>
    <w:rsid w:val="6BEC9064"/>
    <w:rsid w:val="6C3B46E3"/>
    <w:rsid w:val="6C5030FF"/>
    <w:rsid w:val="6C613A00"/>
    <w:rsid w:val="6C65A943"/>
    <w:rsid w:val="6C68433A"/>
    <w:rsid w:val="6C7F8C29"/>
    <w:rsid w:val="6C893A98"/>
    <w:rsid w:val="6CAE433C"/>
    <w:rsid w:val="6CB3A397"/>
    <w:rsid w:val="6CCAF3D6"/>
    <w:rsid w:val="6CEA1512"/>
    <w:rsid w:val="6D308374"/>
    <w:rsid w:val="6D50748A"/>
    <w:rsid w:val="6D6E8EFC"/>
    <w:rsid w:val="6D6EDF31"/>
    <w:rsid w:val="6DCBFC73"/>
    <w:rsid w:val="6DD46A59"/>
    <w:rsid w:val="6E6B676A"/>
    <w:rsid w:val="6ED5A088"/>
    <w:rsid w:val="6F0D2AD5"/>
    <w:rsid w:val="6F36F238"/>
    <w:rsid w:val="6F44D40B"/>
    <w:rsid w:val="6F56D753"/>
    <w:rsid w:val="6F7E995A"/>
    <w:rsid w:val="6FC6B97B"/>
    <w:rsid w:val="6FD3B91C"/>
    <w:rsid w:val="6FFEEF16"/>
    <w:rsid w:val="700E533C"/>
    <w:rsid w:val="7032D487"/>
    <w:rsid w:val="70679C41"/>
    <w:rsid w:val="7076E7E9"/>
    <w:rsid w:val="709A9579"/>
    <w:rsid w:val="70F78E23"/>
    <w:rsid w:val="70FA32CB"/>
    <w:rsid w:val="7114F7A0"/>
    <w:rsid w:val="7121C2B0"/>
    <w:rsid w:val="71224D7F"/>
    <w:rsid w:val="71278C08"/>
    <w:rsid w:val="712D353F"/>
    <w:rsid w:val="712FB2F5"/>
    <w:rsid w:val="7148FBCF"/>
    <w:rsid w:val="71550636"/>
    <w:rsid w:val="7188726F"/>
    <w:rsid w:val="721D5593"/>
    <w:rsid w:val="721F8471"/>
    <w:rsid w:val="72443BDF"/>
    <w:rsid w:val="7265D1CC"/>
    <w:rsid w:val="727878BE"/>
    <w:rsid w:val="72B42389"/>
    <w:rsid w:val="72C7ACBF"/>
    <w:rsid w:val="72E0599E"/>
    <w:rsid w:val="731154B8"/>
    <w:rsid w:val="732AC7CB"/>
    <w:rsid w:val="7330CF7C"/>
    <w:rsid w:val="738AFA13"/>
    <w:rsid w:val="73A37DF7"/>
    <w:rsid w:val="73AE3DE7"/>
    <w:rsid w:val="73E1AF22"/>
    <w:rsid w:val="73E87661"/>
    <w:rsid w:val="73F99B52"/>
    <w:rsid w:val="741097A4"/>
    <w:rsid w:val="743ABADC"/>
    <w:rsid w:val="743CD261"/>
    <w:rsid w:val="7464A9F2"/>
    <w:rsid w:val="74CD69CA"/>
    <w:rsid w:val="74EFABF5"/>
    <w:rsid w:val="75242C34"/>
    <w:rsid w:val="758DA3D2"/>
    <w:rsid w:val="7591601B"/>
    <w:rsid w:val="7597ED42"/>
    <w:rsid w:val="75C4861D"/>
    <w:rsid w:val="75D106CE"/>
    <w:rsid w:val="75EFBDD6"/>
    <w:rsid w:val="761CA0E7"/>
    <w:rsid w:val="76530782"/>
    <w:rsid w:val="7682CBC0"/>
    <w:rsid w:val="7690118A"/>
    <w:rsid w:val="76B91359"/>
    <w:rsid w:val="76BB2248"/>
    <w:rsid w:val="76EDFD66"/>
    <w:rsid w:val="77004428"/>
    <w:rsid w:val="770A24B8"/>
    <w:rsid w:val="771BB2DD"/>
    <w:rsid w:val="7730B301"/>
    <w:rsid w:val="774FE5F0"/>
    <w:rsid w:val="7767D7B8"/>
    <w:rsid w:val="7778A620"/>
    <w:rsid w:val="77917102"/>
    <w:rsid w:val="7791FCE1"/>
    <w:rsid w:val="77E63260"/>
    <w:rsid w:val="77EED7E3"/>
    <w:rsid w:val="77F7025D"/>
    <w:rsid w:val="77FFB61E"/>
    <w:rsid w:val="780DF431"/>
    <w:rsid w:val="78168C58"/>
    <w:rsid w:val="789B72DD"/>
    <w:rsid w:val="789C187D"/>
    <w:rsid w:val="78D38AB2"/>
    <w:rsid w:val="7928C314"/>
    <w:rsid w:val="7939C8BB"/>
    <w:rsid w:val="793A43E4"/>
    <w:rsid w:val="79604209"/>
    <w:rsid w:val="7967F048"/>
    <w:rsid w:val="79741B00"/>
    <w:rsid w:val="799091F9"/>
    <w:rsid w:val="79A86048"/>
    <w:rsid w:val="79B610DE"/>
    <w:rsid w:val="79D7F104"/>
    <w:rsid w:val="79FD015C"/>
    <w:rsid w:val="7A2F83EC"/>
    <w:rsid w:val="7A462FDD"/>
    <w:rsid w:val="7AA30006"/>
    <w:rsid w:val="7AD59C62"/>
    <w:rsid w:val="7B2CCEE5"/>
    <w:rsid w:val="7B37ED1A"/>
    <w:rsid w:val="7B726000"/>
    <w:rsid w:val="7B76BA8F"/>
    <w:rsid w:val="7B9589FD"/>
    <w:rsid w:val="7BB39F30"/>
    <w:rsid w:val="7C0290A7"/>
    <w:rsid w:val="7C0BE445"/>
    <w:rsid w:val="7C6509E8"/>
    <w:rsid w:val="7C83AB0B"/>
    <w:rsid w:val="7C93E643"/>
    <w:rsid w:val="7CCE05A6"/>
    <w:rsid w:val="7D184363"/>
    <w:rsid w:val="7D359EDC"/>
    <w:rsid w:val="7D658C5B"/>
    <w:rsid w:val="7DAA84A3"/>
    <w:rsid w:val="7E0051CF"/>
    <w:rsid w:val="7E084A2C"/>
    <w:rsid w:val="7E0E567A"/>
    <w:rsid w:val="7E30846D"/>
    <w:rsid w:val="7E521E79"/>
    <w:rsid w:val="7E6AD97A"/>
    <w:rsid w:val="7ED1CDEF"/>
    <w:rsid w:val="7ED54D83"/>
    <w:rsid w:val="7F0C8068"/>
    <w:rsid w:val="7F634907"/>
    <w:rsid w:val="7F7E4B0C"/>
    <w:rsid w:val="7F89C133"/>
    <w:rsid w:val="7FC66F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7A94F"/>
  <w15:chartTrackingRefBased/>
  <w15:docId w15:val="{89D166F9-5E2C-4257-8E1F-8F56B7E86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2A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1553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F2A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582"/>
    <w:rPr>
      <w:color w:val="0563C1" w:themeColor="hyperlink"/>
      <w:u w:val="single"/>
    </w:rPr>
  </w:style>
  <w:style w:type="character" w:styleId="UnresolvedMention">
    <w:name w:val="Unresolved Mention"/>
    <w:basedOn w:val="DefaultParagraphFont"/>
    <w:uiPriority w:val="99"/>
    <w:unhideWhenUsed/>
    <w:rsid w:val="006C7582"/>
    <w:rPr>
      <w:color w:val="605E5C"/>
      <w:shd w:val="clear" w:color="auto" w:fill="E1DFDD"/>
    </w:rPr>
  </w:style>
  <w:style w:type="paragraph" w:customStyle="1" w:styleId="Default">
    <w:name w:val="Default"/>
    <w:basedOn w:val="Normal"/>
    <w:rsid w:val="008E5A5B"/>
    <w:pPr>
      <w:autoSpaceDE w:val="0"/>
      <w:autoSpaceDN w:val="0"/>
      <w:spacing w:after="0" w:line="240" w:lineRule="auto"/>
    </w:pPr>
    <w:rPr>
      <w:rFonts w:ascii="Century Gothic" w:hAnsi="Century Gothic" w:cs="Calibri"/>
      <w:color w:val="000000"/>
      <w:sz w:val="24"/>
      <w:szCs w:val="24"/>
      <w:lang w:eastAsia="en-GB"/>
    </w:rPr>
  </w:style>
  <w:style w:type="paragraph" w:styleId="NormalWeb">
    <w:name w:val="Normal (Web)"/>
    <w:basedOn w:val="Normal"/>
    <w:uiPriority w:val="99"/>
    <w:unhideWhenUsed/>
    <w:rsid w:val="00AC60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60AC"/>
    <w:rPr>
      <w:b/>
      <w:bCs/>
    </w:rPr>
  </w:style>
  <w:style w:type="paragraph" w:styleId="ListParagraph">
    <w:name w:val="List Paragraph"/>
    <w:aliases w:val="Heading3,Bullet list,Dot pt,Bullet Points,No Spacing1,List Paragraph Char Char Char,Indicator Text,Numbered Para 1,List Paragraph1,MAIN CONTENT,List Paragraph12,OBC Bullet,F5 List Paragraph,Colorful List - Accent 11,Bullet List,L"/>
    <w:basedOn w:val="Normal"/>
    <w:link w:val="ListParagraphChar"/>
    <w:uiPriority w:val="34"/>
    <w:qFormat/>
    <w:rsid w:val="009328B1"/>
    <w:pPr>
      <w:ind w:left="720"/>
      <w:contextualSpacing/>
    </w:pPr>
  </w:style>
  <w:style w:type="character" w:styleId="FootnoteReference">
    <w:name w:val="footnote reference"/>
    <w:basedOn w:val="DefaultParagraphFont"/>
    <w:uiPriority w:val="99"/>
    <w:unhideWhenUsed/>
    <w:rsid w:val="009328B1"/>
    <w:rPr>
      <w:vertAlign w:val="superscript"/>
    </w:rPr>
  </w:style>
  <w:style w:type="paragraph" w:styleId="FootnoteText">
    <w:name w:val="footnote text"/>
    <w:basedOn w:val="Normal"/>
    <w:link w:val="FootnoteTextChar"/>
    <w:uiPriority w:val="99"/>
    <w:unhideWhenUsed/>
    <w:rsid w:val="009328B1"/>
    <w:pPr>
      <w:spacing w:after="0" w:line="240" w:lineRule="auto"/>
    </w:pPr>
    <w:rPr>
      <w:sz w:val="20"/>
      <w:szCs w:val="20"/>
    </w:rPr>
  </w:style>
  <w:style w:type="character" w:customStyle="1" w:styleId="FootnoteTextChar">
    <w:name w:val="Footnote Text Char"/>
    <w:basedOn w:val="DefaultParagraphFont"/>
    <w:link w:val="FootnoteText"/>
    <w:uiPriority w:val="99"/>
    <w:rsid w:val="009328B1"/>
    <w:rPr>
      <w:sz w:val="20"/>
      <w:szCs w:val="20"/>
    </w:rPr>
  </w:style>
  <w:style w:type="paragraph" w:customStyle="1" w:styleId="paragraph">
    <w:name w:val="paragraph"/>
    <w:basedOn w:val="Normal"/>
    <w:rsid w:val="009328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28B1"/>
  </w:style>
  <w:style w:type="character" w:styleId="CommentReference">
    <w:name w:val="annotation reference"/>
    <w:basedOn w:val="DefaultParagraphFont"/>
    <w:uiPriority w:val="99"/>
    <w:semiHidden/>
    <w:unhideWhenUsed/>
    <w:rsid w:val="00DB1B0E"/>
    <w:rPr>
      <w:sz w:val="16"/>
      <w:szCs w:val="16"/>
    </w:rPr>
  </w:style>
  <w:style w:type="paragraph" w:styleId="CommentText">
    <w:name w:val="annotation text"/>
    <w:basedOn w:val="Normal"/>
    <w:link w:val="CommentTextChar"/>
    <w:uiPriority w:val="99"/>
    <w:unhideWhenUsed/>
    <w:rsid w:val="00DB1B0E"/>
    <w:pPr>
      <w:spacing w:line="240" w:lineRule="auto"/>
    </w:pPr>
    <w:rPr>
      <w:sz w:val="20"/>
      <w:szCs w:val="20"/>
    </w:rPr>
  </w:style>
  <w:style w:type="character" w:customStyle="1" w:styleId="CommentTextChar">
    <w:name w:val="Comment Text Char"/>
    <w:basedOn w:val="DefaultParagraphFont"/>
    <w:link w:val="CommentText"/>
    <w:uiPriority w:val="99"/>
    <w:rsid w:val="00DB1B0E"/>
    <w:rPr>
      <w:sz w:val="20"/>
      <w:szCs w:val="20"/>
    </w:rPr>
  </w:style>
  <w:style w:type="paragraph" w:styleId="CommentSubject">
    <w:name w:val="annotation subject"/>
    <w:basedOn w:val="CommentText"/>
    <w:next w:val="CommentText"/>
    <w:link w:val="CommentSubjectChar"/>
    <w:uiPriority w:val="99"/>
    <w:semiHidden/>
    <w:unhideWhenUsed/>
    <w:rsid w:val="00DB1B0E"/>
    <w:rPr>
      <w:b/>
      <w:bCs/>
    </w:rPr>
  </w:style>
  <w:style w:type="character" w:customStyle="1" w:styleId="CommentSubjectChar">
    <w:name w:val="Comment Subject Char"/>
    <w:basedOn w:val="CommentTextChar"/>
    <w:link w:val="CommentSubject"/>
    <w:uiPriority w:val="99"/>
    <w:semiHidden/>
    <w:rsid w:val="00DB1B0E"/>
    <w:rPr>
      <w:b/>
      <w:bCs/>
      <w:sz w:val="20"/>
      <w:szCs w:val="20"/>
    </w:rPr>
  </w:style>
  <w:style w:type="paragraph" w:styleId="Header">
    <w:name w:val="header"/>
    <w:basedOn w:val="Normal"/>
    <w:link w:val="HeaderChar"/>
    <w:uiPriority w:val="99"/>
    <w:unhideWhenUsed/>
    <w:rsid w:val="001A3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9F3"/>
  </w:style>
  <w:style w:type="paragraph" w:styleId="Footer">
    <w:name w:val="footer"/>
    <w:basedOn w:val="Normal"/>
    <w:link w:val="FooterChar"/>
    <w:uiPriority w:val="99"/>
    <w:unhideWhenUsed/>
    <w:rsid w:val="001A3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9F3"/>
  </w:style>
  <w:style w:type="paragraph" w:styleId="BodyText">
    <w:name w:val="Body Text"/>
    <w:basedOn w:val="Normal"/>
    <w:link w:val="BodyTextChar"/>
    <w:uiPriority w:val="1"/>
    <w:qFormat/>
    <w:rsid w:val="00CC54E6"/>
    <w:pPr>
      <w:spacing w:after="0" w:line="240" w:lineRule="auto"/>
    </w:pPr>
    <w:rPr>
      <w:rFonts w:ascii="Verdana" w:eastAsia="Verdana" w:hAnsi="Verdana" w:cs="Verdana"/>
      <w:sz w:val="20"/>
      <w:szCs w:val="20"/>
    </w:rPr>
  </w:style>
  <w:style w:type="character" w:customStyle="1" w:styleId="BodyTextChar">
    <w:name w:val="Body Text Char"/>
    <w:basedOn w:val="DefaultParagraphFont"/>
    <w:link w:val="BodyText"/>
    <w:uiPriority w:val="1"/>
    <w:rsid w:val="00CC54E6"/>
    <w:rPr>
      <w:rFonts w:ascii="Verdana" w:eastAsia="Verdana" w:hAnsi="Verdana" w:cs="Verdana"/>
      <w:sz w:val="20"/>
      <w:szCs w:val="20"/>
    </w:rPr>
  </w:style>
  <w:style w:type="character" w:customStyle="1" w:styleId="eop">
    <w:name w:val="eop"/>
    <w:basedOn w:val="DefaultParagraphFont"/>
    <w:rsid w:val="002B7082"/>
  </w:style>
  <w:style w:type="character" w:styleId="Mention">
    <w:name w:val="Mention"/>
    <w:basedOn w:val="DefaultParagraphFont"/>
    <w:uiPriority w:val="99"/>
    <w:unhideWhenUsed/>
    <w:rsid w:val="00E612B0"/>
    <w:rPr>
      <w:color w:val="2B579A"/>
      <w:shd w:val="clear" w:color="auto" w:fill="E1DFDD"/>
    </w:rPr>
  </w:style>
  <w:style w:type="paragraph" w:styleId="Revision">
    <w:name w:val="Revision"/>
    <w:hidden/>
    <w:uiPriority w:val="99"/>
    <w:semiHidden/>
    <w:rsid w:val="00D221B8"/>
    <w:pPr>
      <w:spacing w:after="0" w:line="240" w:lineRule="auto"/>
    </w:pPr>
  </w:style>
  <w:style w:type="character" w:styleId="FollowedHyperlink">
    <w:name w:val="FollowedHyperlink"/>
    <w:basedOn w:val="DefaultParagraphFont"/>
    <w:uiPriority w:val="99"/>
    <w:semiHidden/>
    <w:unhideWhenUsed/>
    <w:rsid w:val="008C0D19"/>
    <w:rPr>
      <w:color w:val="954F72" w:themeColor="followedHyperlink"/>
      <w:u w:val="single"/>
    </w:rPr>
  </w:style>
  <w:style w:type="character" w:customStyle="1" w:styleId="Heading2Char">
    <w:name w:val="Heading 2 Char"/>
    <w:basedOn w:val="DefaultParagraphFont"/>
    <w:link w:val="Heading2"/>
    <w:uiPriority w:val="9"/>
    <w:rsid w:val="00D1553E"/>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D1553E"/>
    <w:rPr>
      <w:i/>
      <w:iCs/>
    </w:rPr>
  </w:style>
  <w:style w:type="character" w:customStyle="1" w:styleId="Heading1Char">
    <w:name w:val="Heading 1 Char"/>
    <w:basedOn w:val="DefaultParagraphFont"/>
    <w:link w:val="Heading1"/>
    <w:uiPriority w:val="9"/>
    <w:rsid w:val="00CF2A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2A76"/>
    <w:rPr>
      <w:rFonts w:asciiTheme="majorHAnsi" w:eastAsiaTheme="majorEastAsia" w:hAnsiTheme="majorHAnsi" w:cstheme="majorBidi"/>
      <w:color w:val="1F3763" w:themeColor="accent1" w:themeShade="7F"/>
      <w:sz w:val="24"/>
      <w:szCs w:val="24"/>
    </w:rPr>
  </w:style>
  <w:style w:type="paragraph" w:customStyle="1" w:styleId="menu-toggle">
    <w:name w:val="menu-toggle"/>
    <w:basedOn w:val="Normal"/>
    <w:rsid w:val="00CF2A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3 Char,Bullet list Char,Dot pt Char,Bullet Points Char,No Spacing1 Char,List Paragraph Char Char Char Char,Indicator Text Char,Numbered Para 1 Char,List Paragraph1 Char,MAIN CONTENT Char,List Paragraph12 Char,OBC Bullet Char"/>
    <w:basedOn w:val="DefaultParagraphFont"/>
    <w:link w:val="ListParagraph"/>
    <w:qFormat/>
    <w:locked/>
    <w:rsid w:val="00222B39"/>
  </w:style>
  <w:style w:type="paragraph" w:styleId="PlainText">
    <w:name w:val="Plain Text"/>
    <w:basedOn w:val="Normal"/>
    <w:link w:val="PlainTextChar"/>
    <w:uiPriority w:val="99"/>
    <w:unhideWhenUsed/>
    <w:rsid w:val="004652B8"/>
    <w:pPr>
      <w:spacing w:after="0" w:line="240" w:lineRule="auto"/>
    </w:pPr>
    <w:rPr>
      <w:rFonts w:ascii="Calibri" w:eastAsia="Times New Roman" w:hAnsi="Calibri"/>
      <w:kern w:val="2"/>
      <w:szCs w:val="21"/>
      <w:lang w:val="fr-FR"/>
      <w14:ligatures w14:val="standardContextual"/>
    </w:rPr>
  </w:style>
  <w:style w:type="character" w:customStyle="1" w:styleId="PlainTextChar">
    <w:name w:val="Plain Text Char"/>
    <w:basedOn w:val="DefaultParagraphFont"/>
    <w:link w:val="PlainText"/>
    <w:uiPriority w:val="99"/>
    <w:rsid w:val="004652B8"/>
    <w:rPr>
      <w:rFonts w:ascii="Calibri" w:eastAsia="Times New Roman" w:hAnsi="Calibri"/>
      <w:kern w:val="2"/>
      <w:szCs w:val="21"/>
      <w:lang w:val="fr-FR"/>
      <w14:ligatures w14:val="standardContextual"/>
    </w:rPr>
  </w:style>
  <w:style w:type="paragraph" w:customStyle="1" w:styleId="pf0">
    <w:name w:val="pf0"/>
    <w:basedOn w:val="Normal"/>
    <w:rsid w:val="005D22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1">
    <w:name w:val="Pa1"/>
    <w:basedOn w:val="Default"/>
    <w:next w:val="Default"/>
    <w:uiPriority w:val="99"/>
    <w:rsid w:val="00E764BA"/>
    <w:pPr>
      <w:adjustRightInd w:val="0"/>
      <w:spacing w:line="181" w:lineRule="atLeast"/>
    </w:pPr>
    <w:rPr>
      <w:rFonts w:ascii="Inter" w:hAnsi="Inter" w:cstheme="minorBidi"/>
      <w:color w:val="auto"/>
      <w:lang w:eastAsia="en-US"/>
    </w:rPr>
  </w:style>
  <w:style w:type="character" w:customStyle="1" w:styleId="A6">
    <w:name w:val="A6"/>
    <w:uiPriority w:val="99"/>
    <w:rsid w:val="00E764BA"/>
    <w:rPr>
      <w:rFonts w:cs="Inter"/>
      <w:color w:val="004675"/>
      <w:sz w:val="10"/>
      <w:szCs w:val="10"/>
      <w:u w:val="single"/>
    </w:rPr>
  </w:style>
  <w:style w:type="paragraph" w:customStyle="1" w:styleId="Pa5">
    <w:name w:val="Pa5"/>
    <w:basedOn w:val="Default"/>
    <w:next w:val="Default"/>
    <w:uiPriority w:val="99"/>
    <w:rsid w:val="00663440"/>
    <w:pPr>
      <w:adjustRightInd w:val="0"/>
      <w:spacing w:line="181" w:lineRule="atLeast"/>
    </w:pPr>
    <w:rPr>
      <w:rFonts w:ascii="Inter" w:hAnsi="Inter" w:cstheme="minorBidi"/>
      <w:color w:val="auto"/>
      <w:lang w:eastAsia="en-US"/>
    </w:rPr>
  </w:style>
  <w:style w:type="character" w:customStyle="1" w:styleId="cf01">
    <w:name w:val="cf01"/>
    <w:basedOn w:val="DefaultParagraphFont"/>
    <w:rsid w:val="00D7768E"/>
    <w:rPr>
      <w:rFonts w:ascii="Segoe UI" w:hAnsi="Segoe UI" w:cs="Segoe UI" w:hint="default"/>
      <w:sz w:val="18"/>
      <w:szCs w:val="18"/>
    </w:rPr>
  </w:style>
  <w:style w:type="paragraph" w:styleId="Title">
    <w:name w:val="Title"/>
    <w:basedOn w:val="Normal"/>
    <w:next w:val="Normal"/>
    <w:link w:val="TitleChar"/>
    <w:uiPriority w:val="10"/>
    <w:qFormat/>
    <w:rsid w:val="00613F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3F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3F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13F3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80650">
      <w:bodyDiv w:val="1"/>
      <w:marLeft w:val="0"/>
      <w:marRight w:val="0"/>
      <w:marTop w:val="0"/>
      <w:marBottom w:val="0"/>
      <w:divBdr>
        <w:top w:val="none" w:sz="0" w:space="0" w:color="auto"/>
        <w:left w:val="none" w:sz="0" w:space="0" w:color="auto"/>
        <w:bottom w:val="none" w:sz="0" w:space="0" w:color="auto"/>
        <w:right w:val="none" w:sz="0" w:space="0" w:color="auto"/>
      </w:divBdr>
      <w:divsChild>
        <w:div w:id="1283462000">
          <w:marLeft w:val="0"/>
          <w:marRight w:val="0"/>
          <w:marTop w:val="0"/>
          <w:marBottom w:val="0"/>
          <w:divBdr>
            <w:top w:val="none" w:sz="0" w:space="0" w:color="auto"/>
            <w:left w:val="none" w:sz="0" w:space="0" w:color="auto"/>
            <w:bottom w:val="none" w:sz="0" w:space="0" w:color="auto"/>
            <w:right w:val="none" w:sz="0" w:space="0" w:color="auto"/>
          </w:divBdr>
          <w:divsChild>
            <w:div w:id="422191521">
              <w:marLeft w:val="0"/>
              <w:marRight w:val="0"/>
              <w:marTop w:val="0"/>
              <w:marBottom w:val="0"/>
              <w:divBdr>
                <w:top w:val="none" w:sz="0" w:space="0" w:color="auto"/>
                <w:left w:val="none" w:sz="0" w:space="0" w:color="auto"/>
                <w:bottom w:val="none" w:sz="0" w:space="0" w:color="auto"/>
                <w:right w:val="none" w:sz="0" w:space="0" w:color="auto"/>
              </w:divBdr>
            </w:div>
            <w:div w:id="735202735">
              <w:marLeft w:val="0"/>
              <w:marRight w:val="0"/>
              <w:marTop w:val="0"/>
              <w:marBottom w:val="0"/>
              <w:divBdr>
                <w:top w:val="none" w:sz="0" w:space="0" w:color="auto"/>
                <w:left w:val="none" w:sz="0" w:space="0" w:color="auto"/>
                <w:bottom w:val="none" w:sz="0" w:space="0" w:color="auto"/>
                <w:right w:val="none" w:sz="0" w:space="0" w:color="auto"/>
              </w:divBdr>
            </w:div>
            <w:div w:id="985283733">
              <w:marLeft w:val="0"/>
              <w:marRight w:val="0"/>
              <w:marTop w:val="0"/>
              <w:marBottom w:val="0"/>
              <w:divBdr>
                <w:top w:val="none" w:sz="0" w:space="0" w:color="auto"/>
                <w:left w:val="none" w:sz="0" w:space="0" w:color="auto"/>
                <w:bottom w:val="none" w:sz="0" w:space="0" w:color="auto"/>
                <w:right w:val="none" w:sz="0" w:space="0" w:color="auto"/>
              </w:divBdr>
            </w:div>
            <w:div w:id="1168325302">
              <w:marLeft w:val="0"/>
              <w:marRight w:val="0"/>
              <w:marTop w:val="0"/>
              <w:marBottom w:val="0"/>
              <w:divBdr>
                <w:top w:val="none" w:sz="0" w:space="0" w:color="auto"/>
                <w:left w:val="none" w:sz="0" w:space="0" w:color="auto"/>
                <w:bottom w:val="none" w:sz="0" w:space="0" w:color="auto"/>
                <w:right w:val="none" w:sz="0" w:space="0" w:color="auto"/>
              </w:divBdr>
            </w:div>
          </w:divsChild>
        </w:div>
        <w:div w:id="2014647130">
          <w:marLeft w:val="0"/>
          <w:marRight w:val="0"/>
          <w:marTop w:val="0"/>
          <w:marBottom w:val="0"/>
          <w:divBdr>
            <w:top w:val="none" w:sz="0" w:space="0" w:color="auto"/>
            <w:left w:val="none" w:sz="0" w:space="0" w:color="auto"/>
            <w:bottom w:val="none" w:sz="0" w:space="0" w:color="auto"/>
            <w:right w:val="none" w:sz="0" w:space="0" w:color="auto"/>
          </w:divBdr>
          <w:divsChild>
            <w:div w:id="119157259">
              <w:marLeft w:val="0"/>
              <w:marRight w:val="0"/>
              <w:marTop w:val="0"/>
              <w:marBottom w:val="0"/>
              <w:divBdr>
                <w:top w:val="none" w:sz="0" w:space="0" w:color="auto"/>
                <w:left w:val="none" w:sz="0" w:space="0" w:color="auto"/>
                <w:bottom w:val="none" w:sz="0" w:space="0" w:color="auto"/>
                <w:right w:val="none" w:sz="0" w:space="0" w:color="auto"/>
              </w:divBdr>
            </w:div>
            <w:div w:id="544754763">
              <w:marLeft w:val="0"/>
              <w:marRight w:val="0"/>
              <w:marTop w:val="0"/>
              <w:marBottom w:val="0"/>
              <w:divBdr>
                <w:top w:val="none" w:sz="0" w:space="0" w:color="auto"/>
                <w:left w:val="none" w:sz="0" w:space="0" w:color="auto"/>
                <w:bottom w:val="none" w:sz="0" w:space="0" w:color="auto"/>
                <w:right w:val="none" w:sz="0" w:space="0" w:color="auto"/>
              </w:divBdr>
            </w:div>
            <w:div w:id="622031291">
              <w:marLeft w:val="0"/>
              <w:marRight w:val="0"/>
              <w:marTop w:val="0"/>
              <w:marBottom w:val="0"/>
              <w:divBdr>
                <w:top w:val="none" w:sz="0" w:space="0" w:color="auto"/>
                <w:left w:val="none" w:sz="0" w:space="0" w:color="auto"/>
                <w:bottom w:val="none" w:sz="0" w:space="0" w:color="auto"/>
                <w:right w:val="none" w:sz="0" w:space="0" w:color="auto"/>
              </w:divBdr>
            </w:div>
            <w:div w:id="18541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0306">
      <w:bodyDiv w:val="1"/>
      <w:marLeft w:val="0"/>
      <w:marRight w:val="0"/>
      <w:marTop w:val="0"/>
      <w:marBottom w:val="0"/>
      <w:divBdr>
        <w:top w:val="none" w:sz="0" w:space="0" w:color="auto"/>
        <w:left w:val="none" w:sz="0" w:space="0" w:color="auto"/>
        <w:bottom w:val="none" w:sz="0" w:space="0" w:color="auto"/>
        <w:right w:val="none" w:sz="0" w:space="0" w:color="auto"/>
      </w:divBdr>
    </w:div>
    <w:div w:id="114718015">
      <w:bodyDiv w:val="1"/>
      <w:marLeft w:val="0"/>
      <w:marRight w:val="0"/>
      <w:marTop w:val="0"/>
      <w:marBottom w:val="0"/>
      <w:divBdr>
        <w:top w:val="none" w:sz="0" w:space="0" w:color="auto"/>
        <w:left w:val="none" w:sz="0" w:space="0" w:color="auto"/>
        <w:bottom w:val="none" w:sz="0" w:space="0" w:color="auto"/>
        <w:right w:val="none" w:sz="0" w:space="0" w:color="auto"/>
      </w:divBdr>
      <w:divsChild>
        <w:div w:id="1914046394">
          <w:marLeft w:val="0"/>
          <w:marRight w:val="0"/>
          <w:marTop w:val="0"/>
          <w:marBottom w:val="0"/>
          <w:divBdr>
            <w:top w:val="none" w:sz="0" w:space="0" w:color="auto"/>
            <w:left w:val="none" w:sz="0" w:space="0" w:color="auto"/>
            <w:bottom w:val="none" w:sz="0" w:space="0" w:color="auto"/>
            <w:right w:val="none" w:sz="0" w:space="0" w:color="auto"/>
          </w:divBdr>
          <w:divsChild>
            <w:div w:id="1040056953">
              <w:marLeft w:val="0"/>
              <w:marRight w:val="0"/>
              <w:marTop w:val="0"/>
              <w:marBottom w:val="0"/>
              <w:divBdr>
                <w:top w:val="none" w:sz="0" w:space="0" w:color="auto"/>
                <w:left w:val="none" w:sz="0" w:space="0" w:color="auto"/>
                <w:bottom w:val="none" w:sz="0" w:space="0" w:color="auto"/>
                <w:right w:val="none" w:sz="0" w:space="0" w:color="auto"/>
              </w:divBdr>
              <w:divsChild>
                <w:div w:id="1725133510">
                  <w:marLeft w:val="0"/>
                  <w:marRight w:val="0"/>
                  <w:marTop w:val="0"/>
                  <w:marBottom w:val="0"/>
                  <w:divBdr>
                    <w:top w:val="none" w:sz="0" w:space="0" w:color="auto"/>
                    <w:left w:val="none" w:sz="0" w:space="0" w:color="auto"/>
                    <w:bottom w:val="none" w:sz="0" w:space="0" w:color="auto"/>
                    <w:right w:val="none" w:sz="0" w:space="0" w:color="auto"/>
                  </w:divBdr>
                  <w:divsChild>
                    <w:div w:id="1449280559">
                      <w:marLeft w:val="0"/>
                      <w:marRight w:val="0"/>
                      <w:marTop w:val="0"/>
                      <w:marBottom w:val="0"/>
                      <w:divBdr>
                        <w:top w:val="none" w:sz="0" w:space="0" w:color="auto"/>
                        <w:left w:val="none" w:sz="0" w:space="0" w:color="auto"/>
                        <w:bottom w:val="none" w:sz="0" w:space="0" w:color="auto"/>
                        <w:right w:val="none" w:sz="0" w:space="0" w:color="auto"/>
                      </w:divBdr>
                      <w:divsChild>
                        <w:div w:id="198393142">
                          <w:marLeft w:val="0"/>
                          <w:marRight w:val="0"/>
                          <w:marTop w:val="0"/>
                          <w:marBottom w:val="0"/>
                          <w:divBdr>
                            <w:top w:val="none" w:sz="0" w:space="0" w:color="auto"/>
                            <w:left w:val="none" w:sz="0" w:space="0" w:color="auto"/>
                            <w:bottom w:val="none" w:sz="0" w:space="0" w:color="auto"/>
                            <w:right w:val="none" w:sz="0" w:space="0" w:color="auto"/>
                          </w:divBdr>
                          <w:divsChild>
                            <w:div w:id="1555772673">
                              <w:marLeft w:val="0"/>
                              <w:marRight w:val="0"/>
                              <w:marTop w:val="0"/>
                              <w:marBottom w:val="0"/>
                              <w:divBdr>
                                <w:top w:val="none" w:sz="0" w:space="0" w:color="auto"/>
                                <w:left w:val="none" w:sz="0" w:space="0" w:color="auto"/>
                                <w:bottom w:val="none" w:sz="0" w:space="0" w:color="auto"/>
                                <w:right w:val="none" w:sz="0" w:space="0" w:color="auto"/>
                              </w:divBdr>
                              <w:divsChild>
                                <w:div w:id="1101797233">
                                  <w:marLeft w:val="0"/>
                                  <w:marRight w:val="0"/>
                                  <w:marTop w:val="0"/>
                                  <w:marBottom w:val="0"/>
                                  <w:divBdr>
                                    <w:top w:val="none" w:sz="0" w:space="0" w:color="auto"/>
                                    <w:left w:val="none" w:sz="0" w:space="0" w:color="auto"/>
                                    <w:bottom w:val="none" w:sz="0" w:space="0" w:color="auto"/>
                                    <w:right w:val="none" w:sz="0" w:space="0" w:color="auto"/>
                                  </w:divBdr>
                                  <w:divsChild>
                                    <w:div w:id="912859877">
                                      <w:marLeft w:val="0"/>
                                      <w:marRight w:val="0"/>
                                      <w:marTop w:val="0"/>
                                      <w:marBottom w:val="0"/>
                                      <w:divBdr>
                                        <w:top w:val="none" w:sz="0" w:space="0" w:color="auto"/>
                                        <w:left w:val="none" w:sz="0" w:space="0" w:color="auto"/>
                                        <w:bottom w:val="none" w:sz="0" w:space="0" w:color="auto"/>
                                        <w:right w:val="none" w:sz="0" w:space="0" w:color="auto"/>
                                      </w:divBdr>
                                      <w:divsChild>
                                        <w:div w:id="148446792">
                                          <w:marLeft w:val="0"/>
                                          <w:marRight w:val="0"/>
                                          <w:marTop w:val="0"/>
                                          <w:marBottom w:val="0"/>
                                          <w:divBdr>
                                            <w:top w:val="none" w:sz="0" w:space="0" w:color="auto"/>
                                            <w:left w:val="none" w:sz="0" w:space="0" w:color="auto"/>
                                            <w:bottom w:val="none" w:sz="0" w:space="0" w:color="auto"/>
                                            <w:right w:val="none" w:sz="0" w:space="0" w:color="auto"/>
                                          </w:divBdr>
                                          <w:divsChild>
                                            <w:div w:id="909342121">
                                              <w:marLeft w:val="-127"/>
                                              <w:marRight w:val="-127"/>
                                              <w:marTop w:val="0"/>
                                              <w:marBottom w:val="0"/>
                                              <w:divBdr>
                                                <w:top w:val="none" w:sz="0" w:space="0" w:color="auto"/>
                                                <w:left w:val="none" w:sz="0" w:space="0" w:color="auto"/>
                                                <w:bottom w:val="none" w:sz="0" w:space="0" w:color="auto"/>
                                                <w:right w:val="none" w:sz="0" w:space="0" w:color="auto"/>
                                              </w:divBdr>
                                              <w:divsChild>
                                                <w:div w:id="287903613">
                                                  <w:marLeft w:val="0"/>
                                                  <w:marRight w:val="0"/>
                                                  <w:marTop w:val="0"/>
                                                  <w:marBottom w:val="0"/>
                                                  <w:divBdr>
                                                    <w:top w:val="none" w:sz="0" w:space="0" w:color="auto"/>
                                                    <w:left w:val="none" w:sz="0" w:space="0" w:color="auto"/>
                                                    <w:bottom w:val="none" w:sz="0" w:space="0" w:color="auto"/>
                                                    <w:right w:val="none" w:sz="0" w:space="0" w:color="auto"/>
                                                  </w:divBdr>
                                                  <w:divsChild>
                                                    <w:div w:id="1776360744">
                                                      <w:marLeft w:val="0"/>
                                                      <w:marRight w:val="0"/>
                                                      <w:marTop w:val="0"/>
                                                      <w:marBottom w:val="0"/>
                                                      <w:divBdr>
                                                        <w:top w:val="none" w:sz="0" w:space="0" w:color="auto"/>
                                                        <w:left w:val="none" w:sz="0" w:space="0" w:color="auto"/>
                                                        <w:bottom w:val="none" w:sz="0" w:space="0" w:color="auto"/>
                                                        <w:right w:val="none" w:sz="0" w:space="0" w:color="auto"/>
                                                      </w:divBdr>
                                                      <w:divsChild>
                                                        <w:div w:id="1712532926">
                                                          <w:marLeft w:val="0"/>
                                                          <w:marRight w:val="0"/>
                                                          <w:marTop w:val="0"/>
                                                          <w:marBottom w:val="0"/>
                                                          <w:divBdr>
                                                            <w:top w:val="none" w:sz="0" w:space="0" w:color="auto"/>
                                                            <w:left w:val="none" w:sz="0" w:space="0" w:color="auto"/>
                                                            <w:bottom w:val="none" w:sz="0" w:space="0" w:color="auto"/>
                                                            <w:right w:val="none" w:sz="0" w:space="0" w:color="auto"/>
                                                          </w:divBdr>
                                                          <w:divsChild>
                                                            <w:div w:id="1203712780">
                                                              <w:marLeft w:val="0"/>
                                                              <w:marRight w:val="0"/>
                                                              <w:marTop w:val="0"/>
                                                              <w:marBottom w:val="0"/>
                                                              <w:divBdr>
                                                                <w:top w:val="none" w:sz="0" w:space="0" w:color="auto"/>
                                                                <w:left w:val="none" w:sz="0" w:space="0" w:color="auto"/>
                                                                <w:bottom w:val="none" w:sz="0" w:space="0" w:color="auto"/>
                                                                <w:right w:val="none" w:sz="0" w:space="0" w:color="auto"/>
                                                              </w:divBdr>
                                                              <w:divsChild>
                                                                <w:div w:id="695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69458">
                                          <w:marLeft w:val="0"/>
                                          <w:marRight w:val="0"/>
                                          <w:marTop w:val="0"/>
                                          <w:marBottom w:val="0"/>
                                          <w:divBdr>
                                            <w:top w:val="none" w:sz="0" w:space="0" w:color="auto"/>
                                            <w:left w:val="none" w:sz="0" w:space="0" w:color="auto"/>
                                            <w:bottom w:val="none" w:sz="0" w:space="0" w:color="auto"/>
                                            <w:right w:val="none" w:sz="0" w:space="0" w:color="auto"/>
                                          </w:divBdr>
                                          <w:divsChild>
                                            <w:div w:id="341325561">
                                              <w:marLeft w:val="-127"/>
                                              <w:marRight w:val="-127"/>
                                              <w:marTop w:val="0"/>
                                              <w:marBottom w:val="0"/>
                                              <w:divBdr>
                                                <w:top w:val="none" w:sz="0" w:space="0" w:color="auto"/>
                                                <w:left w:val="none" w:sz="0" w:space="0" w:color="auto"/>
                                                <w:bottom w:val="none" w:sz="0" w:space="0" w:color="auto"/>
                                                <w:right w:val="none" w:sz="0" w:space="0" w:color="auto"/>
                                              </w:divBdr>
                                              <w:divsChild>
                                                <w:div w:id="1982810641">
                                                  <w:marLeft w:val="0"/>
                                                  <w:marRight w:val="0"/>
                                                  <w:marTop w:val="0"/>
                                                  <w:marBottom w:val="0"/>
                                                  <w:divBdr>
                                                    <w:top w:val="none" w:sz="0" w:space="0" w:color="auto"/>
                                                    <w:left w:val="none" w:sz="0" w:space="0" w:color="auto"/>
                                                    <w:bottom w:val="none" w:sz="0" w:space="0" w:color="auto"/>
                                                    <w:right w:val="none" w:sz="0" w:space="0" w:color="auto"/>
                                                  </w:divBdr>
                                                  <w:divsChild>
                                                    <w:div w:id="904488570">
                                                      <w:marLeft w:val="0"/>
                                                      <w:marRight w:val="0"/>
                                                      <w:marTop w:val="0"/>
                                                      <w:marBottom w:val="0"/>
                                                      <w:divBdr>
                                                        <w:top w:val="none" w:sz="0" w:space="0" w:color="auto"/>
                                                        <w:left w:val="none" w:sz="0" w:space="0" w:color="auto"/>
                                                        <w:bottom w:val="none" w:sz="0" w:space="0" w:color="auto"/>
                                                        <w:right w:val="none" w:sz="0" w:space="0" w:color="auto"/>
                                                      </w:divBdr>
                                                      <w:divsChild>
                                                        <w:div w:id="1895307420">
                                                          <w:marLeft w:val="0"/>
                                                          <w:marRight w:val="0"/>
                                                          <w:marTop w:val="0"/>
                                                          <w:marBottom w:val="0"/>
                                                          <w:divBdr>
                                                            <w:top w:val="none" w:sz="0" w:space="0" w:color="auto"/>
                                                            <w:left w:val="none" w:sz="0" w:space="0" w:color="auto"/>
                                                            <w:bottom w:val="none" w:sz="0" w:space="0" w:color="auto"/>
                                                            <w:right w:val="none" w:sz="0" w:space="0" w:color="auto"/>
                                                          </w:divBdr>
                                                          <w:divsChild>
                                                            <w:div w:id="607857500">
                                                              <w:marLeft w:val="0"/>
                                                              <w:marRight w:val="0"/>
                                                              <w:marTop w:val="0"/>
                                                              <w:marBottom w:val="0"/>
                                                              <w:divBdr>
                                                                <w:top w:val="none" w:sz="0" w:space="0" w:color="auto"/>
                                                                <w:left w:val="none" w:sz="0" w:space="0" w:color="auto"/>
                                                                <w:bottom w:val="none" w:sz="0" w:space="0" w:color="auto"/>
                                                                <w:right w:val="none" w:sz="0" w:space="0" w:color="auto"/>
                                                              </w:divBdr>
                                                              <w:divsChild>
                                                                <w:div w:id="10187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681991">
              <w:marLeft w:val="0"/>
              <w:marRight w:val="0"/>
              <w:marTop w:val="0"/>
              <w:marBottom w:val="0"/>
              <w:divBdr>
                <w:top w:val="none" w:sz="0" w:space="0" w:color="auto"/>
                <w:left w:val="none" w:sz="0" w:space="0" w:color="auto"/>
                <w:bottom w:val="none" w:sz="0" w:space="0" w:color="auto"/>
                <w:right w:val="none" w:sz="0" w:space="0" w:color="auto"/>
              </w:divBdr>
              <w:divsChild>
                <w:div w:id="542133459">
                  <w:marLeft w:val="0"/>
                  <w:marRight w:val="0"/>
                  <w:marTop w:val="0"/>
                  <w:marBottom w:val="0"/>
                  <w:divBdr>
                    <w:top w:val="none" w:sz="0" w:space="0" w:color="auto"/>
                    <w:left w:val="none" w:sz="0" w:space="0" w:color="auto"/>
                    <w:bottom w:val="none" w:sz="0" w:space="0" w:color="auto"/>
                    <w:right w:val="none" w:sz="0" w:space="0" w:color="auto"/>
                  </w:divBdr>
                  <w:divsChild>
                    <w:div w:id="244268537">
                      <w:marLeft w:val="0"/>
                      <w:marRight w:val="0"/>
                      <w:marTop w:val="0"/>
                      <w:marBottom w:val="0"/>
                      <w:divBdr>
                        <w:top w:val="none" w:sz="0" w:space="0" w:color="auto"/>
                        <w:left w:val="none" w:sz="0" w:space="0" w:color="auto"/>
                        <w:bottom w:val="none" w:sz="0" w:space="0" w:color="auto"/>
                        <w:right w:val="none" w:sz="0" w:space="0" w:color="auto"/>
                      </w:divBdr>
                      <w:divsChild>
                        <w:div w:id="866067729">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sChild>
        </w:div>
        <w:div w:id="2123107917">
          <w:marLeft w:val="0"/>
          <w:marRight w:val="0"/>
          <w:marTop w:val="0"/>
          <w:marBottom w:val="0"/>
          <w:divBdr>
            <w:top w:val="none" w:sz="0" w:space="0" w:color="auto"/>
            <w:left w:val="none" w:sz="0" w:space="0" w:color="auto"/>
            <w:bottom w:val="none" w:sz="0" w:space="0" w:color="auto"/>
            <w:right w:val="none" w:sz="0" w:space="0" w:color="auto"/>
          </w:divBdr>
          <w:divsChild>
            <w:div w:id="1777557727">
              <w:marLeft w:val="0"/>
              <w:marRight w:val="0"/>
              <w:marTop w:val="0"/>
              <w:marBottom w:val="0"/>
              <w:divBdr>
                <w:top w:val="none" w:sz="0" w:space="0" w:color="auto"/>
                <w:left w:val="none" w:sz="0" w:space="0" w:color="auto"/>
                <w:bottom w:val="none" w:sz="0" w:space="0" w:color="auto"/>
                <w:right w:val="none" w:sz="0" w:space="0" w:color="auto"/>
              </w:divBdr>
              <w:divsChild>
                <w:div w:id="947349380">
                  <w:marLeft w:val="0"/>
                  <w:marRight w:val="0"/>
                  <w:marTop w:val="0"/>
                  <w:marBottom w:val="0"/>
                  <w:divBdr>
                    <w:top w:val="none" w:sz="0" w:space="0" w:color="auto"/>
                    <w:left w:val="none" w:sz="0" w:space="0" w:color="auto"/>
                    <w:bottom w:val="none" w:sz="0" w:space="0" w:color="auto"/>
                    <w:right w:val="none" w:sz="0" w:space="0" w:color="auto"/>
                  </w:divBdr>
                  <w:divsChild>
                    <w:div w:id="479733188">
                      <w:marLeft w:val="0"/>
                      <w:marRight w:val="325"/>
                      <w:marTop w:val="0"/>
                      <w:marBottom w:val="0"/>
                      <w:divBdr>
                        <w:top w:val="none" w:sz="0" w:space="0" w:color="auto"/>
                        <w:left w:val="none" w:sz="0" w:space="0" w:color="auto"/>
                        <w:bottom w:val="none" w:sz="0" w:space="0" w:color="auto"/>
                        <w:right w:val="none" w:sz="0" w:space="0" w:color="auto"/>
                      </w:divBdr>
                    </w:div>
                    <w:div w:id="2029985008">
                      <w:marLeft w:val="0"/>
                      <w:marRight w:val="0"/>
                      <w:marTop w:val="0"/>
                      <w:marBottom w:val="0"/>
                      <w:divBdr>
                        <w:top w:val="none" w:sz="0" w:space="0" w:color="auto"/>
                        <w:left w:val="none" w:sz="0" w:space="0" w:color="auto"/>
                        <w:bottom w:val="none" w:sz="0" w:space="0" w:color="auto"/>
                        <w:right w:val="none" w:sz="0" w:space="0" w:color="auto"/>
                      </w:divBdr>
                      <w:divsChild>
                        <w:div w:id="4414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25051">
      <w:bodyDiv w:val="1"/>
      <w:marLeft w:val="0"/>
      <w:marRight w:val="0"/>
      <w:marTop w:val="0"/>
      <w:marBottom w:val="0"/>
      <w:divBdr>
        <w:top w:val="none" w:sz="0" w:space="0" w:color="auto"/>
        <w:left w:val="none" w:sz="0" w:space="0" w:color="auto"/>
        <w:bottom w:val="none" w:sz="0" w:space="0" w:color="auto"/>
        <w:right w:val="none" w:sz="0" w:space="0" w:color="auto"/>
      </w:divBdr>
    </w:div>
    <w:div w:id="175730944">
      <w:bodyDiv w:val="1"/>
      <w:marLeft w:val="0"/>
      <w:marRight w:val="0"/>
      <w:marTop w:val="0"/>
      <w:marBottom w:val="0"/>
      <w:divBdr>
        <w:top w:val="none" w:sz="0" w:space="0" w:color="auto"/>
        <w:left w:val="none" w:sz="0" w:space="0" w:color="auto"/>
        <w:bottom w:val="none" w:sz="0" w:space="0" w:color="auto"/>
        <w:right w:val="none" w:sz="0" w:space="0" w:color="auto"/>
      </w:divBdr>
      <w:divsChild>
        <w:div w:id="1602639143">
          <w:marLeft w:val="0"/>
          <w:marRight w:val="0"/>
          <w:marTop w:val="0"/>
          <w:marBottom w:val="0"/>
          <w:divBdr>
            <w:top w:val="none" w:sz="0" w:space="0" w:color="auto"/>
            <w:left w:val="none" w:sz="0" w:space="0" w:color="auto"/>
            <w:bottom w:val="none" w:sz="0" w:space="0" w:color="auto"/>
            <w:right w:val="none" w:sz="0" w:space="0" w:color="auto"/>
          </w:divBdr>
          <w:divsChild>
            <w:div w:id="807741048">
              <w:marLeft w:val="0"/>
              <w:marRight w:val="0"/>
              <w:marTop w:val="0"/>
              <w:marBottom w:val="0"/>
              <w:divBdr>
                <w:top w:val="none" w:sz="0" w:space="0" w:color="auto"/>
                <w:left w:val="none" w:sz="0" w:space="0" w:color="auto"/>
                <w:bottom w:val="none" w:sz="0" w:space="0" w:color="auto"/>
                <w:right w:val="none" w:sz="0" w:space="0" w:color="auto"/>
              </w:divBdr>
              <w:divsChild>
                <w:div w:id="252516965">
                  <w:marLeft w:val="0"/>
                  <w:marRight w:val="0"/>
                  <w:marTop w:val="0"/>
                  <w:marBottom w:val="0"/>
                  <w:divBdr>
                    <w:top w:val="none" w:sz="0" w:space="0" w:color="auto"/>
                    <w:left w:val="none" w:sz="0" w:space="0" w:color="auto"/>
                    <w:bottom w:val="none" w:sz="0" w:space="0" w:color="auto"/>
                    <w:right w:val="none" w:sz="0" w:space="0" w:color="auto"/>
                  </w:divBdr>
                  <w:divsChild>
                    <w:div w:id="1909725453">
                      <w:marLeft w:val="0"/>
                      <w:marRight w:val="0"/>
                      <w:marTop w:val="0"/>
                      <w:marBottom w:val="0"/>
                      <w:divBdr>
                        <w:top w:val="none" w:sz="0" w:space="0" w:color="auto"/>
                        <w:left w:val="none" w:sz="0" w:space="0" w:color="auto"/>
                        <w:bottom w:val="none" w:sz="0" w:space="0" w:color="auto"/>
                        <w:right w:val="none" w:sz="0" w:space="0" w:color="auto"/>
                      </w:divBdr>
                      <w:divsChild>
                        <w:div w:id="14336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3821">
      <w:bodyDiv w:val="1"/>
      <w:marLeft w:val="0"/>
      <w:marRight w:val="0"/>
      <w:marTop w:val="0"/>
      <w:marBottom w:val="0"/>
      <w:divBdr>
        <w:top w:val="none" w:sz="0" w:space="0" w:color="auto"/>
        <w:left w:val="none" w:sz="0" w:space="0" w:color="auto"/>
        <w:bottom w:val="none" w:sz="0" w:space="0" w:color="auto"/>
        <w:right w:val="none" w:sz="0" w:space="0" w:color="auto"/>
      </w:divBdr>
    </w:div>
    <w:div w:id="318117692">
      <w:bodyDiv w:val="1"/>
      <w:marLeft w:val="0"/>
      <w:marRight w:val="0"/>
      <w:marTop w:val="0"/>
      <w:marBottom w:val="0"/>
      <w:divBdr>
        <w:top w:val="none" w:sz="0" w:space="0" w:color="auto"/>
        <w:left w:val="none" w:sz="0" w:space="0" w:color="auto"/>
        <w:bottom w:val="none" w:sz="0" w:space="0" w:color="auto"/>
        <w:right w:val="none" w:sz="0" w:space="0" w:color="auto"/>
      </w:divBdr>
      <w:divsChild>
        <w:div w:id="536086058">
          <w:marLeft w:val="0"/>
          <w:marRight w:val="0"/>
          <w:marTop w:val="0"/>
          <w:marBottom w:val="0"/>
          <w:divBdr>
            <w:top w:val="none" w:sz="0" w:space="0" w:color="auto"/>
            <w:left w:val="none" w:sz="0" w:space="0" w:color="auto"/>
            <w:bottom w:val="none" w:sz="0" w:space="0" w:color="auto"/>
            <w:right w:val="none" w:sz="0" w:space="0" w:color="auto"/>
          </w:divBdr>
          <w:divsChild>
            <w:div w:id="1949654734">
              <w:marLeft w:val="0"/>
              <w:marRight w:val="0"/>
              <w:marTop w:val="0"/>
              <w:marBottom w:val="0"/>
              <w:divBdr>
                <w:top w:val="none" w:sz="0" w:space="0" w:color="auto"/>
                <w:left w:val="none" w:sz="0" w:space="0" w:color="auto"/>
                <w:bottom w:val="none" w:sz="0" w:space="0" w:color="auto"/>
                <w:right w:val="none" w:sz="0" w:space="0" w:color="auto"/>
              </w:divBdr>
              <w:divsChild>
                <w:div w:id="12298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0473">
          <w:marLeft w:val="0"/>
          <w:marRight w:val="0"/>
          <w:marTop w:val="0"/>
          <w:marBottom w:val="0"/>
          <w:divBdr>
            <w:top w:val="none" w:sz="0" w:space="0" w:color="auto"/>
            <w:left w:val="none" w:sz="0" w:space="0" w:color="auto"/>
            <w:bottom w:val="none" w:sz="0" w:space="0" w:color="auto"/>
            <w:right w:val="none" w:sz="0" w:space="0" w:color="auto"/>
          </w:divBdr>
        </w:div>
      </w:divsChild>
    </w:div>
    <w:div w:id="356739878">
      <w:bodyDiv w:val="1"/>
      <w:marLeft w:val="0"/>
      <w:marRight w:val="0"/>
      <w:marTop w:val="0"/>
      <w:marBottom w:val="0"/>
      <w:divBdr>
        <w:top w:val="none" w:sz="0" w:space="0" w:color="auto"/>
        <w:left w:val="none" w:sz="0" w:space="0" w:color="auto"/>
        <w:bottom w:val="none" w:sz="0" w:space="0" w:color="auto"/>
        <w:right w:val="none" w:sz="0" w:space="0" w:color="auto"/>
      </w:divBdr>
    </w:div>
    <w:div w:id="434596563">
      <w:bodyDiv w:val="1"/>
      <w:marLeft w:val="0"/>
      <w:marRight w:val="0"/>
      <w:marTop w:val="0"/>
      <w:marBottom w:val="0"/>
      <w:divBdr>
        <w:top w:val="none" w:sz="0" w:space="0" w:color="auto"/>
        <w:left w:val="none" w:sz="0" w:space="0" w:color="auto"/>
        <w:bottom w:val="none" w:sz="0" w:space="0" w:color="auto"/>
        <w:right w:val="none" w:sz="0" w:space="0" w:color="auto"/>
      </w:divBdr>
    </w:div>
    <w:div w:id="443965312">
      <w:bodyDiv w:val="1"/>
      <w:marLeft w:val="0"/>
      <w:marRight w:val="0"/>
      <w:marTop w:val="0"/>
      <w:marBottom w:val="0"/>
      <w:divBdr>
        <w:top w:val="none" w:sz="0" w:space="0" w:color="auto"/>
        <w:left w:val="none" w:sz="0" w:space="0" w:color="auto"/>
        <w:bottom w:val="none" w:sz="0" w:space="0" w:color="auto"/>
        <w:right w:val="none" w:sz="0" w:space="0" w:color="auto"/>
      </w:divBdr>
    </w:div>
    <w:div w:id="562715148">
      <w:bodyDiv w:val="1"/>
      <w:marLeft w:val="0"/>
      <w:marRight w:val="0"/>
      <w:marTop w:val="0"/>
      <w:marBottom w:val="0"/>
      <w:divBdr>
        <w:top w:val="none" w:sz="0" w:space="0" w:color="auto"/>
        <w:left w:val="none" w:sz="0" w:space="0" w:color="auto"/>
        <w:bottom w:val="none" w:sz="0" w:space="0" w:color="auto"/>
        <w:right w:val="none" w:sz="0" w:space="0" w:color="auto"/>
      </w:divBdr>
    </w:div>
    <w:div w:id="582421452">
      <w:bodyDiv w:val="1"/>
      <w:marLeft w:val="0"/>
      <w:marRight w:val="0"/>
      <w:marTop w:val="0"/>
      <w:marBottom w:val="0"/>
      <w:divBdr>
        <w:top w:val="none" w:sz="0" w:space="0" w:color="auto"/>
        <w:left w:val="none" w:sz="0" w:space="0" w:color="auto"/>
        <w:bottom w:val="none" w:sz="0" w:space="0" w:color="auto"/>
        <w:right w:val="none" w:sz="0" w:space="0" w:color="auto"/>
      </w:divBdr>
    </w:div>
    <w:div w:id="605893341">
      <w:bodyDiv w:val="1"/>
      <w:marLeft w:val="0"/>
      <w:marRight w:val="0"/>
      <w:marTop w:val="0"/>
      <w:marBottom w:val="0"/>
      <w:divBdr>
        <w:top w:val="none" w:sz="0" w:space="0" w:color="auto"/>
        <w:left w:val="none" w:sz="0" w:space="0" w:color="auto"/>
        <w:bottom w:val="none" w:sz="0" w:space="0" w:color="auto"/>
        <w:right w:val="none" w:sz="0" w:space="0" w:color="auto"/>
      </w:divBdr>
    </w:div>
    <w:div w:id="828902811">
      <w:bodyDiv w:val="1"/>
      <w:marLeft w:val="0"/>
      <w:marRight w:val="0"/>
      <w:marTop w:val="0"/>
      <w:marBottom w:val="0"/>
      <w:divBdr>
        <w:top w:val="none" w:sz="0" w:space="0" w:color="auto"/>
        <w:left w:val="none" w:sz="0" w:space="0" w:color="auto"/>
        <w:bottom w:val="none" w:sz="0" w:space="0" w:color="auto"/>
        <w:right w:val="none" w:sz="0" w:space="0" w:color="auto"/>
      </w:divBdr>
    </w:div>
    <w:div w:id="863983596">
      <w:bodyDiv w:val="1"/>
      <w:marLeft w:val="0"/>
      <w:marRight w:val="0"/>
      <w:marTop w:val="0"/>
      <w:marBottom w:val="0"/>
      <w:divBdr>
        <w:top w:val="none" w:sz="0" w:space="0" w:color="auto"/>
        <w:left w:val="none" w:sz="0" w:space="0" w:color="auto"/>
        <w:bottom w:val="none" w:sz="0" w:space="0" w:color="auto"/>
        <w:right w:val="none" w:sz="0" w:space="0" w:color="auto"/>
      </w:divBdr>
    </w:div>
    <w:div w:id="882251948">
      <w:bodyDiv w:val="1"/>
      <w:marLeft w:val="0"/>
      <w:marRight w:val="0"/>
      <w:marTop w:val="0"/>
      <w:marBottom w:val="0"/>
      <w:divBdr>
        <w:top w:val="none" w:sz="0" w:space="0" w:color="auto"/>
        <w:left w:val="none" w:sz="0" w:space="0" w:color="auto"/>
        <w:bottom w:val="none" w:sz="0" w:space="0" w:color="auto"/>
        <w:right w:val="none" w:sz="0" w:space="0" w:color="auto"/>
      </w:divBdr>
    </w:div>
    <w:div w:id="932512570">
      <w:bodyDiv w:val="1"/>
      <w:marLeft w:val="0"/>
      <w:marRight w:val="0"/>
      <w:marTop w:val="0"/>
      <w:marBottom w:val="0"/>
      <w:divBdr>
        <w:top w:val="none" w:sz="0" w:space="0" w:color="auto"/>
        <w:left w:val="none" w:sz="0" w:space="0" w:color="auto"/>
        <w:bottom w:val="none" w:sz="0" w:space="0" w:color="auto"/>
        <w:right w:val="none" w:sz="0" w:space="0" w:color="auto"/>
      </w:divBdr>
    </w:div>
    <w:div w:id="951672705">
      <w:bodyDiv w:val="1"/>
      <w:marLeft w:val="0"/>
      <w:marRight w:val="0"/>
      <w:marTop w:val="0"/>
      <w:marBottom w:val="0"/>
      <w:divBdr>
        <w:top w:val="none" w:sz="0" w:space="0" w:color="auto"/>
        <w:left w:val="none" w:sz="0" w:space="0" w:color="auto"/>
        <w:bottom w:val="none" w:sz="0" w:space="0" w:color="auto"/>
        <w:right w:val="none" w:sz="0" w:space="0" w:color="auto"/>
      </w:divBdr>
    </w:div>
    <w:div w:id="972831444">
      <w:bodyDiv w:val="1"/>
      <w:marLeft w:val="0"/>
      <w:marRight w:val="0"/>
      <w:marTop w:val="0"/>
      <w:marBottom w:val="0"/>
      <w:divBdr>
        <w:top w:val="none" w:sz="0" w:space="0" w:color="auto"/>
        <w:left w:val="none" w:sz="0" w:space="0" w:color="auto"/>
        <w:bottom w:val="none" w:sz="0" w:space="0" w:color="auto"/>
        <w:right w:val="none" w:sz="0" w:space="0" w:color="auto"/>
      </w:divBdr>
    </w:div>
    <w:div w:id="980496746">
      <w:bodyDiv w:val="1"/>
      <w:marLeft w:val="0"/>
      <w:marRight w:val="0"/>
      <w:marTop w:val="0"/>
      <w:marBottom w:val="0"/>
      <w:divBdr>
        <w:top w:val="none" w:sz="0" w:space="0" w:color="auto"/>
        <w:left w:val="none" w:sz="0" w:space="0" w:color="auto"/>
        <w:bottom w:val="none" w:sz="0" w:space="0" w:color="auto"/>
        <w:right w:val="none" w:sz="0" w:space="0" w:color="auto"/>
      </w:divBdr>
    </w:div>
    <w:div w:id="988439957">
      <w:bodyDiv w:val="1"/>
      <w:marLeft w:val="0"/>
      <w:marRight w:val="0"/>
      <w:marTop w:val="0"/>
      <w:marBottom w:val="0"/>
      <w:divBdr>
        <w:top w:val="none" w:sz="0" w:space="0" w:color="auto"/>
        <w:left w:val="none" w:sz="0" w:space="0" w:color="auto"/>
        <w:bottom w:val="none" w:sz="0" w:space="0" w:color="auto"/>
        <w:right w:val="none" w:sz="0" w:space="0" w:color="auto"/>
      </w:divBdr>
    </w:div>
    <w:div w:id="993096676">
      <w:bodyDiv w:val="1"/>
      <w:marLeft w:val="0"/>
      <w:marRight w:val="0"/>
      <w:marTop w:val="0"/>
      <w:marBottom w:val="0"/>
      <w:divBdr>
        <w:top w:val="none" w:sz="0" w:space="0" w:color="auto"/>
        <w:left w:val="none" w:sz="0" w:space="0" w:color="auto"/>
        <w:bottom w:val="none" w:sz="0" w:space="0" w:color="auto"/>
        <w:right w:val="none" w:sz="0" w:space="0" w:color="auto"/>
      </w:divBdr>
    </w:div>
    <w:div w:id="1019160306">
      <w:bodyDiv w:val="1"/>
      <w:marLeft w:val="0"/>
      <w:marRight w:val="0"/>
      <w:marTop w:val="0"/>
      <w:marBottom w:val="0"/>
      <w:divBdr>
        <w:top w:val="none" w:sz="0" w:space="0" w:color="auto"/>
        <w:left w:val="none" w:sz="0" w:space="0" w:color="auto"/>
        <w:bottom w:val="none" w:sz="0" w:space="0" w:color="auto"/>
        <w:right w:val="none" w:sz="0" w:space="0" w:color="auto"/>
      </w:divBdr>
    </w:div>
    <w:div w:id="1170564925">
      <w:bodyDiv w:val="1"/>
      <w:marLeft w:val="0"/>
      <w:marRight w:val="0"/>
      <w:marTop w:val="0"/>
      <w:marBottom w:val="0"/>
      <w:divBdr>
        <w:top w:val="none" w:sz="0" w:space="0" w:color="auto"/>
        <w:left w:val="none" w:sz="0" w:space="0" w:color="auto"/>
        <w:bottom w:val="none" w:sz="0" w:space="0" w:color="auto"/>
        <w:right w:val="none" w:sz="0" w:space="0" w:color="auto"/>
      </w:divBdr>
    </w:div>
    <w:div w:id="1172794505">
      <w:bodyDiv w:val="1"/>
      <w:marLeft w:val="0"/>
      <w:marRight w:val="0"/>
      <w:marTop w:val="0"/>
      <w:marBottom w:val="0"/>
      <w:divBdr>
        <w:top w:val="none" w:sz="0" w:space="0" w:color="auto"/>
        <w:left w:val="none" w:sz="0" w:space="0" w:color="auto"/>
        <w:bottom w:val="none" w:sz="0" w:space="0" w:color="auto"/>
        <w:right w:val="none" w:sz="0" w:space="0" w:color="auto"/>
      </w:divBdr>
    </w:div>
    <w:div w:id="1198814488">
      <w:bodyDiv w:val="1"/>
      <w:marLeft w:val="0"/>
      <w:marRight w:val="0"/>
      <w:marTop w:val="0"/>
      <w:marBottom w:val="0"/>
      <w:divBdr>
        <w:top w:val="none" w:sz="0" w:space="0" w:color="auto"/>
        <w:left w:val="none" w:sz="0" w:space="0" w:color="auto"/>
        <w:bottom w:val="none" w:sz="0" w:space="0" w:color="auto"/>
        <w:right w:val="none" w:sz="0" w:space="0" w:color="auto"/>
      </w:divBdr>
    </w:div>
    <w:div w:id="1395393961">
      <w:bodyDiv w:val="1"/>
      <w:marLeft w:val="0"/>
      <w:marRight w:val="0"/>
      <w:marTop w:val="0"/>
      <w:marBottom w:val="0"/>
      <w:divBdr>
        <w:top w:val="none" w:sz="0" w:space="0" w:color="auto"/>
        <w:left w:val="none" w:sz="0" w:space="0" w:color="auto"/>
        <w:bottom w:val="none" w:sz="0" w:space="0" w:color="auto"/>
        <w:right w:val="none" w:sz="0" w:space="0" w:color="auto"/>
      </w:divBdr>
    </w:div>
    <w:div w:id="1451435880">
      <w:bodyDiv w:val="1"/>
      <w:marLeft w:val="0"/>
      <w:marRight w:val="0"/>
      <w:marTop w:val="0"/>
      <w:marBottom w:val="0"/>
      <w:divBdr>
        <w:top w:val="none" w:sz="0" w:space="0" w:color="auto"/>
        <w:left w:val="none" w:sz="0" w:space="0" w:color="auto"/>
        <w:bottom w:val="none" w:sz="0" w:space="0" w:color="auto"/>
        <w:right w:val="none" w:sz="0" w:space="0" w:color="auto"/>
      </w:divBdr>
    </w:div>
    <w:div w:id="1473912523">
      <w:bodyDiv w:val="1"/>
      <w:marLeft w:val="0"/>
      <w:marRight w:val="0"/>
      <w:marTop w:val="0"/>
      <w:marBottom w:val="0"/>
      <w:divBdr>
        <w:top w:val="none" w:sz="0" w:space="0" w:color="auto"/>
        <w:left w:val="none" w:sz="0" w:space="0" w:color="auto"/>
        <w:bottom w:val="none" w:sz="0" w:space="0" w:color="auto"/>
        <w:right w:val="none" w:sz="0" w:space="0" w:color="auto"/>
      </w:divBdr>
    </w:div>
    <w:div w:id="1700888249">
      <w:bodyDiv w:val="1"/>
      <w:marLeft w:val="0"/>
      <w:marRight w:val="0"/>
      <w:marTop w:val="0"/>
      <w:marBottom w:val="0"/>
      <w:divBdr>
        <w:top w:val="none" w:sz="0" w:space="0" w:color="auto"/>
        <w:left w:val="none" w:sz="0" w:space="0" w:color="auto"/>
        <w:bottom w:val="none" w:sz="0" w:space="0" w:color="auto"/>
        <w:right w:val="none" w:sz="0" w:space="0" w:color="auto"/>
      </w:divBdr>
    </w:div>
    <w:div w:id="1721318550">
      <w:bodyDiv w:val="1"/>
      <w:marLeft w:val="0"/>
      <w:marRight w:val="0"/>
      <w:marTop w:val="0"/>
      <w:marBottom w:val="0"/>
      <w:divBdr>
        <w:top w:val="none" w:sz="0" w:space="0" w:color="auto"/>
        <w:left w:val="none" w:sz="0" w:space="0" w:color="auto"/>
        <w:bottom w:val="none" w:sz="0" w:space="0" w:color="auto"/>
        <w:right w:val="none" w:sz="0" w:space="0" w:color="auto"/>
      </w:divBdr>
    </w:div>
    <w:div w:id="1864324815">
      <w:bodyDiv w:val="1"/>
      <w:marLeft w:val="0"/>
      <w:marRight w:val="0"/>
      <w:marTop w:val="0"/>
      <w:marBottom w:val="0"/>
      <w:divBdr>
        <w:top w:val="none" w:sz="0" w:space="0" w:color="auto"/>
        <w:left w:val="none" w:sz="0" w:space="0" w:color="auto"/>
        <w:bottom w:val="none" w:sz="0" w:space="0" w:color="auto"/>
        <w:right w:val="none" w:sz="0" w:space="0" w:color="auto"/>
      </w:divBdr>
      <w:divsChild>
        <w:div w:id="423379524">
          <w:marLeft w:val="0"/>
          <w:marRight w:val="0"/>
          <w:marTop w:val="0"/>
          <w:marBottom w:val="0"/>
          <w:divBdr>
            <w:top w:val="none" w:sz="0" w:space="0" w:color="auto"/>
            <w:left w:val="none" w:sz="0" w:space="0" w:color="auto"/>
            <w:bottom w:val="none" w:sz="0" w:space="0" w:color="auto"/>
            <w:right w:val="none" w:sz="0" w:space="0" w:color="auto"/>
          </w:divBdr>
          <w:divsChild>
            <w:div w:id="1084837824">
              <w:marLeft w:val="0"/>
              <w:marRight w:val="0"/>
              <w:marTop w:val="0"/>
              <w:marBottom w:val="0"/>
              <w:divBdr>
                <w:top w:val="none" w:sz="0" w:space="0" w:color="auto"/>
                <w:left w:val="none" w:sz="0" w:space="0" w:color="auto"/>
                <w:bottom w:val="none" w:sz="0" w:space="0" w:color="auto"/>
                <w:right w:val="none" w:sz="0" w:space="0" w:color="auto"/>
              </w:divBdr>
              <w:divsChild>
                <w:div w:id="2045475300">
                  <w:marLeft w:val="0"/>
                  <w:marRight w:val="0"/>
                  <w:marTop w:val="0"/>
                  <w:marBottom w:val="0"/>
                  <w:divBdr>
                    <w:top w:val="none" w:sz="0" w:space="0" w:color="auto"/>
                    <w:left w:val="none" w:sz="0" w:space="0" w:color="auto"/>
                    <w:bottom w:val="none" w:sz="0" w:space="0" w:color="auto"/>
                    <w:right w:val="none" w:sz="0" w:space="0" w:color="auto"/>
                  </w:divBdr>
                  <w:divsChild>
                    <w:div w:id="401484770">
                      <w:marLeft w:val="0"/>
                      <w:marRight w:val="325"/>
                      <w:marTop w:val="0"/>
                      <w:marBottom w:val="0"/>
                      <w:divBdr>
                        <w:top w:val="none" w:sz="0" w:space="0" w:color="auto"/>
                        <w:left w:val="none" w:sz="0" w:space="0" w:color="auto"/>
                        <w:bottom w:val="none" w:sz="0" w:space="0" w:color="auto"/>
                        <w:right w:val="none" w:sz="0" w:space="0" w:color="auto"/>
                      </w:divBdr>
                    </w:div>
                    <w:div w:id="1878931236">
                      <w:marLeft w:val="0"/>
                      <w:marRight w:val="0"/>
                      <w:marTop w:val="0"/>
                      <w:marBottom w:val="0"/>
                      <w:divBdr>
                        <w:top w:val="none" w:sz="0" w:space="0" w:color="auto"/>
                        <w:left w:val="none" w:sz="0" w:space="0" w:color="auto"/>
                        <w:bottom w:val="none" w:sz="0" w:space="0" w:color="auto"/>
                        <w:right w:val="none" w:sz="0" w:space="0" w:color="auto"/>
                      </w:divBdr>
                      <w:divsChild>
                        <w:div w:id="1548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021022">
          <w:marLeft w:val="0"/>
          <w:marRight w:val="0"/>
          <w:marTop w:val="0"/>
          <w:marBottom w:val="0"/>
          <w:divBdr>
            <w:top w:val="none" w:sz="0" w:space="0" w:color="auto"/>
            <w:left w:val="none" w:sz="0" w:space="0" w:color="auto"/>
            <w:bottom w:val="none" w:sz="0" w:space="0" w:color="auto"/>
            <w:right w:val="none" w:sz="0" w:space="0" w:color="auto"/>
          </w:divBdr>
          <w:divsChild>
            <w:div w:id="1106772557">
              <w:marLeft w:val="0"/>
              <w:marRight w:val="0"/>
              <w:marTop w:val="0"/>
              <w:marBottom w:val="0"/>
              <w:divBdr>
                <w:top w:val="none" w:sz="0" w:space="0" w:color="auto"/>
                <w:left w:val="none" w:sz="0" w:space="0" w:color="auto"/>
                <w:bottom w:val="none" w:sz="0" w:space="0" w:color="auto"/>
                <w:right w:val="none" w:sz="0" w:space="0" w:color="auto"/>
              </w:divBdr>
              <w:divsChild>
                <w:div w:id="18430258">
                  <w:marLeft w:val="0"/>
                  <w:marRight w:val="0"/>
                  <w:marTop w:val="0"/>
                  <w:marBottom w:val="0"/>
                  <w:divBdr>
                    <w:top w:val="none" w:sz="0" w:space="0" w:color="auto"/>
                    <w:left w:val="none" w:sz="0" w:space="0" w:color="auto"/>
                    <w:bottom w:val="none" w:sz="0" w:space="0" w:color="auto"/>
                    <w:right w:val="none" w:sz="0" w:space="0" w:color="auto"/>
                  </w:divBdr>
                  <w:divsChild>
                    <w:div w:id="303462799">
                      <w:marLeft w:val="0"/>
                      <w:marRight w:val="0"/>
                      <w:marTop w:val="0"/>
                      <w:marBottom w:val="0"/>
                      <w:divBdr>
                        <w:top w:val="none" w:sz="0" w:space="0" w:color="auto"/>
                        <w:left w:val="none" w:sz="0" w:space="0" w:color="auto"/>
                        <w:bottom w:val="none" w:sz="0" w:space="0" w:color="auto"/>
                        <w:right w:val="none" w:sz="0" w:space="0" w:color="auto"/>
                      </w:divBdr>
                      <w:divsChild>
                        <w:div w:id="1466116710">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 w:id="1489830808">
              <w:marLeft w:val="0"/>
              <w:marRight w:val="0"/>
              <w:marTop w:val="0"/>
              <w:marBottom w:val="0"/>
              <w:divBdr>
                <w:top w:val="none" w:sz="0" w:space="0" w:color="auto"/>
                <w:left w:val="none" w:sz="0" w:space="0" w:color="auto"/>
                <w:bottom w:val="none" w:sz="0" w:space="0" w:color="auto"/>
                <w:right w:val="none" w:sz="0" w:space="0" w:color="auto"/>
              </w:divBdr>
              <w:divsChild>
                <w:div w:id="109975889">
                  <w:marLeft w:val="0"/>
                  <w:marRight w:val="0"/>
                  <w:marTop w:val="0"/>
                  <w:marBottom w:val="0"/>
                  <w:divBdr>
                    <w:top w:val="none" w:sz="0" w:space="0" w:color="auto"/>
                    <w:left w:val="none" w:sz="0" w:space="0" w:color="auto"/>
                    <w:bottom w:val="none" w:sz="0" w:space="0" w:color="auto"/>
                    <w:right w:val="none" w:sz="0" w:space="0" w:color="auto"/>
                  </w:divBdr>
                  <w:divsChild>
                    <w:div w:id="869563434">
                      <w:marLeft w:val="0"/>
                      <w:marRight w:val="0"/>
                      <w:marTop w:val="0"/>
                      <w:marBottom w:val="0"/>
                      <w:divBdr>
                        <w:top w:val="none" w:sz="0" w:space="0" w:color="auto"/>
                        <w:left w:val="none" w:sz="0" w:space="0" w:color="auto"/>
                        <w:bottom w:val="none" w:sz="0" w:space="0" w:color="auto"/>
                        <w:right w:val="none" w:sz="0" w:space="0" w:color="auto"/>
                      </w:divBdr>
                      <w:divsChild>
                        <w:div w:id="1946032361">
                          <w:marLeft w:val="0"/>
                          <w:marRight w:val="0"/>
                          <w:marTop w:val="0"/>
                          <w:marBottom w:val="0"/>
                          <w:divBdr>
                            <w:top w:val="none" w:sz="0" w:space="0" w:color="auto"/>
                            <w:left w:val="none" w:sz="0" w:space="0" w:color="auto"/>
                            <w:bottom w:val="none" w:sz="0" w:space="0" w:color="auto"/>
                            <w:right w:val="none" w:sz="0" w:space="0" w:color="auto"/>
                          </w:divBdr>
                          <w:divsChild>
                            <w:div w:id="1451514079">
                              <w:marLeft w:val="0"/>
                              <w:marRight w:val="0"/>
                              <w:marTop w:val="0"/>
                              <w:marBottom w:val="0"/>
                              <w:divBdr>
                                <w:top w:val="none" w:sz="0" w:space="0" w:color="auto"/>
                                <w:left w:val="none" w:sz="0" w:space="0" w:color="auto"/>
                                <w:bottom w:val="none" w:sz="0" w:space="0" w:color="auto"/>
                                <w:right w:val="none" w:sz="0" w:space="0" w:color="auto"/>
                              </w:divBdr>
                              <w:divsChild>
                                <w:div w:id="1083795589">
                                  <w:marLeft w:val="0"/>
                                  <w:marRight w:val="0"/>
                                  <w:marTop w:val="0"/>
                                  <w:marBottom w:val="0"/>
                                  <w:divBdr>
                                    <w:top w:val="none" w:sz="0" w:space="0" w:color="auto"/>
                                    <w:left w:val="none" w:sz="0" w:space="0" w:color="auto"/>
                                    <w:bottom w:val="none" w:sz="0" w:space="0" w:color="auto"/>
                                    <w:right w:val="none" w:sz="0" w:space="0" w:color="auto"/>
                                  </w:divBdr>
                                  <w:divsChild>
                                    <w:div w:id="32196581">
                                      <w:marLeft w:val="0"/>
                                      <w:marRight w:val="0"/>
                                      <w:marTop w:val="0"/>
                                      <w:marBottom w:val="0"/>
                                      <w:divBdr>
                                        <w:top w:val="none" w:sz="0" w:space="0" w:color="auto"/>
                                        <w:left w:val="none" w:sz="0" w:space="0" w:color="auto"/>
                                        <w:bottom w:val="none" w:sz="0" w:space="0" w:color="auto"/>
                                        <w:right w:val="none" w:sz="0" w:space="0" w:color="auto"/>
                                      </w:divBdr>
                                      <w:divsChild>
                                        <w:div w:id="1183667389">
                                          <w:marLeft w:val="0"/>
                                          <w:marRight w:val="0"/>
                                          <w:marTop w:val="0"/>
                                          <w:marBottom w:val="0"/>
                                          <w:divBdr>
                                            <w:top w:val="none" w:sz="0" w:space="0" w:color="auto"/>
                                            <w:left w:val="none" w:sz="0" w:space="0" w:color="auto"/>
                                            <w:bottom w:val="none" w:sz="0" w:space="0" w:color="auto"/>
                                            <w:right w:val="none" w:sz="0" w:space="0" w:color="auto"/>
                                          </w:divBdr>
                                          <w:divsChild>
                                            <w:div w:id="634985556">
                                              <w:marLeft w:val="-127"/>
                                              <w:marRight w:val="-127"/>
                                              <w:marTop w:val="0"/>
                                              <w:marBottom w:val="0"/>
                                              <w:divBdr>
                                                <w:top w:val="none" w:sz="0" w:space="0" w:color="auto"/>
                                                <w:left w:val="none" w:sz="0" w:space="0" w:color="auto"/>
                                                <w:bottom w:val="none" w:sz="0" w:space="0" w:color="auto"/>
                                                <w:right w:val="none" w:sz="0" w:space="0" w:color="auto"/>
                                              </w:divBdr>
                                              <w:divsChild>
                                                <w:div w:id="554002934">
                                                  <w:marLeft w:val="0"/>
                                                  <w:marRight w:val="0"/>
                                                  <w:marTop w:val="0"/>
                                                  <w:marBottom w:val="0"/>
                                                  <w:divBdr>
                                                    <w:top w:val="none" w:sz="0" w:space="0" w:color="auto"/>
                                                    <w:left w:val="none" w:sz="0" w:space="0" w:color="auto"/>
                                                    <w:bottom w:val="none" w:sz="0" w:space="0" w:color="auto"/>
                                                    <w:right w:val="none" w:sz="0" w:space="0" w:color="auto"/>
                                                  </w:divBdr>
                                                  <w:divsChild>
                                                    <w:div w:id="1409696573">
                                                      <w:marLeft w:val="0"/>
                                                      <w:marRight w:val="0"/>
                                                      <w:marTop w:val="0"/>
                                                      <w:marBottom w:val="0"/>
                                                      <w:divBdr>
                                                        <w:top w:val="none" w:sz="0" w:space="0" w:color="auto"/>
                                                        <w:left w:val="none" w:sz="0" w:space="0" w:color="auto"/>
                                                        <w:bottom w:val="none" w:sz="0" w:space="0" w:color="auto"/>
                                                        <w:right w:val="none" w:sz="0" w:space="0" w:color="auto"/>
                                                      </w:divBdr>
                                                      <w:divsChild>
                                                        <w:div w:id="829292896">
                                                          <w:marLeft w:val="0"/>
                                                          <w:marRight w:val="0"/>
                                                          <w:marTop w:val="0"/>
                                                          <w:marBottom w:val="0"/>
                                                          <w:divBdr>
                                                            <w:top w:val="none" w:sz="0" w:space="0" w:color="auto"/>
                                                            <w:left w:val="none" w:sz="0" w:space="0" w:color="auto"/>
                                                            <w:bottom w:val="none" w:sz="0" w:space="0" w:color="auto"/>
                                                            <w:right w:val="none" w:sz="0" w:space="0" w:color="auto"/>
                                                          </w:divBdr>
                                                          <w:divsChild>
                                                            <w:div w:id="475148896">
                                                              <w:marLeft w:val="0"/>
                                                              <w:marRight w:val="0"/>
                                                              <w:marTop w:val="0"/>
                                                              <w:marBottom w:val="0"/>
                                                              <w:divBdr>
                                                                <w:top w:val="none" w:sz="0" w:space="0" w:color="auto"/>
                                                                <w:left w:val="none" w:sz="0" w:space="0" w:color="auto"/>
                                                                <w:bottom w:val="none" w:sz="0" w:space="0" w:color="auto"/>
                                                                <w:right w:val="none" w:sz="0" w:space="0" w:color="auto"/>
                                                              </w:divBdr>
                                                              <w:divsChild>
                                                                <w:div w:id="14855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307608">
                                          <w:marLeft w:val="0"/>
                                          <w:marRight w:val="0"/>
                                          <w:marTop w:val="0"/>
                                          <w:marBottom w:val="0"/>
                                          <w:divBdr>
                                            <w:top w:val="none" w:sz="0" w:space="0" w:color="auto"/>
                                            <w:left w:val="none" w:sz="0" w:space="0" w:color="auto"/>
                                            <w:bottom w:val="none" w:sz="0" w:space="0" w:color="auto"/>
                                            <w:right w:val="none" w:sz="0" w:space="0" w:color="auto"/>
                                          </w:divBdr>
                                          <w:divsChild>
                                            <w:div w:id="1278757836">
                                              <w:marLeft w:val="-127"/>
                                              <w:marRight w:val="-127"/>
                                              <w:marTop w:val="0"/>
                                              <w:marBottom w:val="0"/>
                                              <w:divBdr>
                                                <w:top w:val="none" w:sz="0" w:space="0" w:color="auto"/>
                                                <w:left w:val="none" w:sz="0" w:space="0" w:color="auto"/>
                                                <w:bottom w:val="none" w:sz="0" w:space="0" w:color="auto"/>
                                                <w:right w:val="none" w:sz="0" w:space="0" w:color="auto"/>
                                              </w:divBdr>
                                              <w:divsChild>
                                                <w:div w:id="1856455480">
                                                  <w:marLeft w:val="0"/>
                                                  <w:marRight w:val="0"/>
                                                  <w:marTop w:val="0"/>
                                                  <w:marBottom w:val="0"/>
                                                  <w:divBdr>
                                                    <w:top w:val="none" w:sz="0" w:space="0" w:color="auto"/>
                                                    <w:left w:val="none" w:sz="0" w:space="0" w:color="auto"/>
                                                    <w:bottom w:val="none" w:sz="0" w:space="0" w:color="auto"/>
                                                    <w:right w:val="none" w:sz="0" w:space="0" w:color="auto"/>
                                                  </w:divBdr>
                                                  <w:divsChild>
                                                    <w:div w:id="1421876048">
                                                      <w:marLeft w:val="0"/>
                                                      <w:marRight w:val="0"/>
                                                      <w:marTop w:val="0"/>
                                                      <w:marBottom w:val="0"/>
                                                      <w:divBdr>
                                                        <w:top w:val="none" w:sz="0" w:space="0" w:color="auto"/>
                                                        <w:left w:val="none" w:sz="0" w:space="0" w:color="auto"/>
                                                        <w:bottom w:val="none" w:sz="0" w:space="0" w:color="auto"/>
                                                        <w:right w:val="none" w:sz="0" w:space="0" w:color="auto"/>
                                                      </w:divBdr>
                                                      <w:divsChild>
                                                        <w:div w:id="1868325747">
                                                          <w:marLeft w:val="0"/>
                                                          <w:marRight w:val="0"/>
                                                          <w:marTop w:val="0"/>
                                                          <w:marBottom w:val="0"/>
                                                          <w:divBdr>
                                                            <w:top w:val="none" w:sz="0" w:space="0" w:color="auto"/>
                                                            <w:left w:val="none" w:sz="0" w:space="0" w:color="auto"/>
                                                            <w:bottom w:val="none" w:sz="0" w:space="0" w:color="auto"/>
                                                            <w:right w:val="none" w:sz="0" w:space="0" w:color="auto"/>
                                                          </w:divBdr>
                                                          <w:divsChild>
                                                            <w:div w:id="609699988">
                                                              <w:marLeft w:val="0"/>
                                                              <w:marRight w:val="0"/>
                                                              <w:marTop w:val="0"/>
                                                              <w:marBottom w:val="0"/>
                                                              <w:divBdr>
                                                                <w:top w:val="none" w:sz="0" w:space="0" w:color="auto"/>
                                                                <w:left w:val="none" w:sz="0" w:space="0" w:color="auto"/>
                                                                <w:bottom w:val="none" w:sz="0" w:space="0" w:color="auto"/>
                                                                <w:right w:val="none" w:sz="0" w:space="0" w:color="auto"/>
                                                              </w:divBdr>
                                                              <w:divsChild>
                                                                <w:div w:id="1918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5558980">
      <w:bodyDiv w:val="1"/>
      <w:marLeft w:val="0"/>
      <w:marRight w:val="0"/>
      <w:marTop w:val="0"/>
      <w:marBottom w:val="0"/>
      <w:divBdr>
        <w:top w:val="none" w:sz="0" w:space="0" w:color="auto"/>
        <w:left w:val="none" w:sz="0" w:space="0" w:color="auto"/>
        <w:bottom w:val="none" w:sz="0" w:space="0" w:color="auto"/>
        <w:right w:val="none" w:sz="0" w:space="0" w:color="auto"/>
      </w:divBdr>
    </w:div>
    <w:div w:id="1940678123">
      <w:bodyDiv w:val="1"/>
      <w:marLeft w:val="0"/>
      <w:marRight w:val="0"/>
      <w:marTop w:val="0"/>
      <w:marBottom w:val="0"/>
      <w:divBdr>
        <w:top w:val="none" w:sz="0" w:space="0" w:color="auto"/>
        <w:left w:val="none" w:sz="0" w:space="0" w:color="auto"/>
        <w:bottom w:val="none" w:sz="0" w:space="0" w:color="auto"/>
        <w:right w:val="none" w:sz="0" w:space="0" w:color="auto"/>
      </w:divBdr>
    </w:div>
    <w:div w:id="2100517754">
      <w:bodyDiv w:val="1"/>
      <w:marLeft w:val="0"/>
      <w:marRight w:val="0"/>
      <w:marTop w:val="0"/>
      <w:marBottom w:val="0"/>
      <w:divBdr>
        <w:top w:val="none" w:sz="0" w:space="0" w:color="auto"/>
        <w:left w:val="none" w:sz="0" w:space="0" w:color="auto"/>
        <w:bottom w:val="none" w:sz="0" w:space="0" w:color="auto"/>
        <w:right w:val="none" w:sz="0" w:space="0" w:color="auto"/>
      </w:divBdr>
    </w:div>
    <w:div w:id="214330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ergy-transitions.org/wh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nergy-transitions.org/ambi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nergy-transitions.org/who" TargetMode="External"/><Relationship Id="rId5" Type="http://schemas.openxmlformats.org/officeDocument/2006/relationships/numbering" Target="numbering.xml"/><Relationship Id="rId15" Type="http://schemas.openxmlformats.org/officeDocument/2006/relationships/hyperlink" Target="https://www.energy-transitions.org/publications/better-faster-cleaner-supply-chain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transitions.org/publications/better-faster-cleaner-supply-chain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iskandcompliance.freshfields.com/post/102k86k/trumps-tariffs-wto-consultations-requested-by-china-canada-and-the-european-u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6f44a7d-d6f5-4042-8792-19cb5f90fb06" xsi:nil="true"/>
    <lcf76f155ced4ddcb4097134ff3c332f xmlns="66ed9c45-22dc-462d-afd9-7e97c4d3402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A69A861FBDCC489E7430507140FEBA" ma:contentTypeVersion="12" ma:contentTypeDescription="Create a new document." ma:contentTypeScope="" ma:versionID="985f8572de40f61df574010b7c775858">
  <xsd:schema xmlns:xsd="http://www.w3.org/2001/XMLSchema" xmlns:xs="http://www.w3.org/2001/XMLSchema" xmlns:p="http://schemas.microsoft.com/office/2006/metadata/properties" xmlns:ns2="66ed9c45-22dc-462d-afd9-7e97c4d3402b" xmlns:ns3="f6f44a7d-d6f5-4042-8792-19cb5f90fb06" targetNamespace="http://schemas.microsoft.com/office/2006/metadata/properties" ma:root="true" ma:fieldsID="19e54679cabb24a8ddaa3fd87a0caf80" ns2:_="" ns3:_="">
    <xsd:import namespace="66ed9c45-22dc-462d-afd9-7e97c4d3402b"/>
    <xsd:import namespace="f6f44a7d-d6f5-4042-8792-19cb5f90fb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d9c45-22dc-462d-afd9-7e97c4d34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fd27762-0251-4a48-b483-e1f79c0a654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f44a7d-d6f5-4042-8792-19cb5f90fb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1cb957-661d-4683-93b6-7eb55a432899}" ma:internalName="TaxCatchAll" ma:showField="CatchAllData" ma:web="f6f44a7d-d6f5-4042-8792-19cb5f90f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FA807A-5068-48E9-894A-796BC21EDBB6}">
  <ds:schemaRefs>
    <ds:schemaRef ds:uri="http://schemas.microsoft.com/sharepoint/v3/contenttype/forms"/>
  </ds:schemaRefs>
</ds:datastoreItem>
</file>

<file path=customXml/itemProps2.xml><?xml version="1.0" encoding="utf-8"?>
<ds:datastoreItem xmlns:ds="http://schemas.openxmlformats.org/officeDocument/2006/customXml" ds:itemID="{8FDFCA3F-AED6-4D34-9DB7-A58312A8B699}">
  <ds:schemaRefs>
    <ds:schemaRef ds:uri="http://schemas.openxmlformats.org/officeDocument/2006/bibliography"/>
  </ds:schemaRefs>
</ds:datastoreItem>
</file>

<file path=customXml/itemProps3.xml><?xml version="1.0" encoding="utf-8"?>
<ds:datastoreItem xmlns:ds="http://schemas.openxmlformats.org/officeDocument/2006/customXml" ds:itemID="{9F46C9D7-2C37-4551-8873-A93508417245}">
  <ds:schemaRefs>
    <ds:schemaRef ds:uri="http://schemas.microsoft.com/office/2006/metadata/properties"/>
    <ds:schemaRef ds:uri="http://schemas.microsoft.com/office/infopath/2007/PartnerControls"/>
    <ds:schemaRef ds:uri="f6f44a7d-d6f5-4042-8792-19cb5f90fb06"/>
    <ds:schemaRef ds:uri="66ed9c45-22dc-462d-afd9-7e97c4d3402b"/>
  </ds:schemaRefs>
</ds:datastoreItem>
</file>

<file path=customXml/itemProps4.xml><?xml version="1.0" encoding="utf-8"?>
<ds:datastoreItem xmlns:ds="http://schemas.openxmlformats.org/officeDocument/2006/customXml" ds:itemID="{A26640D8-3855-4818-97C3-A54065654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d9c45-22dc-462d-afd9-7e97c4d3402b"/>
    <ds:schemaRef ds:uri="f6f44a7d-d6f5-4042-8792-19cb5f90f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3647</Words>
  <Characters>20790</Characters>
  <Application>Microsoft Office Word</Application>
  <DocSecurity>4</DocSecurity>
  <Lines>173</Lines>
  <Paragraphs>48</Paragraphs>
  <ScaleCrop>false</ScaleCrop>
  <Company/>
  <LinksUpToDate>false</LinksUpToDate>
  <CharactersWithSpaces>24389</CharactersWithSpaces>
  <SharedDoc>false</SharedDoc>
  <HLinks>
    <vt:vector size="36" baseType="variant">
      <vt:variant>
        <vt:i4>6094858</vt:i4>
      </vt:variant>
      <vt:variant>
        <vt:i4>12</vt:i4>
      </vt:variant>
      <vt:variant>
        <vt:i4>0</vt:i4>
      </vt:variant>
      <vt:variant>
        <vt:i4>5</vt:i4>
      </vt:variant>
      <vt:variant>
        <vt:lpwstr>https://www.energy-transitions.org/publications/better-faster-cleaner-supply-chains/</vt:lpwstr>
      </vt:variant>
      <vt:variant>
        <vt:lpwstr/>
      </vt:variant>
      <vt:variant>
        <vt:i4>6094858</vt:i4>
      </vt:variant>
      <vt:variant>
        <vt:i4>9</vt:i4>
      </vt:variant>
      <vt:variant>
        <vt:i4>0</vt:i4>
      </vt:variant>
      <vt:variant>
        <vt:i4>5</vt:i4>
      </vt:variant>
      <vt:variant>
        <vt:lpwstr>https://www.energy-transitions.org/publications/better-faster-cleaner-supply-chains/</vt:lpwstr>
      </vt:variant>
      <vt:variant>
        <vt:lpwstr/>
      </vt:variant>
      <vt:variant>
        <vt:i4>524356</vt:i4>
      </vt:variant>
      <vt:variant>
        <vt:i4>6</vt:i4>
      </vt:variant>
      <vt:variant>
        <vt:i4>0</vt:i4>
      </vt:variant>
      <vt:variant>
        <vt:i4>5</vt:i4>
      </vt:variant>
      <vt:variant>
        <vt:lpwstr>http://www.energy-transitions.org/who</vt:lpwstr>
      </vt:variant>
      <vt:variant>
        <vt:lpwstr/>
      </vt:variant>
      <vt:variant>
        <vt:i4>1835016</vt:i4>
      </vt:variant>
      <vt:variant>
        <vt:i4>3</vt:i4>
      </vt:variant>
      <vt:variant>
        <vt:i4>0</vt:i4>
      </vt:variant>
      <vt:variant>
        <vt:i4>5</vt:i4>
      </vt:variant>
      <vt:variant>
        <vt:lpwstr>https://www.energy-transitions.org/ambition/</vt:lpwstr>
      </vt:variant>
      <vt:variant>
        <vt:lpwstr/>
      </vt:variant>
      <vt:variant>
        <vt:i4>524356</vt:i4>
      </vt:variant>
      <vt:variant>
        <vt:i4>0</vt:i4>
      </vt:variant>
      <vt:variant>
        <vt:i4>0</vt:i4>
      </vt:variant>
      <vt:variant>
        <vt:i4>5</vt:i4>
      </vt:variant>
      <vt:variant>
        <vt:lpwstr>http://www.energy-transitions.org/who</vt:lpwstr>
      </vt:variant>
      <vt:variant>
        <vt:lpwstr/>
      </vt:variant>
      <vt:variant>
        <vt:i4>1179659</vt:i4>
      </vt:variant>
      <vt:variant>
        <vt:i4>0</vt:i4>
      </vt:variant>
      <vt:variant>
        <vt:i4>0</vt:i4>
      </vt:variant>
      <vt:variant>
        <vt:i4>5</vt:i4>
      </vt:variant>
      <vt:variant>
        <vt:lpwstr>https://riskandcompliance.freshfields.com/post/102k86k/trumps-tariffs-wto-consultations-requested-by-china-canada-and-the-european-un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Randle</dc:creator>
  <cp:keywords/>
  <dc:description/>
  <cp:lastModifiedBy>Elizabeth Lam</cp:lastModifiedBy>
  <cp:revision>1012</cp:revision>
  <cp:lastPrinted>2022-10-31T12:54:00Z</cp:lastPrinted>
  <dcterms:created xsi:type="dcterms:W3CDTF">2022-10-31T01:03:00Z</dcterms:created>
  <dcterms:modified xsi:type="dcterms:W3CDTF">2025-06-10T10:25:00Z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0x01010085A69A861FBDCC489E7430507140FEBA</vt:lpwstr>
  </property>
  <property fmtid="{D5CDD505-2E9C-101B-9397-08002B2CF9AE}" pid="3" name="MediaServiceImageTags">
    <vt:lpwstr/>
  </property>
  <property fmtid="{D5CDD505-2E9C-101B-9397-08002B2CF9AE}" pid="4" name="GrammarlyDocumentId">
    <vt:lpwstr>2bc2e953a9c887c42ca7b36ce7f747084735cfdf3050556f3276cb6b49bcded0</vt:lpwstr>
  </property>
  <property fmtid="{D5CDD505-2E9C-101B-9397-08002B2CF9AE}" pid="5" name="SharedWithUsers">
    <vt:lpwstr>3623;#Hettie Morrison;#11318;#Ita Kettleborough;#14885;#Caroline Randle;#22972;#Tommaso Mazzanti;#18036;#Elena Pravettoni;#26818;#Mike Hemsley;#35222;#Shane O'Connor;#50107;#Apoorva Hasija;#39062;#Elizabeth Lam</vt:lpwstr>
  </property>
</Properties>
</file>