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FBD0CF" w14:textId="6E759BA4" w:rsidR="003F15D7" w:rsidRPr="009901FA" w:rsidRDefault="00D87FD0" w:rsidP="009901FA">
      <w:pPr>
        <w:pStyle w:val="NoSpacing"/>
        <w:spacing w:before="40" w:after="560" w:line="216" w:lineRule="auto"/>
        <w:rPr>
          <w:rFonts w:ascii="Century Gothic" w:eastAsiaTheme="minorHAnsi" w:hAnsi="Century Gothic"/>
          <w:color w:val="00146D"/>
          <w:sz w:val="96"/>
          <w:szCs w:val="96"/>
        </w:rPr>
      </w:pPr>
      <w:r w:rsidRPr="000E0EB1">
        <w:rPr>
          <w:rFonts w:ascii="Century Gothic" w:eastAsiaTheme="minorHAnsi" w:hAnsi="Century Gothic"/>
          <w:b/>
          <w:bCs/>
          <w:color w:val="00146D"/>
          <w:sz w:val="96"/>
          <w:szCs w:val="96"/>
        </w:rPr>
        <w:t>Carbon molecules within a low emission energy and materials system</w:t>
      </w:r>
      <w:r w:rsidR="005C4C40">
        <w:rPr>
          <w:rFonts w:ascii="Century Gothic" w:eastAsiaTheme="minorHAnsi" w:hAnsi="Century Gothic"/>
          <w:color w:val="00146D"/>
          <w:sz w:val="96"/>
          <w:szCs w:val="96"/>
        </w:rPr>
        <w:t xml:space="preserve"> (working title)</w:t>
      </w:r>
    </w:p>
    <w:p w14:paraId="150D5612" w14:textId="134C882C" w:rsidR="00D87FD0" w:rsidRPr="009901FA" w:rsidRDefault="00D87FD0" w:rsidP="009901FA">
      <w:pPr>
        <w:pStyle w:val="NoSpacing"/>
        <w:spacing w:before="40" w:after="560" w:line="216" w:lineRule="auto"/>
        <w:rPr>
          <w:rFonts w:ascii="Century Gothic" w:eastAsiaTheme="minorHAnsi" w:hAnsi="Century Gothic"/>
          <w:color w:val="00146D"/>
          <w:sz w:val="40"/>
          <w:szCs w:val="40"/>
        </w:rPr>
      </w:pPr>
      <w:r w:rsidRPr="009901FA">
        <w:rPr>
          <w:rFonts w:ascii="Century Gothic" w:eastAsiaTheme="minorHAnsi" w:hAnsi="Century Gothic"/>
          <w:color w:val="00146D"/>
          <w:sz w:val="40"/>
          <w:szCs w:val="40"/>
        </w:rPr>
        <w:t>October 2025</w:t>
      </w:r>
    </w:p>
    <w:p w14:paraId="18BFB177" w14:textId="77777777" w:rsidR="003F15D7" w:rsidRPr="009901FA" w:rsidRDefault="003F15D7"/>
    <w:p w14:paraId="778022AA" w14:textId="77777777" w:rsidR="003F15D7" w:rsidRPr="009901FA" w:rsidRDefault="003F15D7"/>
    <w:p w14:paraId="2BDB8554" w14:textId="5998D1D8" w:rsidR="00EE3565" w:rsidRPr="009901FA" w:rsidRDefault="003F15D7" w:rsidP="005C4C40">
      <w:r w:rsidRPr="009901FA">
        <w:br w:type="page"/>
      </w:r>
    </w:p>
    <w:sdt>
      <w:sdtPr>
        <w:rPr>
          <w:rFonts w:ascii="Century Gothic" w:eastAsiaTheme="minorEastAsia" w:hAnsi="Century Gothic" w:cstheme="minorBidi"/>
          <w:color w:val="auto"/>
          <w:sz w:val="20"/>
          <w:szCs w:val="20"/>
        </w:rPr>
        <w:id w:val="-2097851997"/>
        <w:docPartObj>
          <w:docPartGallery w:val="Table of Contents"/>
          <w:docPartUnique/>
        </w:docPartObj>
      </w:sdtPr>
      <w:sdtEndPr>
        <w:rPr>
          <w:b/>
          <w:bCs/>
          <w:noProof/>
          <w:sz w:val="24"/>
        </w:rPr>
      </w:sdtEndPr>
      <w:sdtContent>
        <w:p w14:paraId="63A91CA1" w14:textId="56B727EE" w:rsidR="00EE3565" w:rsidRPr="000E0EB1" w:rsidRDefault="00EE3565">
          <w:pPr>
            <w:pStyle w:val="TOCHeading"/>
            <w:rPr>
              <w:rFonts w:ascii="Century Gothic" w:hAnsi="Century Gothic"/>
              <w:color w:val="00146D" w:themeColor="text2"/>
            </w:rPr>
          </w:pPr>
          <w:r w:rsidRPr="000E0EB1">
            <w:rPr>
              <w:rFonts w:ascii="Century Gothic" w:hAnsi="Century Gothic"/>
              <w:color w:val="00146D" w:themeColor="text2"/>
            </w:rPr>
            <w:t>Contents</w:t>
          </w:r>
        </w:p>
        <w:p w14:paraId="7EB6162D" w14:textId="10FE6EE6" w:rsidR="0064408B" w:rsidRDefault="00EE3565">
          <w:pPr>
            <w:pStyle w:val="TOC2"/>
            <w:tabs>
              <w:tab w:val="right" w:leader="dot" w:pos="9854"/>
            </w:tabs>
            <w:rPr>
              <w:rFonts w:asciiTheme="minorHAnsi" w:hAnsiTheme="minorHAnsi"/>
              <w:noProof/>
              <w:color w:val="auto"/>
              <w:kern w:val="2"/>
              <w:szCs w:val="24"/>
              <w:lang w:eastAsia="en-GB"/>
              <w14:ligatures w14:val="standardContextual"/>
            </w:rPr>
          </w:pPr>
          <w:r w:rsidRPr="009901FA">
            <w:fldChar w:fldCharType="begin"/>
          </w:r>
          <w:r w:rsidRPr="009901FA">
            <w:instrText xml:space="preserve"> TOC \o "1-3" \h \z \u </w:instrText>
          </w:r>
          <w:r w:rsidRPr="009901FA">
            <w:fldChar w:fldCharType="separate"/>
          </w:r>
          <w:hyperlink w:anchor="_Toc205554211" w:history="1">
            <w:r w:rsidR="0064408B" w:rsidRPr="002C1FD2">
              <w:rPr>
                <w:rStyle w:val="Hyperlink"/>
                <w:b/>
                <w:bCs/>
                <w:smallCaps/>
                <w:noProof/>
              </w:rPr>
              <w:t>introduction: the use of carbon in the current and future system</w:t>
            </w:r>
            <w:r w:rsidR="0064408B">
              <w:rPr>
                <w:noProof/>
                <w:webHidden/>
              </w:rPr>
              <w:tab/>
            </w:r>
            <w:r w:rsidR="0064408B">
              <w:rPr>
                <w:noProof/>
                <w:webHidden/>
              </w:rPr>
              <w:fldChar w:fldCharType="begin"/>
            </w:r>
            <w:r w:rsidR="0064408B">
              <w:rPr>
                <w:noProof/>
                <w:webHidden/>
              </w:rPr>
              <w:instrText xml:space="preserve"> PAGEREF _Toc205554211 \h </w:instrText>
            </w:r>
            <w:r w:rsidR="0064408B">
              <w:rPr>
                <w:noProof/>
                <w:webHidden/>
              </w:rPr>
            </w:r>
            <w:r w:rsidR="0064408B">
              <w:rPr>
                <w:noProof/>
                <w:webHidden/>
              </w:rPr>
              <w:fldChar w:fldCharType="separate"/>
            </w:r>
            <w:r w:rsidR="0064408B">
              <w:rPr>
                <w:noProof/>
                <w:webHidden/>
              </w:rPr>
              <w:t>4</w:t>
            </w:r>
            <w:r w:rsidR="0064408B">
              <w:rPr>
                <w:noProof/>
                <w:webHidden/>
              </w:rPr>
              <w:fldChar w:fldCharType="end"/>
            </w:r>
          </w:hyperlink>
        </w:p>
        <w:p w14:paraId="2A7DA82C" w14:textId="3B341119" w:rsidR="0064408B" w:rsidRDefault="0064408B">
          <w:pPr>
            <w:pStyle w:val="TOC2"/>
            <w:tabs>
              <w:tab w:val="left" w:pos="720"/>
              <w:tab w:val="right" w:leader="dot" w:pos="9854"/>
            </w:tabs>
            <w:rPr>
              <w:rFonts w:asciiTheme="minorHAnsi" w:hAnsiTheme="minorHAnsi"/>
              <w:noProof/>
              <w:color w:val="auto"/>
              <w:kern w:val="2"/>
              <w:szCs w:val="24"/>
              <w:lang w:eastAsia="en-GB"/>
              <w14:ligatures w14:val="standardContextual"/>
            </w:rPr>
          </w:pPr>
          <w:hyperlink w:anchor="_Toc205554212" w:history="1">
            <w:r w:rsidRPr="002C1FD2">
              <w:rPr>
                <w:rStyle w:val="Hyperlink"/>
                <w:b/>
                <w:bCs/>
                <w:smallCaps/>
                <w:noProof/>
              </w:rPr>
              <w:t>1.</w:t>
            </w:r>
            <w:r>
              <w:rPr>
                <w:rFonts w:asciiTheme="minorHAnsi" w:hAnsiTheme="minorHAnsi"/>
                <w:noProof/>
                <w:color w:val="auto"/>
                <w:kern w:val="2"/>
                <w:szCs w:val="24"/>
                <w:lang w:eastAsia="en-GB"/>
                <w14:ligatures w14:val="standardContextual"/>
              </w:rPr>
              <w:tab/>
            </w:r>
            <w:r w:rsidRPr="002C1FD2">
              <w:rPr>
                <w:rStyle w:val="Hyperlink"/>
                <w:b/>
                <w:bCs/>
                <w:smallCaps/>
                <w:noProof/>
              </w:rPr>
              <w:t>the role of electrification</w:t>
            </w:r>
            <w:r>
              <w:rPr>
                <w:noProof/>
                <w:webHidden/>
              </w:rPr>
              <w:tab/>
            </w:r>
            <w:r>
              <w:rPr>
                <w:noProof/>
                <w:webHidden/>
              </w:rPr>
              <w:fldChar w:fldCharType="begin"/>
            </w:r>
            <w:r>
              <w:rPr>
                <w:noProof/>
                <w:webHidden/>
              </w:rPr>
              <w:instrText xml:space="preserve"> PAGEREF _Toc205554212 \h </w:instrText>
            </w:r>
            <w:r>
              <w:rPr>
                <w:noProof/>
                <w:webHidden/>
              </w:rPr>
            </w:r>
            <w:r>
              <w:rPr>
                <w:noProof/>
                <w:webHidden/>
              </w:rPr>
              <w:fldChar w:fldCharType="separate"/>
            </w:r>
            <w:r>
              <w:rPr>
                <w:noProof/>
                <w:webHidden/>
              </w:rPr>
              <w:t>9</w:t>
            </w:r>
            <w:r>
              <w:rPr>
                <w:noProof/>
                <w:webHidden/>
              </w:rPr>
              <w:fldChar w:fldCharType="end"/>
            </w:r>
          </w:hyperlink>
        </w:p>
        <w:p w14:paraId="31A96226" w14:textId="0183886E"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13" w:history="1">
            <w:r w:rsidRPr="002C1FD2">
              <w:rPr>
                <w:rStyle w:val="Hyperlink"/>
                <w:noProof/>
              </w:rPr>
              <w:t>1.1 Electrification of high temperature industrial heat</w:t>
            </w:r>
            <w:r>
              <w:rPr>
                <w:noProof/>
                <w:webHidden/>
              </w:rPr>
              <w:tab/>
            </w:r>
            <w:r>
              <w:rPr>
                <w:noProof/>
                <w:webHidden/>
              </w:rPr>
              <w:fldChar w:fldCharType="begin"/>
            </w:r>
            <w:r>
              <w:rPr>
                <w:noProof/>
                <w:webHidden/>
              </w:rPr>
              <w:instrText xml:space="preserve"> PAGEREF _Toc205554213 \h </w:instrText>
            </w:r>
            <w:r>
              <w:rPr>
                <w:noProof/>
                <w:webHidden/>
              </w:rPr>
            </w:r>
            <w:r>
              <w:rPr>
                <w:noProof/>
                <w:webHidden/>
              </w:rPr>
              <w:fldChar w:fldCharType="separate"/>
            </w:r>
            <w:r>
              <w:rPr>
                <w:noProof/>
                <w:webHidden/>
              </w:rPr>
              <w:t>10</w:t>
            </w:r>
            <w:r>
              <w:rPr>
                <w:noProof/>
                <w:webHidden/>
              </w:rPr>
              <w:fldChar w:fldCharType="end"/>
            </w:r>
          </w:hyperlink>
        </w:p>
        <w:p w14:paraId="4A270E31" w14:textId="0B5A0CA5"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14" w:history="1">
            <w:r w:rsidRPr="002C1FD2">
              <w:rPr>
                <w:rStyle w:val="Hyperlink"/>
                <w:noProof/>
              </w:rPr>
              <w:t>1.2 Molten Oxide Electrolysis and Electrowinning – electrifying the iron-making process</w:t>
            </w:r>
            <w:r>
              <w:rPr>
                <w:noProof/>
                <w:webHidden/>
              </w:rPr>
              <w:tab/>
            </w:r>
            <w:r>
              <w:rPr>
                <w:noProof/>
                <w:webHidden/>
              </w:rPr>
              <w:fldChar w:fldCharType="begin"/>
            </w:r>
            <w:r>
              <w:rPr>
                <w:noProof/>
                <w:webHidden/>
              </w:rPr>
              <w:instrText xml:space="preserve"> PAGEREF _Toc205554214 \h </w:instrText>
            </w:r>
            <w:r>
              <w:rPr>
                <w:noProof/>
                <w:webHidden/>
              </w:rPr>
            </w:r>
            <w:r>
              <w:rPr>
                <w:noProof/>
                <w:webHidden/>
              </w:rPr>
              <w:fldChar w:fldCharType="separate"/>
            </w:r>
            <w:r>
              <w:rPr>
                <w:noProof/>
                <w:webHidden/>
              </w:rPr>
              <w:t>13</w:t>
            </w:r>
            <w:r>
              <w:rPr>
                <w:noProof/>
                <w:webHidden/>
              </w:rPr>
              <w:fldChar w:fldCharType="end"/>
            </w:r>
          </w:hyperlink>
        </w:p>
        <w:p w14:paraId="57584517" w14:textId="5C498870"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15" w:history="1">
            <w:r w:rsidRPr="002C1FD2">
              <w:rPr>
                <w:rStyle w:val="Hyperlink"/>
                <w:noProof/>
              </w:rPr>
              <w:t>1.3 Advancements in battery chemistries</w:t>
            </w:r>
            <w:r>
              <w:rPr>
                <w:noProof/>
                <w:webHidden/>
              </w:rPr>
              <w:tab/>
            </w:r>
            <w:r>
              <w:rPr>
                <w:noProof/>
                <w:webHidden/>
              </w:rPr>
              <w:fldChar w:fldCharType="begin"/>
            </w:r>
            <w:r>
              <w:rPr>
                <w:noProof/>
                <w:webHidden/>
              </w:rPr>
              <w:instrText xml:space="preserve"> PAGEREF _Toc205554215 \h </w:instrText>
            </w:r>
            <w:r>
              <w:rPr>
                <w:noProof/>
                <w:webHidden/>
              </w:rPr>
            </w:r>
            <w:r>
              <w:rPr>
                <w:noProof/>
                <w:webHidden/>
              </w:rPr>
              <w:fldChar w:fldCharType="separate"/>
            </w:r>
            <w:r>
              <w:rPr>
                <w:noProof/>
                <w:webHidden/>
              </w:rPr>
              <w:t>14</w:t>
            </w:r>
            <w:r>
              <w:rPr>
                <w:noProof/>
                <w:webHidden/>
              </w:rPr>
              <w:fldChar w:fldCharType="end"/>
            </w:r>
          </w:hyperlink>
        </w:p>
        <w:p w14:paraId="705F74A5" w14:textId="130A73B3"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16" w:history="1">
            <w:r w:rsidRPr="002C1FD2">
              <w:rPr>
                <w:rStyle w:val="Hyperlink"/>
                <w:noProof/>
              </w:rPr>
              <w:t>1.4 Electrification enablers – sodium-based batteries and small nuclear reactors (SMR) and nuclear micro reactors (NMR)</w:t>
            </w:r>
            <w:r>
              <w:rPr>
                <w:noProof/>
                <w:webHidden/>
              </w:rPr>
              <w:tab/>
            </w:r>
            <w:r>
              <w:rPr>
                <w:noProof/>
                <w:webHidden/>
              </w:rPr>
              <w:fldChar w:fldCharType="begin"/>
            </w:r>
            <w:r>
              <w:rPr>
                <w:noProof/>
                <w:webHidden/>
              </w:rPr>
              <w:instrText xml:space="preserve"> PAGEREF _Toc205554216 \h </w:instrText>
            </w:r>
            <w:r>
              <w:rPr>
                <w:noProof/>
                <w:webHidden/>
              </w:rPr>
            </w:r>
            <w:r>
              <w:rPr>
                <w:noProof/>
                <w:webHidden/>
              </w:rPr>
              <w:fldChar w:fldCharType="separate"/>
            </w:r>
            <w:r>
              <w:rPr>
                <w:noProof/>
                <w:webHidden/>
              </w:rPr>
              <w:t>17</w:t>
            </w:r>
            <w:r>
              <w:rPr>
                <w:noProof/>
                <w:webHidden/>
              </w:rPr>
              <w:fldChar w:fldCharType="end"/>
            </w:r>
          </w:hyperlink>
        </w:p>
        <w:p w14:paraId="190AD05C" w14:textId="4CDFE685"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17" w:history="1">
            <w:r w:rsidRPr="002C1FD2">
              <w:rPr>
                <w:rStyle w:val="Hyperlink"/>
                <w:noProof/>
              </w:rPr>
              <w:t>1.5 A maximum electrification unconstrained power supply scenario.</w:t>
            </w:r>
            <w:r>
              <w:rPr>
                <w:noProof/>
                <w:webHidden/>
              </w:rPr>
              <w:tab/>
            </w:r>
            <w:r>
              <w:rPr>
                <w:noProof/>
                <w:webHidden/>
              </w:rPr>
              <w:fldChar w:fldCharType="begin"/>
            </w:r>
            <w:r>
              <w:rPr>
                <w:noProof/>
                <w:webHidden/>
              </w:rPr>
              <w:instrText xml:space="preserve"> PAGEREF _Toc205554217 \h </w:instrText>
            </w:r>
            <w:r>
              <w:rPr>
                <w:noProof/>
                <w:webHidden/>
              </w:rPr>
            </w:r>
            <w:r>
              <w:rPr>
                <w:noProof/>
                <w:webHidden/>
              </w:rPr>
              <w:fldChar w:fldCharType="separate"/>
            </w:r>
            <w:r>
              <w:rPr>
                <w:noProof/>
                <w:webHidden/>
              </w:rPr>
              <w:t>20</w:t>
            </w:r>
            <w:r>
              <w:rPr>
                <w:noProof/>
                <w:webHidden/>
              </w:rPr>
              <w:fldChar w:fldCharType="end"/>
            </w:r>
          </w:hyperlink>
        </w:p>
        <w:p w14:paraId="4EE81AFC" w14:textId="150E9C2C" w:rsidR="0064408B" w:rsidRDefault="0064408B">
          <w:pPr>
            <w:pStyle w:val="TOC2"/>
            <w:tabs>
              <w:tab w:val="left" w:pos="720"/>
              <w:tab w:val="right" w:leader="dot" w:pos="9854"/>
            </w:tabs>
            <w:rPr>
              <w:rFonts w:asciiTheme="minorHAnsi" w:hAnsiTheme="minorHAnsi"/>
              <w:noProof/>
              <w:color w:val="auto"/>
              <w:kern w:val="2"/>
              <w:szCs w:val="24"/>
              <w:lang w:eastAsia="en-GB"/>
              <w14:ligatures w14:val="standardContextual"/>
            </w:rPr>
          </w:pPr>
          <w:hyperlink w:anchor="_Toc205554218" w:history="1">
            <w:r w:rsidRPr="002C1FD2">
              <w:rPr>
                <w:rStyle w:val="Hyperlink"/>
                <w:b/>
                <w:bCs/>
                <w:smallCaps/>
                <w:noProof/>
              </w:rPr>
              <w:t>2.</w:t>
            </w:r>
            <w:r>
              <w:rPr>
                <w:rFonts w:asciiTheme="minorHAnsi" w:hAnsiTheme="minorHAnsi"/>
                <w:noProof/>
                <w:color w:val="auto"/>
                <w:kern w:val="2"/>
                <w:szCs w:val="24"/>
                <w:lang w:eastAsia="en-GB"/>
                <w14:ligatures w14:val="standardContextual"/>
              </w:rPr>
              <w:tab/>
            </w:r>
            <w:r w:rsidRPr="002C1FD2">
              <w:rPr>
                <w:rStyle w:val="Hyperlink"/>
                <w:b/>
                <w:bCs/>
                <w:smallCaps/>
                <w:noProof/>
              </w:rPr>
              <w:t>the role of hydrogen</w:t>
            </w:r>
            <w:r>
              <w:rPr>
                <w:noProof/>
                <w:webHidden/>
              </w:rPr>
              <w:tab/>
            </w:r>
            <w:r>
              <w:rPr>
                <w:noProof/>
                <w:webHidden/>
              </w:rPr>
              <w:fldChar w:fldCharType="begin"/>
            </w:r>
            <w:r>
              <w:rPr>
                <w:noProof/>
                <w:webHidden/>
              </w:rPr>
              <w:instrText xml:space="preserve"> PAGEREF _Toc205554218 \h </w:instrText>
            </w:r>
            <w:r>
              <w:rPr>
                <w:noProof/>
                <w:webHidden/>
              </w:rPr>
            </w:r>
            <w:r>
              <w:rPr>
                <w:noProof/>
                <w:webHidden/>
              </w:rPr>
              <w:fldChar w:fldCharType="separate"/>
            </w:r>
            <w:r>
              <w:rPr>
                <w:noProof/>
                <w:webHidden/>
              </w:rPr>
              <w:t>22</w:t>
            </w:r>
            <w:r>
              <w:rPr>
                <w:noProof/>
                <w:webHidden/>
              </w:rPr>
              <w:fldChar w:fldCharType="end"/>
            </w:r>
          </w:hyperlink>
        </w:p>
        <w:p w14:paraId="39600CEA" w14:textId="074B547D"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19" w:history="1">
            <w:r w:rsidRPr="002C1FD2">
              <w:rPr>
                <w:rStyle w:val="Hyperlink"/>
                <w:noProof/>
              </w:rPr>
              <w:t>2.1 Geological hydrogen</w:t>
            </w:r>
            <w:r>
              <w:rPr>
                <w:noProof/>
                <w:webHidden/>
              </w:rPr>
              <w:tab/>
            </w:r>
            <w:r>
              <w:rPr>
                <w:noProof/>
                <w:webHidden/>
              </w:rPr>
              <w:fldChar w:fldCharType="begin"/>
            </w:r>
            <w:r>
              <w:rPr>
                <w:noProof/>
                <w:webHidden/>
              </w:rPr>
              <w:instrText xml:space="preserve"> PAGEREF _Toc205554219 \h </w:instrText>
            </w:r>
            <w:r>
              <w:rPr>
                <w:noProof/>
                <w:webHidden/>
              </w:rPr>
            </w:r>
            <w:r>
              <w:rPr>
                <w:noProof/>
                <w:webHidden/>
              </w:rPr>
              <w:fldChar w:fldCharType="separate"/>
            </w:r>
            <w:r>
              <w:rPr>
                <w:noProof/>
                <w:webHidden/>
              </w:rPr>
              <w:t>23</w:t>
            </w:r>
            <w:r>
              <w:rPr>
                <w:noProof/>
                <w:webHidden/>
              </w:rPr>
              <w:fldChar w:fldCharType="end"/>
            </w:r>
          </w:hyperlink>
        </w:p>
        <w:p w14:paraId="34DC3EE8" w14:textId="207BDE24"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20" w:history="1">
            <w:r w:rsidRPr="002C1FD2">
              <w:rPr>
                <w:rStyle w:val="Hyperlink"/>
                <w:noProof/>
              </w:rPr>
              <w:t>2.2 Electrolyser system and balance of plant costs</w:t>
            </w:r>
            <w:r>
              <w:rPr>
                <w:noProof/>
                <w:webHidden/>
              </w:rPr>
              <w:tab/>
            </w:r>
            <w:r>
              <w:rPr>
                <w:noProof/>
                <w:webHidden/>
              </w:rPr>
              <w:fldChar w:fldCharType="begin"/>
            </w:r>
            <w:r>
              <w:rPr>
                <w:noProof/>
                <w:webHidden/>
              </w:rPr>
              <w:instrText xml:space="preserve"> PAGEREF _Toc205554220 \h </w:instrText>
            </w:r>
            <w:r>
              <w:rPr>
                <w:noProof/>
                <w:webHidden/>
              </w:rPr>
            </w:r>
            <w:r>
              <w:rPr>
                <w:noProof/>
                <w:webHidden/>
              </w:rPr>
              <w:fldChar w:fldCharType="separate"/>
            </w:r>
            <w:r>
              <w:rPr>
                <w:noProof/>
                <w:webHidden/>
              </w:rPr>
              <w:t>24</w:t>
            </w:r>
            <w:r>
              <w:rPr>
                <w:noProof/>
                <w:webHidden/>
              </w:rPr>
              <w:fldChar w:fldCharType="end"/>
            </w:r>
          </w:hyperlink>
        </w:p>
        <w:p w14:paraId="00661237" w14:textId="3BAD62BC"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21" w:history="1">
            <w:r w:rsidRPr="002C1FD2">
              <w:rPr>
                <w:rStyle w:val="Hyperlink"/>
                <w:noProof/>
              </w:rPr>
              <w:t>2.3 Possible future costs of  zero carbon hydrogen</w:t>
            </w:r>
            <w:r>
              <w:rPr>
                <w:noProof/>
                <w:webHidden/>
              </w:rPr>
              <w:tab/>
            </w:r>
            <w:r>
              <w:rPr>
                <w:noProof/>
                <w:webHidden/>
              </w:rPr>
              <w:fldChar w:fldCharType="begin"/>
            </w:r>
            <w:r>
              <w:rPr>
                <w:noProof/>
                <w:webHidden/>
              </w:rPr>
              <w:instrText xml:space="preserve"> PAGEREF _Toc205554221 \h </w:instrText>
            </w:r>
            <w:r>
              <w:rPr>
                <w:noProof/>
                <w:webHidden/>
              </w:rPr>
            </w:r>
            <w:r>
              <w:rPr>
                <w:noProof/>
                <w:webHidden/>
              </w:rPr>
              <w:fldChar w:fldCharType="separate"/>
            </w:r>
            <w:r>
              <w:rPr>
                <w:noProof/>
                <w:webHidden/>
              </w:rPr>
              <w:t>26</w:t>
            </w:r>
            <w:r>
              <w:rPr>
                <w:noProof/>
                <w:webHidden/>
              </w:rPr>
              <w:fldChar w:fldCharType="end"/>
            </w:r>
          </w:hyperlink>
        </w:p>
        <w:p w14:paraId="66D589D7" w14:textId="08B58346"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22" w:history="1">
            <w:r w:rsidRPr="002C1FD2">
              <w:rPr>
                <w:rStyle w:val="Hyperlink"/>
                <w:noProof/>
              </w:rPr>
              <w:t>2.4 Conclusions about the role of hydrogen</w:t>
            </w:r>
            <w:r>
              <w:rPr>
                <w:noProof/>
                <w:webHidden/>
              </w:rPr>
              <w:tab/>
            </w:r>
            <w:r>
              <w:rPr>
                <w:noProof/>
                <w:webHidden/>
              </w:rPr>
              <w:fldChar w:fldCharType="begin"/>
            </w:r>
            <w:r>
              <w:rPr>
                <w:noProof/>
                <w:webHidden/>
              </w:rPr>
              <w:instrText xml:space="preserve"> PAGEREF _Toc205554222 \h </w:instrText>
            </w:r>
            <w:r>
              <w:rPr>
                <w:noProof/>
                <w:webHidden/>
              </w:rPr>
            </w:r>
            <w:r>
              <w:rPr>
                <w:noProof/>
                <w:webHidden/>
              </w:rPr>
              <w:fldChar w:fldCharType="separate"/>
            </w:r>
            <w:r>
              <w:rPr>
                <w:noProof/>
                <w:webHidden/>
              </w:rPr>
              <w:t>27</w:t>
            </w:r>
            <w:r>
              <w:rPr>
                <w:noProof/>
                <w:webHidden/>
              </w:rPr>
              <w:fldChar w:fldCharType="end"/>
            </w:r>
          </w:hyperlink>
        </w:p>
        <w:p w14:paraId="2915F059" w14:textId="7713F6AD" w:rsidR="0064408B" w:rsidRDefault="0064408B">
          <w:pPr>
            <w:pStyle w:val="TOC2"/>
            <w:tabs>
              <w:tab w:val="left" w:pos="720"/>
              <w:tab w:val="right" w:leader="dot" w:pos="9854"/>
            </w:tabs>
            <w:rPr>
              <w:rFonts w:asciiTheme="minorHAnsi" w:hAnsiTheme="minorHAnsi"/>
              <w:noProof/>
              <w:color w:val="auto"/>
              <w:kern w:val="2"/>
              <w:szCs w:val="24"/>
              <w:lang w:eastAsia="en-GB"/>
              <w14:ligatures w14:val="standardContextual"/>
            </w:rPr>
          </w:pPr>
          <w:hyperlink w:anchor="_Toc205554223" w:history="1">
            <w:r w:rsidRPr="002C1FD2">
              <w:rPr>
                <w:rStyle w:val="Hyperlink"/>
                <w:b/>
                <w:bCs/>
                <w:smallCaps/>
                <w:noProof/>
              </w:rPr>
              <w:t>3.</w:t>
            </w:r>
            <w:r>
              <w:rPr>
                <w:rFonts w:asciiTheme="minorHAnsi" w:hAnsiTheme="minorHAnsi"/>
                <w:noProof/>
                <w:color w:val="auto"/>
                <w:kern w:val="2"/>
                <w:szCs w:val="24"/>
                <w:lang w:eastAsia="en-GB"/>
                <w14:ligatures w14:val="standardContextual"/>
              </w:rPr>
              <w:tab/>
            </w:r>
            <w:r w:rsidRPr="002C1FD2">
              <w:rPr>
                <w:rStyle w:val="Hyperlink"/>
                <w:b/>
                <w:bCs/>
                <w:smallCaps/>
                <w:noProof/>
              </w:rPr>
              <w:t>reducing the amount of ‘primary’ carbon in the system – carbon circularity levers that reuse, reallocating or recycle carbon</w:t>
            </w:r>
            <w:r>
              <w:rPr>
                <w:noProof/>
                <w:webHidden/>
              </w:rPr>
              <w:tab/>
            </w:r>
            <w:r>
              <w:rPr>
                <w:noProof/>
                <w:webHidden/>
              </w:rPr>
              <w:fldChar w:fldCharType="begin"/>
            </w:r>
            <w:r>
              <w:rPr>
                <w:noProof/>
                <w:webHidden/>
              </w:rPr>
              <w:instrText xml:space="preserve"> PAGEREF _Toc205554223 \h </w:instrText>
            </w:r>
            <w:r>
              <w:rPr>
                <w:noProof/>
                <w:webHidden/>
              </w:rPr>
            </w:r>
            <w:r>
              <w:rPr>
                <w:noProof/>
                <w:webHidden/>
              </w:rPr>
              <w:fldChar w:fldCharType="separate"/>
            </w:r>
            <w:r>
              <w:rPr>
                <w:noProof/>
                <w:webHidden/>
              </w:rPr>
              <w:t>28</w:t>
            </w:r>
            <w:r>
              <w:rPr>
                <w:noProof/>
                <w:webHidden/>
              </w:rPr>
              <w:fldChar w:fldCharType="end"/>
            </w:r>
          </w:hyperlink>
        </w:p>
        <w:p w14:paraId="49B25621" w14:textId="04DEC125"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24" w:history="1">
            <w:r w:rsidRPr="002C1FD2">
              <w:rPr>
                <w:rStyle w:val="Hyperlink"/>
                <w:noProof/>
              </w:rPr>
              <w:t>3.1 Demand Reduction: Elimination, Reuse and Substitution</w:t>
            </w:r>
            <w:r>
              <w:rPr>
                <w:noProof/>
                <w:webHidden/>
              </w:rPr>
              <w:tab/>
            </w:r>
            <w:r>
              <w:rPr>
                <w:noProof/>
                <w:webHidden/>
              </w:rPr>
              <w:fldChar w:fldCharType="begin"/>
            </w:r>
            <w:r>
              <w:rPr>
                <w:noProof/>
                <w:webHidden/>
              </w:rPr>
              <w:instrText xml:space="preserve"> PAGEREF _Toc205554224 \h </w:instrText>
            </w:r>
            <w:r>
              <w:rPr>
                <w:noProof/>
                <w:webHidden/>
              </w:rPr>
            </w:r>
            <w:r>
              <w:rPr>
                <w:noProof/>
                <w:webHidden/>
              </w:rPr>
              <w:fldChar w:fldCharType="separate"/>
            </w:r>
            <w:r>
              <w:rPr>
                <w:noProof/>
                <w:webHidden/>
              </w:rPr>
              <w:t>29</w:t>
            </w:r>
            <w:r>
              <w:rPr>
                <w:noProof/>
                <w:webHidden/>
              </w:rPr>
              <w:fldChar w:fldCharType="end"/>
            </w:r>
          </w:hyperlink>
        </w:p>
        <w:p w14:paraId="599F1AFC" w14:textId="6DC2E864"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25" w:history="1">
            <w:r w:rsidRPr="002C1FD2">
              <w:rPr>
                <w:rStyle w:val="Hyperlink"/>
                <w:noProof/>
              </w:rPr>
              <w:t>3.2 Advanced sortation</w:t>
            </w:r>
            <w:r>
              <w:rPr>
                <w:noProof/>
                <w:webHidden/>
              </w:rPr>
              <w:tab/>
            </w:r>
            <w:r>
              <w:rPr>
                <w:noProof/>
                <w:webHidden/>
              </w:rPr>
              <w:fldChar w:fldCharType="begin"/>
            </w:r>
            <w:r>
              <w:rPr>
                <w:noProof/>
                <w:webHidden/>
              </w:rPr>
              <w:instrText xml:space="preserve"> PAGEREF _Toc205554225 \h </w:instrText>
            </w:r>
            <w:r>
              <w:rPr>
                <w:noProof/>
                <w:webHidden/>
              </w:rPr>
            </w:r>
            <w:r>
              <w:rPr>
                <w:noProof/>
                <w:webHidden/>
              </w:rPr>
              <w:fldChar w:fldCharType="separate"/>
            </w:r>
            <w:r>
              <w:rPr>
                <w:noProof/>
                <w:webHidden/>
              </w:rPr>
              <w:t>35</w:t>
            </w:r>
            <w:r>
              <w:rPr>
                <w:noProof/>
                <w:webHidden/>
              </w:rPr>
              <w:fldChar w:fldCharType="end"/>
            </w:r>
          </w:hyperlink>
        </w:p>
        <w:p w14:paraId="47DB1E12" w14:textId="46F867AC"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26" w:history="1">
            <w:r w:rsidRPr="002C1FD2">
              <w:rPr>
                <w:rStyle w:val="Hyperlink"/>
                <w:noProof/>
              </w:rPr>
              <w:t>3.3 Mechanical recycling</w:t>
            </w:r>
            <w:r>
              <w:rPr>
                <w:noProof/>
                <w:webHidden/>
              </w:rPr>
              <w:tab/>
            </w:r>
            <w:r>
              <w:rPr>
                <w:noProof/>
                <w:webHidden/>
              </w:rPr>
              <w:fldChar w:fldCharType="begin"/>
            </w:r>
            <w:r>
              <w:rPr>
                <w:noProof/>
                <w:webHidden/>
              </w:rPr>
              <w:instrText xml:space="preserve"> PAGEREF _Toc205554226 \h </w:instrText>
            </w:r>
            <w:r>
              <w:rPr>
                <w:noProof/>
                <w:webHidden/>
              </w:rPr>
            </w:r>
            <w:r>
              <w:rPr>
                <w:noProof/>
                <w:webHidden/>
              </w:rPr>
              <w:fldChar w:fldCharType="separate"/>
            </w:r>
            <w:r>
              <w:rPr>
                <w:noProof/>
                <w:webHidden/>
              </w:rPr>
              <w:t>38</w:t>
            </w:r>
            <w:r>
              <w:rPr>
                <w:noProof/>
                <w:webHidden/>
              </w:rPr>
              <w:fldChar w:fldCharType="end"/>
            </w:r>
          </w:hyperlink>
        </w:p>
        <w:p w14:paraId="3C1D814A" w14:textId="27A7FB56"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27" w:history="1">
            <w:r w:rsidRPr="002C1FD2">
              <w:rPr>
                <w:rStyle w:val="Hyperlink"/>
                <w:noProof/>
              </w:rPr>
              <w:t>3.4 Chemical recycling and thermo conversion</w:t>
            </w:r>
            <w:r>
              <w:rPr>
                <w:noProof/>
                <w:webHidden/>
              </w:rPr>
              <w:tab/>
            </w:r>
            <w:r>
              <w:rPr>
                <w:noProof/>
                <w:webHidden/>
              </w:rPr>
              <w:fldChar w:fldCharType="begin"/>
            </w:r>
            <w:r>
              <w:rPr>
                <w:noProof/>
                <w:webHidden/>
              </w:rPr>
              <w:instrText xml:space="preserve"> PAGEREF _Toc205554227 \h </w:instrText>
            </w:r>
            <w:r>
              <w:rPr>
                <w:noProof/>
                <w:webHidden/>
              </w:rPr>
            </w:r>
            <w:r>
              <w:rPr>
                <w:noProof/>
                <w:webHidden/>
              </w:rPr>
              <w:fldChar w:fldCharType="separate"/>
            </w:r>
            <w:r>
              <w:rPr>
                <w:noProof/>
                <w:webHidden/>
              </w:rPr>
              <w:t>41</w:t>
            </w:r>
            <w:r>
              <w:rPr>
                <w:noProof/>
                <w:webHidden/>
              </w:rPr>
              <w:fldChar w:fldCharType="end"/>
            </w:r>
          </w:hyperlink>
        </w:p>
        <w:p w14:paraId="52F5CB2C" w14:textId="31B912A8"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28" w:history="1">
            <w:r w:rsidRPr="002C1FD2">
              <w:rPr>
                <w:rStyle w:val="Hyperlink"/>
                <w:noProof/>
              </w:rPr>
              <w:t>3.5 Carbon capture and utilisation</w:t>
            </w:r>
            <w:r>
              <w:rPr>
                <w:noProof/>
                <w:webHidden/>
              </w:rPr>
              <w:tab/>
            </w:r>
            <w:r>
              <w:rPr>
                <w:noProof/>
                <w:webHidden/>
              </w:rPr>
              <w:fldChar w:fldCharType="begin"/>
            </w:r>
            <w:r>
              <w:rPr>
                <w:noProof/>
                <w:webHidden/>
              </w:rPr>
              <w:instrText xml:space="preserve"> PAGEREF _Toc205554228 \h </w:instrText>
            </w:r>
            <w:r>
              <w:rPr>
                <w:noProof/>
                <w:webHidden/>
              </w:rPr>
            </w:r>
            <w:r>
              <w:rPr>
                <w:noProof/>
                <w:webHidden/>
              </w:rPr>
              <w:fldChar w:fldCharType="separate"/>
            </w:r>
            <w:r>
              <w:rPr>
                <w:noProof/>
                <w:webHidden/>
              </w:rPr>
              <w:t>49</w:t>
            </w:r>
            <w:r>
              <w:rPr>
                <w:noProof/>
                <w:webHidden/>
              </w:rPr>
              <w:fldChar w:fldCharType="end"/>
            </w:r>
          </w:hyperlink>
        </w:p>
        <w:p w14:paraId="3A804847" w14:textId="3456B0E5"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29" w:history="1">
            <w:r w:rsidRPr="002C1FD2">
              <w:rPr>
                <w:rStyle w:val="Hyperlink"/>
                <w:noProof/>
              </w:rPr>
              <w:t>3.6 A maximum circularity scenario</w:t>
            </w:r>
            <w:r>
              <w:rPr>
                <w:noProof/>
                <w:webHidden/>
              </w:rPr>
              <w:tab/>
            </w:r>
            <w:r>
              <w:rPr>
                <w:noProof/>
                <w:webHidden/>
              </w:rPr>
              <w:fldChar w:fldCharType="begin"/>
            </w:r>
            <w:r>
              <w:rPr>
                <w:noProof/>
                <w:webHidden/>
              </w:rPr>
              <w:instrText xml:space="preserve"> PAGEREF _Toc205554229 \h </w:instrText>
            </w:r>
            <w:r>
              <w:rPr>
                <w:noProof/>
                <w:webHidden/>
              </w:rPr>
            </w:r>
            <w:r>
              <w:rPr>
                <w:noProof/>
                <w:webHidden/>
              </w:rPr>
              <w:fldChar w:fldCharType="separate"/>
            </w:r>
            <w:r>
              <w:rPr>
                <w:noProof/>
                <w:webHidden/>
              </w:rPr>
              <w:t>53</w:t>
            </w:r>
            <w:r>
              <w:rPr>
                <w:noProof/>
                <w:webHidden/>
              </w:rPr>
              <w:fldChar w:fldCharType="end"/>
            </w:r>
          </w:hyperlink>
        </w:p>
        <w:p w14:paraId="666197D8" w14:textId="63F48F2E" w:rsidR="0064408B" w:rsidRDefault="0064408B">
          <w:pPr>
            <w:pStyle w:val="TOC2"/>
            <w:tabs>
              <w:tab w:val="left" w:pos="720"/>
              <w:tab w:val="right" w:leader="dot" w:pos="9854"/>
            </w:tabs>
            <w:rPr>
              <w:rFonts w:asciiTheme="minorHAnsi" w:hAnsiTheme="minorHAnsi"/>
              <w:noProof/>
              <w:color w:val="auto"/>
              <w:kern w:val="2"/>
              <w:szCs w:val="24"/>
              <w:lang w:eastAsia="en-GB"/>
              <w14:ligatures w14:val="standardContextual"/>
            </w:rPr>
          </w:pPr>
          <w:hyperlink w:anchor="_Toc205554230" w:history="1">
            <w:r w:rsidRPr="002C1FD2">
              <w:rPr>
                <w:rStyle w:val="Hyperlink"/>
                <w:b/>
                <w:bCs/>
                <w:smallCaps/>
                <w:noProof/>
              </w:rPr>
              <w:t>4.</w:t>
            </w:r>
            <w:r>
              <w:rPr>
                <w:rFonts w:asciiTheme="minorHAnsi" w:hAnsiTheme="minorHAnsi"/>
                <w:noProof/>
                <w:color w:val="auto"/>
                <w:kern w:val="2"/>
                <w:szCs w:val="24"/>
                <w:lang w:eastAsia="en-GB"/>
                <w14:ligatures w14:val="standardContextual"/>
              </w:rPr>
              <w:tab/>
            </w:r>
            <w:r w:rsidRPr="002C1FD2">
              <w:rPr>
                <w:rStyle w:val="Hyperlink"/>
                <w:b/>
                <w:bCs/>
                <w:smallCaps/>
                <w:noProof/>
              </w:rPr>
              <w:t>Sustainable sourcing of primary carbon</w:t>
            </w:r>
            <w:r>
              <w:rPr>
                <w:noProof/>
                <w:webHidden/>
              </w:rPr>
              <w:tab/>
            </w:r>
            <w:r>
              <w:rPr>
                <w:noProof/>
                <w:webHidden/>
              </w:rPr>
              <w:fldChar w:fldCharType="begin"/>
            </w:r>
            <w:r>
              <w:rPr>
                <w:noProof/>
                <w:webHidden/>
              </w:rPr>
              <w:instrText xml:space="preserve"> PAGEREF _Toc205554230 \h </w:instrText>
            </w:r>
            <w:r>
              <w:rPr>
                <w:noProof/>
                <w:webHidden/>
              </w:rPr>
            </w:r>
            <w:r>
              <w:rPr>
                <w:noProof/>
                <w:webHidden/>
              </w:rPr>
              <w:fldChar w:fldCharType="separate"/>
            </w:r>
            <w:r>
              <w:rPr>
                <w:noProof/>
                <w:webHidden/>
              </w:rPr>
              <w:t>55</w:t>
            </w:r>
            <w:r>
              <w:rPr>
                <w:noProof/>
                <w:webHidden/>
              </w:rPr>
              <w:fldChar w:fldCharType="end"/>
            </w:r>
          </w:hyperlink>
        </w:p>
        <w:p w14:paraId="490B2152" w14:textId="1B07A9A7"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31" w:history="1">
            <w:r w:rsidRPr="002C1FD2">
              <w:rPr>
                <w:rStyle w:val="Hyperlink"/>
                <w:noProof/>
              </w:rPr>
              <w:t>4.1 Categories of Carbon Capture Systems</w:t>
            </w:r>
            <w:r>
              <w:rPr>
                <w:noProof/>
                <w:webHidden/>
              </w:rPr>
              <w:tab/>
            </w:r>
            <w:r>
              <w:rPr>
                <w:noProof/>
                <w:webHidden/>
              </w:rPr>
              <w:fldChar w:fldCharType="begin"/>
            </w:r>
            <w:r>
              <w:rPr>
                <w:noProof/>
                <w:webHidden/>
              </w:rPr>
              <w:instrText xml:space="preserve"> PAGEREF _Toc205554231 \h </w:instrText>
            </w:r>
            <w:r>
              <w:rPr>
                <w:noProof/>
                <w:webHidden/>
              </w:rPr>
            </w:r>
            <w:r>
              <w:rPr>
                <w:noProof/>
                <w:webHidden/>
              </w:rPr>
              <w:fldChar w:fldCharType="separate"/>
            </w:r>
            <w:r>
              <w:rPr>
                <w:noProof/>
                <w:webHidden/>
              </w:rPr>
              <w:t>56</w:t>
            </w:r>
            <w:r>
              <w:rPr>
                <w:noProof/>
                <w:webHidden/>
              </w:rPr>
              <w:fldChar w:fldCharType="end"/>
            </w:r>
          </w:hyperlink>
        </w:p>
        <w:p w14:paraId="4B0A1730" w14:textId="0C1CBE3C"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32" w:history="1">
            <w:r w:rsidRPr="002C1FD2">
              <w:rPr>
                <w:rStyle w:val="Hyperlink"/>
                <w:noProof/>
              </w:rPr>
              <w:t>4.1.1 Direct Capture (Atmospheric and Oceanic)</w:t>
            </w:r>
            <w:r>
              <w:rPr>
                <w:noProof/>
                <w:webHidden/>
              </w:rPr>
              <w:tab/>
            </w:r>
            <w:r>
              <w:rPr>
                <w:noProof/>
                <w:webHidden/>
              </w:rPr>
              <w:fldChar w:fldCharType="begin"/>
            </w:r>
            <w:r>
              <w:rPr>
                <w:noProof/>
                <w:webHidden/>
              </w:rPr>
              <w:instrText xml:space="preserve"> PAGEREF _Toc205554232 \h </w:instrText>
            </w:r>
            <w:r>
              <w:rPr>
                <w:noProof/>
                <w:webHidden/>
              </w:rPr>
            </w:r>
            <w:r>
              <w:rPr>
                <w:noProof/>
                <w:webHidden/>
              </w:rPr>
              <w:fldChar w:fldCharType="separate"/>
            </w:r>
            <w:r>
              <w:rPr>
                <w:noProof/>
                <w:webHidden/>
              </w:rPr>
              <w:t>59</w:t>
            </w:r>
            <w:r>
              <w:rPr>
                <w:noProof/>
                <w:webHidden/>
              </w:rPr>
              <w:fldChar w:fldCharType="end"/>
            </w:r>
          </w:hyperlink>
        </w:p>
        <w:p w14:paraId="5D286274" w14:textId="262FD473"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33" w:history="1">
            <w:r w:rsidRPr="002C1FD2">
              <w:rPr>
                <w:rStyle w:val="Hyperlink"/>
                <w:noProof/>
              </w:rPr>
              <w:t>4.1.2 Point-Source carbon capture</w:t>
            </w:r>
            <w:r>
              <w:rPr>
                <w:noProof/>
                <w:webHidden/>
              </w:rPr>
              <w:tab/>
            </w:r>
            <w:r>
              <w:rPr>
                <w:noProof/>
                <w:webHidden/>
              </w:rPr>
              <w:fldChar w:fldCharType="begin"/>
            </w:r>
            <w:r>
              <w:rPr>
                <w:noProof/>
                <w:webHidden/>
              </w:rPr>
              <w:instrText xml:space="preserve"> PAGEREF _Toc205554233 \h </w:instrText>
            </w:r>
            <w:r>
              <w:rPr>
                <w:noProof/>
                <w:webHidden/>
              </w:rPr>
            </w:r>
            <w:r>
              <w:rPr>
                <w:noProof/>
                <w:webHidden/>
              </w:rPr>
              <w:fldChar w:fldCharType="separate"/>
            </w:r>
            <w:r>
              <w:rPr>
                <w:noProof/>
                <w:webHidden/>
              </w:rPr>
              <w:t>69</w:t>
            </w:r>
            <w:r>
              <w:rPr>
                <w:noProof/>
                <w:webHidden/>
              </w:rPr>
              <w:fldChar w:fldCharType="end"/>
            </w:r>
          </w:hyperlink>
        </w:p>
        <w:p w14:paraId="7155EA0F" w14:textId="60DA6FBF"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34" w:history="1">
            <w:r w:rsidRPr="002C1FD2">
              <w:rPr>
                <w:rStyle w:val="Hyperlink"/>
                <w:noProof/>
              </w:rPr>
              <w:t>4.2 Biomass Carbon: Harnessing Biological Productivity</w:t>
            </w:r>
            <w:r>
              <w:rPr>
                <w:noProof/>
                <w:webHidden/>
              </w:rPr>
              <w:tab/>
            </w:r>
            <w:r>
              <w:rPr>
                <w:noProof/>
                <w:webHidden/>
              </w:rPr>
              <w:fldChar w:fldCharType="begin"/>
            </w:r>
            <w:r>
              <w:rPr>
                <w:noProof/>
                <w:webHidden/>
              </w:rPr>
              <w:instrText xml:space="preserve"> PAGEREF _Toc205554234 \h </w:instrText>
            </w:r>
            <w:r>
              <w:rPr>
                <w:noProof/>
                <w:webHidden/>
              </w:rPr>
            </w:r>
            <w:r>
              <w:rPr>
                <w:noProof/>
                <w:webHidden/>
              </w:rPr>
              <w:fldChar w:fldCharType="separate"/>
            </w:r>
            <w:r>
              <w:rPr>
                <w:noProof/>
                <w:webHidden/>
              </w:rPr>
              <w:t>79</w:t>
            </w:r>
            <w:r>
              <w:rPr>
                <w:noProof/>
                <w:webHidden/>
              </w:rPr>
              <w:fldChar w:fldCharType="end"/>
            </w:r>
          </w:hyperlink>
        </w:p>
        <w:p w14:paraId="08012D33" w14:textId="416E204B"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35" w:history="1">
            <w:r w:rsidRPr="002C1FD2">
              <w:rPr>
                <w:rStyle w:val="Hyperlink"/>
                <w:noProof/>
              </w:rPr>
              <w:t xml:space="preserve">4.2.1 More Productive Land – </w:t>
            </w:r>
            <w:r w:rsidRPr="002C1FD2">
              <w:rPr>
                <w:rStyle w:val="Hyperlink"/>
                <w:noProof/>
                <w:lang w:val="en-US"/>
              </w:rPr>
              <w:t>Degraded land and more productive energy crops</w:t>
            </w:r>
            <w:r>
              <w:rPr>
                <w:noProof/>
                <w:webHidden/>
              </w:rPr>
              <w:tab/>
            </w:r>
            <w:r>
              <w:rPr>
                <w:noProof/>
                <w:webHidden/>
              </w:rPr>
              <w:fldChar w:fldCharType="begin"/>
            </w:r>
            <w:r>
              <w:rPr>
                <w:noProof/>
                <w:webHidden/>
              </w:rPr>
              <w:instrText xml:space="preserve"> PAGEREF _Toc205554235 \h </w:instrText>
            </w:r>
            <w:r>
              <w:rPr>
                <w:noProof/>
                <w:webHidden/>
              </w:rPr>
            </w:r>
            <w:r>
              <w:rPr>
                <w:noProof/>
                <w:webHidden/>
              </w:rPr>
              <w:fldChar w:fldCharType="separate"/>
            </w:r>
            <w:r>
              <w:rPr>
                <w:noProof/>
                <w:webHidden/>
              </w:rPr>
              <w:t>81</w:t>
            </w:r>
            <w:r>
              <w:rPr>
                <w:noProof/>
                <w:webHidden/>
              </w:rPr>
              <w:fldChar w:fldCharType="end"/>
            </w:r>
          </w:hyperlink>
        </w:p>
        <w:p w14:paraId="302FB8CC" w14:textId="14E9C64D"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36" w:history="1">
            <w:r w:rsidRPr="002C1FD2">
              <w:rPr>
                <w:rStyle w:val="Hyperlink"/>
                <w:noProof/>
              </w:rPr>
              <w:t>4.2.2 More Land – Alternative Proteins</w:t>
            </w:r>
            <w:r>
              <w:rPr>
                <w:noProof/>
                <w:webHidden/>
              </w:rPr>
              <w:tab/>
            </w:r>
            <w:r>
              <w:rPr>
                <w:noProof/>
                <w:webHidden/>
              </w:rPr>
              <w:fldChar w:fldCharType="begin"/>
            </w:r>
            <w:r>
              <w:rPr>
                <w:noProof/>
                <w:webHidden/>
              </w:rPr>
              <w:instrText xml:space="preserve"> PAGEREF _Toc205554236 \h </w:instrText>
            </w:r>
            <w:r>
              <w:rPr>
                <w:noProof/>
                <w:webHidden/>
              </w:rPr>
            </w:r>
            <w:r>
              <w:rPr>
                <w:noProof/>
                <w:webHidden/>
              </w:rPr>
              <w:fldChar w:fldCharType="separate"/>
            </w:r>
            <w:r>
              <w:rPr>
                <w:noProof/>
                <w:webHidden/>
              </w:rPr>
              <w:t>89</w:t>
            </w:r>
            <w:r>
              <w:rPr>
                <w:noProof/>
                <w:webHidden/>
              </w:rPr>
              <w:fldChar w:fldCharType="end"/>
            </w:r>
          </w:hyperlink>
        </w:p>
        <w:p w14:paraId="31D13796" w14:textId="4CED7BD2"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37" w:history="1">
            <w:r w:rsidRPr="002C1FD2">
              <w:rPr>
                <w:rStyle w:val="Hyperlink"/>
                <w:noProof/>
              </w:rPr>
              <w:t>4.2.3 New Sources of Biomass – Macro and Microalgae</w:t>
            </w:r>
            <w:r>
              <w:rPr>
                <w:noProof/>
                <w:webHidden/>
              </w:rPr>
              <w:tab/>
            </w:r>
            <w:r>
              <w:rPr>
                <w:noProof/>
                <w:webHidden/>
              </w:rPr>
              <w:fldChar w:fldCharType="begin"/>
            </w:r>
            <w:r>
              <w:rPr>
                <w:noProof/>
                <w:webHidden/>
              </w:rPr>
              <w:instrText xml:space="preserve"> PAGEREF _Toc205554237 \h </w:instrText>
            </w:r>
            <w:r>
              <w:rPr>
                <w:noProof/>
                <w:webHidden/>
              </w:rPr>
            </w:r>
            <w:r>
              <w:rPr>
                <w:noProof/>
                <w:webHidden/>
              </w:rPr>
              <w:fldChar w:fldCharType="separate"/>
            </w:r>
            <w:r>
              <w:rPr>
                <w:noProof/>
                <w:webHidden/>
              </w:rPr>
              <w:t>93</w:t>
            </w:r>
            <w:r>
              <w:rPr>
                <w:noProof/>
                <w:webHidden/>
              </w:rPr>
              <w:fldChar w:fldCharType="end"/>
            </w:r>
          </w:hyperlink>
        </w:p>
        <w:p w14:paraId="424E484A" w14:textId="110BB917"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38" w:history="1">
            <w:r w:rsidRPr="002C1FD2">
              <w:rPr>
                <w:rStyle w:val="Hyperlink"/>
                <w:noProof/>
              </w:rPr>
              <w:t>4.2.4 Biomass Conversion: Improving Utilization of Bio-resources</w:t>
            </w:r>
            <w:r>
              <w:rPr>
                <w:noProof/>
                <w:webHidden/>
              </w:rPr>
              <w:tab/>
            </w:r>
            <w:r>
              <w:rPr>
                <w:noProof/>
                <w:webHidden/>
              </w:rPr>
              <w:fldChar w:fldCharType="begin"/>
            </w:r>
            <w:r>
              <w:rPr>
                <w:noProof/>
                <w:webHidden/>
              </w:rPr>
              <w:instrText xml:space="preserve"> PAGEREF _Toc205554238 \h </w:instrText>
            </w:r>
            <w:r>
              <w:rPr>
                <w:noProof/>
                <w:webHidden/>
              </w:rPr>
            </w:r>
            <w:r>
              <w:rPr>
                <w:noProof/>
                <w:webHidden/>
              </w:rPr>
              <w:fldChar w:fldCharType="separate"/>
            </w:r>
            <w:r>
              <w:rPr>
                <w:noProof/>
                <w:webHidden/>
              </w:rPr>
              <w:t>97</w:t>
            </w:r>
            <w:r>
              <w:rPr>
                <w:noProof/>
                <w:webHidden/>
              </w:rPr>
              <w:fldChar w:fldCharType="end"/>
            </w:r>
          </w:hyperlink>
        </w:p>
        <w:p w14:paraId="50380DB5" w14:textId="66FDE74A"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39" w:history="1">
            <w:r w:rsidRPr="002C1FD2">
              <w:rPr>
                <w:rStyle w:val="Hyperlink"/>
                <w:noProof/>
              </w:rPr>
              <w:t>4.3 Conclusions about sourcing of primary carbon</w:t>
            </w:r>
            <w:r>
              <w:rPr>
                <w:noProof/>
                <w:webHidden/>
              </w:rPr>
              <w:tab/>
            </w:r>
            <w:r>
              <w:rPr>
                <w:noProof/>
                <w:webHidden/>
              </w:rPr>
              <w:fldChar w:fldCharType="begin"/>
            </w:r>
            <w:r>
              <w:rPr>
                <w:noProof/>
                <w:webHidden/>
              </w:rPr>
              <w:instrText xml:space="preserve"> PAGEREF _Toc205554239 \h </w:instrText>
            </w:r>
            <w:r>
              <w:rPr>
                <w:noProof/>
                <w:webHidden/>
              </w:rPr>
            </w:r>
            <w:r>
              <w:rPr>
                <w:noProof/>
                <w:webHidden/>
              </w:rPr>
              <w:fldChar w:fldCharType="separate"/>
            </w:r>
            <w:r>
              <w:rPr>
                <w:noProof/>
                <w:webHidden/>
              </w:rPr>
              <w:t>102</w:t>
            </w:r>
            <w:r>
              <w:rPr>
                <w:noProof/>
                <w:webHidden/>
              </w:rPr>
              <w:fldChar w:fldCharType="end"/>
            </w:r>
          </w:hyperlink>
        </w:p>
        <w:p w14:paraId="1172B5E5" w14:textId="2D7F35EE" w:rsidR="0064408B" w:rsidRDefault="0064408B">
          <w:pPr>
            <w:pStyle w:val="TOC2"/>
            <w:tabs>
              <w:tab w:val="left" w:pos="720"/>
              <w:tab w:val="right" w:leader="dot" w:pos="9854"/>
            </w:tabs>
            <w:rPr>
              <w:rFonts w:asciiTheme="minorHAnsi" w:hAnsiTheme="minorHAnsi"/>
              <w:noProof/>
              <w:color w:val="auto"/>
              <w:kern w:val="2"/>
              <w:szCs w:val="24"/>
              <w:lang w:eastAsia="en-GB"/>
              <w14:ligatures w14:val="standardContextual"/>
            </w:rPr>
          </w:pPr>
          <w:hyperlink w:anchor="_Toc205554240" w:history="1">
            <w:r w:rsidRPr="002C1FD2">
              <w:rPr>
                <w:rStyle w:val="Hyperlink"/>
                <w:b/>
                <w:bCs/>
                <w:smallCaps/>
                <w:noProof/>
              </w:rPr>
              <w:t>5.</w:t>
            </w:r>
            <w:r>
              <w:rPr>
                <w:rFonts w:asciiTheme="minorHAnsi" w:hAnsiTheme="minorHAnsi"/>
                <w:noProof/>
                <w:color w:val="auto"/>
                <w:kern w:val="2"/>
                <w:szCs w:val="24"/>
                <w:lang w:eastAsia="en-GB"/>
                <w14:ligatures w14:val="standardContextual"/>
              </w:rPr>
              <w:tab/>
            </w:r>
            <w:r w:rsidRPr="002C1FD2">
              <w:rPr>
                <w:rStyle w:val="Hyperlink"/>
                <w:b/>
                <w:bCs/>
                <w:smallCaps/>
                <w:noProof/>
              </w:rPr>
              <w:t>managing end of life carbon</w:t>
            </w:r>
            <w:r>
              <w:rPr>
                <w:noProof/>
                <w:webHidden/>
              </w:rPr>
              <w:tab/>
            </w:r>
            <w:r>
              <w:rPr>
                <w:noProof/>
                <w:webHidden/>
              </w:rPr>
              <w:fldChar w:fldCharType="begin"/>
            </w:r>
            <w:r>
              <w:rPr>
                <w:noProof/>
                <w:webHidden/>
              </w:rPr>
              <w:instrText xml:space="preserve"> PAGEREF _Toc205554240 \h </w:instrText>
            </w:r>
            <w:r>
              <w:rPr>
                <w:noProof/>
                <w:webHidden/>
              </w:rPr>
            </w:r>
            <w:r>
              <w:rPr>
                <w:noProof/>
                <w:webHidden/>
              </w:rPr>
              <w:fldChar w:fldCharType="separate"/>
            </w:r>
            <w:r>
              <w:rPr>
                <w:noProof/>
                <w:webHidden/>
              </w:rPr>
              <w:t>104</w:t>
            </w:r>
            <w:r>
              <w:rPr>
                <w:noProof/>
                <w:webHidden/>
              </w:rPr>
              <w:fldChar w:fldCharType="end"/>
            </w:r>
          </w:hyperlink>
        </w:p>
        <w:p w14:paraId="78B8BD32" w14:textId="584A2695"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41" w:history="1">
            <w:r w:rsidRPr="002C1FD2">
              <w:rPr>
                <w:rStyle w:val="Hyperlink"/>
                <w:noProof/>
              </w:rPr>
              <w:t>5.1 Managing and storing gaseous CO</w:t>
            </w:r>
            <w:r w:rsidRPr="002C1FD2">
              <w:rPr>
                <w:rStyle w:val="Hyperlink"/>
                <w:noProof/>
                <w:vertAlign w:val="subscript"/>
              </w:rPr>
              <w:t>2</w:t>
            </w:r>
            <w:r>
              <w:rPr>
                <w:noProof/>
                <w:webHidden/>
              </w:rPr>
              <w:tab/>
            </w:r>
            <w:r>
              <w:rPr>
                <w:noProof/>
                <w:webHidden/>
              </w:rPr>
              <w:fldChar w:fldCharType="begin"/>
            </w:r>
            <w:r>
              <w:rPr>
                <w:noProof/>
                <w:webHidden/>
              </w:rPr>
              <w:instrText xml:space="preserve"> PAGEREF _Toc205554241 \h </w:instrText>
            </w:r>
            <w:r>
              <w:rPr>
                <w:noProof/>
                <w:webHidden/>
              </w:rPr>
            </w:r>
            <w:r>
              <w:rPr>
                <w:noProof/>
                <w:webHidden/>
              </w:rPr>
              <w:fldChar w:fldCharType="separate"/>
            </w:r>
            <w:r>
              <w:rPr>
                <w:noProof/>
                <w:webHidden/>
              </w:rPr>
              <w:t>105</w:t>
            </w:r>
            <w:r>
              <w:rPr>
                <w:noProof/>
                <w:webHidden/>
              </w:rPr>
              <w:fldChar w:fldCharType="end"/>
            </w:r>
          </w:hyperlink>
        </w:p>
        <w:p w14:paraId="623F3168" w14:textId="1A93E344"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42" w:history="1">
            <w:r w:rsidRPr="002C1FD2">
              <w:rPr>
                <w:rStyle w:val="Hyperlink"/>
                <w:noProof/>
              </w:rPr>
              <w:t>5.1.1 Sedimentary CO</w:t>
            </w:r>
            <w:r w:rsidRPr="002C1FD2">
              <w:rPr>
                <w:rStyle w:val="Hyperlink"/>
                <w:noProof/>
                <w:vertAlign w:val="subscript"/>
              </w:rPr>
              <w:t>2</w:t>
            </w:r>
            <w:r w:rsidRPr="002C1FD2">
              <w:rPr>
                <w:rStyle w:val="Hyperlink"/>
                <w:noProof/>
              </w:rPr>
              <w:t xml:space="preserve"> storage</w:t>
            </w:r>
            <w:r>
              <w:rPr>
                <w:noProof/>
                <w:webHidden/>
              </w:rPr>
              <w:tab/>
            </w:r>
            <w:r>
              <w:rPr>
                <w:noProof/>
                <w:webHidden/>
              </w:rPr>
              <w:fldChar w:fldCharType="begin"/>
            </w:r>
            <w:r>
              <w:rPr>
                <w:noProof/>
                <w:webHidden/>
              </w:rPr>
              <w:instrText xml:space="preserve"> PAGEREF _Toc205554242 \h </w:instrText>
            </w:r>
            <w:r>
              <w:rPr>
                <w:noProof/>
                <w:webHidden/>
              </w:rPr>
            </w:r>
            <w:r>
              <w:rPr>
                <w:noProof/>
                <w:webHidden/>
              </w:rPr>
              <w:fldChar w:fldCharType="separate"/>
            </w:r>
            <w:r>
              <w:rPr>
                <w:noProof/>
                <w:webHidden/>
              </w:rPr>
              <w:t>105</w:t>
            </w:r>
            <w:r>
              <w:rPr>
                <w:noProof/>
                <w:webHidden/>
              </w:rPr>
              <w:fldChar w:fldCharType="end"/>
            </w:r>
          </w:hyperlink>
        </w:p>
        <w:p w14:paraId="2D574191" w14:textId="464C1334"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43" w:history="1">
            <w:r w:rsidRPr="002C1FD2">
              <w:rPr>
                <w:rStyle w:val="Hyperlink"/>
                <w:noProof/>
              </w:rPr>
              <w:t>5.1.2 Innovation: in-situ CO</w:t>
            </w:r>
            <w:r w:rsidRPr="002C1FD2">
              <w:rPr>
                <w:rStyle w:val="Hyperlink"/>
                <w:noProof/>
                <w:vertAlign w:val="subscript"/>
              </w:rPr>
              <w:t>2</w:t>
            </w:r>
            <w:r w:rsidRPr="002C1FD2">
              <w:rPr>
                <w:rStyle w:val="Hyperlink"/>
                <w:noProof/>
              </w:rPr>
              <w:t xml:space="preserve"> mineralisation</w:t>
            </w:r>
            <w:r>
              <w:rPr>
                <w:noProof/>
                <w:webHidden/>
              </w:rPr>
              <w:tab/>
            </w:r>
            <w:r>
              <w:rPr>
                <w:noProof/>
                <w:webHidden/>
              </w:rPr>
              <w:fldChar w:fldCharType="begin"/>
            </w:r>
            <w:r>
              <w:rPr>
                <w:noProof/>
                <w:webHidden/>
              </w:rPr>
              <w:instrText xml:space="preserve"> PAGEREF _Toc205554243 \h </w:instrText>
            </w:r>
            <w:r>
              <w:rPr>
                <w:noProof/>
                <w:webHidden/>
              </w:rPr>
            </w:r>
            <w:r>
              <w:rPr>
                <w:noProof/>
                <w:webHidden/>
              </w:rPr>
              <w:fldChar w:fldCharType="separate"/>
            </w:r>
            <w:r>
              <w:rPr>
                <w:noProof/>
                <w:webHidden/>
              </w:rPr>
              <w:t>108</w:t>
            </w:r>
            <w:r>
              <w:rPr>
                <w:noProof/>
                <w:webHidden/>
              </w:rPr>
              <w:fldChar w:fldCharType="end"/>
            </w:r>
          </w:hyperlink>
        </w:p>
        <w:p w14:paraId="077B28E7" w14:textId="0C88822D"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44" w:history="1">
            <w:r w:rsidRPr="002C1FD2">
              <w:rPr>
                <w:rStyle w:val="Hyperlink"/>
                <w:noProof/>
              </w:rPr>
              <w:t>5.2 Managing solid carbon</w:t>
            </w:r>
            <w:r>
              <w:rPr>
                <w:noProof/>
                <w:webHidden/>
              </w:rPr>
              <w:tab/>
            </w:r>
            <w:r>
              <w:rPr>
                <w:noProof/>
                <w:webHidden/>
              </w:rPr>
              <w:fldChar w:fldCharType="begin"/>
            </w:r>
            <w:r>
              <w:rPr>
                <w:noProof/>
                <w:webHidden/>
              </w:rPr>
              <w:instrText xml:space="preserve"> PAGEREF _Toc205554244 \h </w:instrText>
            </w:r>
            <w:r>
              <w:rPr>
                <w:noProof/>
                <w:webHidden/>
              </w:rPr>
            </w:r>
            <w:r>
              <w:rPr>
                <w:noProof/>
                <w:webHidden/>
              </w:rPr>
              <w:fldChar w:fldCharType="separate"/>
            </w:r>
            <w:r>
              <w:rPr>
                <w:noProof/>
                <w:webHidden/>
              </w:rPr>
              <w:t>111</w:t>
            </w:r>
            <w:r>
              <w:rPr>
                <w:noProof/>
                <w:webHidden/>
              </w:rPr>
              <w:fldChar w:fldCharType="end"/>
            </w:r>
          </w:hyperlink>
        </w:p>
        <w:p w14:paraId="1ADCD580" w14:textId="71418E49"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45" w:history="1">
            <w:r w:rsidRPr="002C1FD2">
              <w:rPr>
                <w:rStyle w:val="Hyperlink"/>
                <w:noProof/>
              </w:rPr>
              <w:t>5.2.1 Existing solid carbon management practices</w:t>
            </w:r>
            <w:r>
              <w:rPr>
                <w:noProof/>
                <w:webHidden/>
              </w:rPr>
              <w:tab/>
            </w:r>
            <w:r>
              <w:rPr>
                <w:noProof/>
                <w:webHidden/>
              </w:rPr>
              <w:fldChar w:fldCharType="begin"/>
            </w:r>
            <w:r>
              <w:rPr>
                <w:noProof/>
                <w:webHidden/>
              </w:rPr>
              <w:instrText xml:space="preserve"> PAGEREF _Toc205554245 \h </w:instrText>
            </w:r>
            <w:r>
              <w:rPr>
                <w:noProof/>
                <w:webHidden/>
              </w:rPr>
            </w:r>
            <w:r>
              <w:rPr>
                <w:noProof/>
                <w:webHidden/>
              </w:rPr>
              <w:fldChar w:fldCharType="separate"/>
            </w:r>
            <w:r>
              <w:rPr>
                <w:noProof/>
                <w:webHidden/>
              </w:rPr>
              <w:t>112</w:t>
            </w:r>
            <w:r>
              <w:rPr>
                <w:noProof/>
                <w:webHidden/>
              </w:rPr>
              <w:fldChar w:fldCharType="end"/>
            </w:r>
          </w:hyperlink>
        </w:p>
        <w:p w14:paraId="24F75017" w14:textId="458CB029"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46" w:history="1">
            <w:r w:rsidRPr="002C1FD2">
              <w:rPr>
                <w:rStyle w:val="Hyperlink"/>
                <w:noProof/>
              </w:rPr>
              <w:t>5.2.2 Innovation: advanced landfill technologies</w:t>
            </w:r>
            <w:r>
              <w:rPr>
                <w:noProof/>
                <w:webHidden/>
              </w:rPr>
              <w:tab/>
            </w:r>
            <w:r>
              <w:rPr>
                <w:noProof/>
                <w:webHidden/>
              </w:rPr>
              <w:fldChar w:fldCharType="begin"/>
            </w:r>
            <w:r>
              <w:rPr>
                <w:noProof/>
                <w:webHidden/>
              </w:rPr>
              <w:instrText xml:space="preserve"> PAGEREF _Toc205554246 \h </w:instrText>
            </w:r>
            <w:r>
              <w:rPr>
                <w:noProof/>
                <w:webHidden/>
              </w:rPr>
            </w:r>
            <w:r>
              <w:rPr>
                <w:noProof/>
                <w:webHidden/>
              </w:rPr>
              <w:fldChar w:fldCharType="separate"/>
            </w:r>
            <w:r>
              <w:rPr>
                <w:noProof/>
                <w:webHidden/>
              </w:rPr>
              <w:t>113</w:t>
            </w:r>
            <w:r>
              <w:rPr>
                <w:noProof/>
                <w:webHidden/>
              </w:rPr>
              <w:fldChar w:fldCharType="end"/>
            </w:r>
          </w:hyperlink>
        </w:p>
        <w:p w14:paraId="3EC84BDC" w14:textId="0B65FCC4" w:rsidR="0064408B" w:rsidRDefault="0064408B">
          <w:pPr>
            <w:pStyle w:val="TOC3"/>
            <w:tabs>
              <w:tab w:val="right" w:leader="dot" w:pos="9854"/>
            </w:tabs>
            <w:rPr>
              <w:rFonts w:asciiTheme="minorHAnsi" w:hAnsiTheme="minorHAnsi"/>
              <w:noProof/>
              <w:kern w:val="2"/>
              <w:szCs w:val="24"/>
              <w:lang w:eastAsia="en-GB"/>
              <w14:ligatures w14:val="standardContextual"/>
            </w:rPr>
          </w:pPr>
          <w:hyperlink w:anchor="_Toc205554247" w:history="1">
            <w:r w:rsidRPr="002C1FD2">
              <w:rPr>
                <w:rStyle w:val="Hyperlink"/>
                <w:noProof/>
              </w:rPr>
              <w:t>5.3 Conclusions on end-of-life carbon management</w:t>
            </w:r>
            <w:r>
              <w:rPr>
                <w:noProof/>
                <w:webHidden/>
              </w:rPr>
              <w:tab/>
            </w:r>
            <w:r>
              <w:rPr>
                <w:noProof/>
                <w:webHidden/>
              </w:rPr>
              <w:fldChar w:fldCharType="begin"/>
            </w:r>
            <w:r>
              <w:rPr>
                <w:noProof/>
                <w:webHidden/>
              </w:rPr>
              <w:instrText xml:space="preserve"> PAGEREF _Toc205554247 \h </w:instrText>
            </w:r>
            <w:r>
              <w:rPr>
                <w:noProof/>
                <w:webHidden/>
              </w:rPr>
            </w:r>
            <w:r>
              <w:rPr>
                <w:noProof/>
                <w:webHidden/>
              </w:rPr>
              <w:fldChar w:fldCharType="separate"/>
            </w:r>
            <w:r>
              <w:rPr>
                <w:noProof/>
                <w:webHidden/>
              </w:rPr>
              <w:t>120</w:t>
            </w:r>
            <w:r>
              <w:rPr>
                <w:noProof/>
                <w:webHidden/>
              </w:rPr>
              <w:fldChar w:fldCharType="end"/>
            </w:r>
          </w:hyperlink>
        </w:p>
        <w:p w14:paraId="25131808" w14:textId="7BE9777B" w:rsidR="0064408B" w:rsidRDefault="0064408B">
          <w:pPr>
            <w:pStyle w:val="TOC2"/>
            <w:tabs>
              <w:tab w:val="left" w:pos="720"/>
              <w:tab w:val="right" w:leader="dot" w:pos="9854"/>
            </w:tabs>
            <w:rPr>
              <w:rFonts w:asciiTheme="minorHAnsi" w:hAnsiTheme="minorHAnsi"/>
              <w:noProof/>
              <w:color w:val="auto"/>
              <w:kern w:val="2"/>
              <w:szCs w:val="24"/>
              <w:lang w:eastAsia="en-GB"/>
              <w14:ligatures w14:val="standardContextual"/>
            </w:rPr>
          </w:pPr>
          <w:hyperlink w:anchor="_Toc205554248" w:history="1">
            <w:r w:rsidRPr="002C1FD2">
              <w:rPr>
                <w:rStyle w:val="Hyperlink"/>
                <w:b/>
                <w:bCs/>
                <w:smallCaps/>
                <w:noProof/>
              </w:rPr>
              <w:t>6.</w:t>
            </w:r>
            <w:r>
              <w:rPr>
                <w:rFonts w:asciiTheme="minorHAnsi" w:hAnsiTheme="minorHAnsi"/>
                <w:noProof/>
                <w:color w:val="auto"/>
                <w:kern w:val="2"/>
                <w:szCs w:val="24"/>
                <w:lang w:eastAsia="en-GB"/>
                <w14:ligatures w14:val="standardContextual"/>
              </w:rPr>
              <w:tab/>
            </w:r>
            <w:r w:rsidRPr="002C1FD2">
              <w:rPr>
                <w:rStyle w:val="Hyperlink"/>
                <w:b/>
                <w:bCs/>
                <w:smallCaps/>
                <w:noProof/>
              </w:rPr>
              <w:t>technology trade-offs</w:t>
            </w:r>
            <w:r>
              <w:rPr>
                <w:noProof/>
                <w:webHidden/>
              </w:rPr>
              <w:tab/>
            </w:r>
            <w:r>
              <w:rPr>
                <w:noProof/>
                <w:webHidden/>
              </w:rPr>
              <w:fldChar w:fldCharType="begin"/>
            </w:r>
            <w:r>
              <w:rPr>
                <w:noProof/>
                <w:webHidden/>
              </w:rPr>
              <w:instrText xml:space="preserve"> PAGEREF _Toc205554248 \h </w:instrText>
            </w:r>
            <w:r>
              <w:rPr>
                <w:noProof/>
                <w:webHidden/>
              </w:rPr>
            </w:r>
            <w:r>
              <w:rPr>
                <w:noProof/>
                <w:webHidden/>
              </w:rPr>
              <w:fldChar w:fldCharType="separate"/>
            </w:r>
            <w:r>
              <w:rPr>
                <w:noProof/>
                <w:webHidden/>
              </w:rPr>
              <w:t>120</w:t>
            </w:r>
            <w:r>
              <w:rPr>
                <w:noProof/>
                <w:webHidden/>
              </w:rPr>
              <w:fldChar w:fldCharType="end"/>
            </w:r>
          </w:hyperlink>
        </w:p>
        <w:p w14:paraId="688DADF7" w14:textId="0F5F437E" w:rsidR="0064408B" w:rsidRDefault="0064408B">
          <w:pPr>
            <w:pStyle w:val="TOC2"/>
            <w:tabs>
              <w:tab w:val="left" w:pos="720"/>
              <w:tab w:val="right" w:leader="dot" w:pos="9854"/>
            </w:tabs>
            <w:rPr>
              <w:rFonts w:asciiTheme="minorHAnsi" w:hAnsiTheme="minorHAnsi"/>
              <w:noProof/>
              <w:color w:val="auto"/>
              <w:kern w:val="2"/>
              <w:szCs w:val="24"/>
              <w:lang w:eastAsia="en-GB"/>
              <w14:ligatures w14:val="standardContextual"/>
            </w:rPr>
          </w:pPr>
          <w:hyperlink w:anchor="_Toc205554249" w:history="1">
            <w:r w:rsidRPr="002C1FD2">
              <w:rPr>
                <w:rStyle w:val="Hyperlink"/>
                <w:b/>
                <w:bCs/>
                <w:smallCaps/>
                <w:noProof/>
              </w:rPr>
              <w:t>7.</w:t>
            </w:r>
            <w:r>
              <w:rPr>
                <w:rFonts w:asciiTheme="minorHAnsi" w:hAnsiTheme="minorHAnsi"/>
                <w:noProof/>
                <w:color w:val="auto"/>
                <w:kern w:val="2"/>
                <w:szCs w:val="24"/>
                <w:lang w:eastAsia="en-GB"/>
                <w14:ligatures w14:val="standardContextual"/>
              </w:rPr>
              <w:tab/>
            </w:r>
            <w:r w:rsidRPr="002C1FD2">
              <w:rPr>
                <w:rStyle w:val="Hyperlink"/>
                <w:b/>
                <w:bCs/>
                <w:smallCaps/>
                <w:noProof/>
              </w:rPr>
              <w:t>technology scenarios 2050</w:t>
            </w:r>
            <w:r>
              <w:rPr>
                <w:noProof/>
                <w:webHidden/>
              </w:rPr>
              <w:tab/>
            </w:r>
            <w:r>
              <w:rPr>
                <w:noProof/>
                <w:webHidden/>
              </w:rPr>
              <w:fldChar w:fldCharType="begin"/>
            </w:r>
            <w:r>
              <w:rPr>
                <w:noProof/>
                <w:webHidden/>
              </w:rPr>
              <w:instrText xml:space="preserve"> PAGEREF _Toc205554249 \h </w:instrText>
            </w:r>
            <w:r>
              <w:rPr>
                <w:noProof/>
                <w:webHidden/>
              </w:rPr>
            </w:r>
            <w:r>
              <w:rPr>
                <w:noProof/>
                <w:webHidden/>
              </w:rPr>
              <w:fldChar w:fldCharType="separate"/>
            </w:r>
            <w:r>
              <w:rPr>
                <w:noProof/>
                <w:webHidden/>
              </w:rPr>
              <w:t>125</w:t>
            </w:r>
            <w:r>
              <w:rPr>
                <w:noProof/>
                <w:webHidden/>
              </w:rPr>
              <w:fldChar w:fldCharType="end"/>
            </w:r>
          </w:hyperlink>
        </w:p>
        <w:p w14:paraId="1E57CC60" w14:textId="093241F3" w:rsidR="0064408B" w:rsidRDefault="0064408B">
          <w:pPr>
            <w:pStyle w:val="TOC2"/>
            <w:tabs>
              <w:tab w:val="left" w:pos="720"/>
              <w:tab w:val="right" w:leader="dot" w:pos="9854"/>
            </w:tabs>
            <w:rPr>
              <w:rFonts w:asciiTheme="minorHAnsi" w:hAnsiTheme="minorHAnsi"/>
              <w:noProof/>
              <w:color w:val="auto"/>
              <w:kern w:val="2"/>
              <w:szCs w:val="24"/>
              <w:lang w:eastAsia="en-GB"/>
              <w14:ligatures w14:val="standardContextual"/>
            </w:rPr>
          </w:pPr>
          <w:hyperlink w:anchor="_Toc205554250" w:history="1">
            <w:r w:rsidRPr="002C1FD2">
              <w:rPr>
                <w:rStyle w:val="Hyperlink"/>
                <w:b/>
                <w:bCs/>
                <w:smallCaps/>
                <w:noProof/>
              </w:rPr>
              <w:t>8.</w:t>
            </w:r>
            <w:r>
              <w:rPr>
                <w:rFonts w:asciiTheme="minorHAnsi" w:hAnsiTheme="minorHAnsi"/>
                <w:noProof/>
                <w:color w:val="auto"/>
                <w:kern w:val="2"/>
                <w:szCs w:val="24"/>
                <w:lang w:eastAsia="en-GB"/>
                <w14:ligatures w14:val="standardContextual"/>
              </w:rPr>
              <w:tab/>
            </w:r>
            <w:r w:rsidRPr="002C1FD2">
              <w:rPr>
                <w:rStyle w:val="Hyperlink"/>
                <w:b/>
                <w:bCs/>
                <w:smallCaps/>
                <w:noProof/>
              </w:rPr>
              <w:t>key conclusions and recommendations</w:t>
            </w:r>
            <w:r>
              <w:rPr>
                <w:noProof/>
                <w:webHidden/>
              </w:rPr>
              <w:tab/>
            </w:r>
            <w:r>
              <w:rPr>
                <w:noProof/>
                <w:webHidden/>
              </w:rPr>
              <w:fldChar w:fldCharType="begin"/>
            </w:r>
            <w:r>
              <w:rPr>
                <w:noProof/>
                <w:webHidden/>
              </w:rPr>
              <w:instrText xml:space="preserve"> PAGEREF _Toc205554250 \h </w:instrText>
            </w:r>
            <w:r>
              <w:rPr>
                <w:noProof/>
                <w:webHidden/>
              </w:rPr>
            </w:r>
            <w:r>
              <w:rPr>
                <w:noProof/>
                <w:webHidden/>
              </w:rPr>
              <w:fldChar w:fldCharType="separate"/>
            </w:r>
            <w:r>
              <w:rPr>
                <w:noProof/>
                <w:webHidden/>
              </w:rPr>
              <w:t>130</w:t>
            </w:r>
            <w:r>
              <w:rPr>
                <w:noProof/>
                <w:webHidden/>
              </w:rPr>
              <w:fldChar w:fldCharType="end"/>
            </w:r>
          </w:hyperlink>
        </w:p>
        <w:p w14:paraId="69BC37C9" w14:textId="29484B14" w:rsidR="00EE3565" w:rsidRPr="009901FA" w:rsidRDefault="00EE3565">
          <w:r w:rsidRPr="009901FA">
            <w:rPr>
              <w:b/>
              <w:bCs/>
              <w:noProof/>
              <w:color w:val="000000" w:themeColor="text1"/>
            </w:rPr>
            <w:fldChar w:fldCharType="end"/>
          </w:r>
        </w:p>
      </w:sdtContent>
    </w:sdt>
    <w:p w14:paraId="60457C41" w14:textId="7250547D" w:rsidR="00C87B2F" w:rsidRPr="009901FA" w:rsidRDefault="00C87B2F" w:rsidP="00254BC8">
      <w:pPr>
        <w:tabs>
          <w:tab w:val="num" w:pos="720"/>
        </w:tabs>
        <w:spacing w:after="200"/>
        <w:ind w:left="360" w:hanging="360"/>
      </w:pPr>
    </w:p>
    <w:p w14:paraId="62791CEF" w14:textId="77777777" w:rsidR="00C87B2F" w:rsidRPr="009901FA" w:rsidRDefault="00C87B2F" w:rsidP="00C87B2F">
      <w:pPr>
        <w:spacing w:after="200"/>
      </w:pPr>
    </w:p>
    <w:p w14:paraId="0C870684" w14:textId="77777777" w:rsidR="00C87B2F" w:rsidRPr="009901FA" w:rsidRDefault="00C87B2F" w:rsidP="00C87B2F">
      <w:pPr>
        <w:spacing w:after="200"/>
      </w:pPr>
    </w:p>
    <w:p w14:paraId="740504AC" w14:textId="77777777" w:rsidR="00C87B2F" w:rsidRPr="009901FA" w:rsidRDefault="00C87B2F" w:rsidP="00C87B2F">
      <w:pPr>
        <w:spacing w:after="200"/>
      </w:pPr>
    </w:p>
    <w:p w14:paraId="3F823646" w14:textId="77777777" w:rsidR="002D42FE" w:rsidRPr="009901FA" w:rsidRDefault="002D42FE">
      <w:pPr>
        <w:rPr>
          <w:rFonts w:eastAsiaTheme="majorEastAsia" w:cstheme="majorBidi"/>
          <w:smallCaps/>
          <w:color w:val="00146D" w:themeColor="text2"/>
          <w:sz w:val="36"/>
          <w:szCs w:val="26"/>
        </w:rPr>
      </w:pPr>
      <w:r w:rsidRPr="009901FA">
        <w:rPr>
          <w:smallCaps/>
          <w:color w:val="00146D" w:themeColor="text2"/>
          <w:sz w:val="36"/>
          <w:szCs w:val="26"/>
        </w:rPr>
        <w:br w:type="page"/>
      </w:r>
    </w:p>
    <w:p w14:paraId="509BCB84" w14:textId="59D240BB" w:rsidR="00E41517" w:rsidRPr="000E0EB1" w:rsidRDefault="002E3356" w:rsidP="009901FA">
      <w:pPr>
        <w:pStyle w:val="Heading2"/>
        <w:spacing w:before="60" w:line="259" w:lineRule="auto"/>
        <w:rPr>
          <w:b/>
          <w:bCs/>
          <w:smallCaps/>
          <w:color w:val="00146D" w:themeColor="text2"/>
          <w:szCs w:val="40"/>
        </w:rPr>
      </w:pPr>
      <w:bookmarkStart w:id="0" w:name="_Toc205392442"/>
      <w:bookmarkStart w:id="1" w:name="_Toc205554211"/>
      <w:r w:rsidRPr="000E0EB1">
        <w:rPr>
          <w:b/>
          <w:bCs/>
          <w:smallCaps/>
          <w:color w:val="00146D" w:themeColor="text2"/>
          <w:szCs w:val="40"/>
        </w:rPr>
        <w:lastRenderedPageBreak/>
        <w:t>i</w:t>
      </w:r>
      <w:r w:rsidR="007F4270" w:rsidRPr="000E0EB1">
        <w:rPr>
          <w:b/>
          <w:bCs/>
          <w:smallCaps/>
          <w:color w:val="00146D" w:themeColor="text2"/>
          <w:szCs w:val="40"/>
        </w:rPr>
        <w:t>ntroduction</w:t>
      </w:r>
      <w:r w:rsidR="000E0EB1" w:rsidRPr="000E0EB1">
        <w:rPr>
          <w:b/>
          <w:bCs/>
          <w:smallCaps/>
          <w:color w:val="00146D" w:themeColor="text2"/>
          <w:szCs w:val="40"/>
        </w:rPr>
        <w:t xml:space="preserve">: </w:t>
      </w:r>
      <w:r w:rsidR="007F4270" w:rsidRPr="000E0EB1">
        <w:rPr>
          <w:b/>
          <w:bCs/>
          <w:smallCaps/>
          <w:color w:val="00146D" w:themeColor="text2"/>
          <w:szCs w:val="40"/>
        </w:rPr>
        <w:t xml:space="preserve">the use of carbon in </w:t>
      </w:r>
      <w:r w:rsidR="00BC36DD" w:rsidRPr="000E0EB1">
        <w:rPr>
          <w:b/>
          <w:bCs/>
          <w:smallCaps/>
          <w:color w:val="00146D" w:themeColor="text2"/>
          <w:szCs w:val="40"/>
        </w:rPr>
        <w:t>the current</w:t>
      </w:r>
      <w:r w:rsidR="00986448" w:rsidRPr="000E0EB1">
        <w:rPr>
          <w:b/>
          <w:bCs/>
          <w:smallCaps/>
          <w:color w:val="00146D" w:themeColor="text2"/>
          <w:szCs w:val="40"/>
        </w:rPr>
        <w:t xml:space="preserve"> and future system</w:t>
      </w:r>
      <w:bookmarkEnd w:id="0"/>
      <w:bookmarkEnd w:id="1"/>
    </w:p>
    <w:p w14:paraId="3F818854" w14:textId="77777777" w:rsidR="00A120BF" w:rsidRPr="009901FA" w:rsidRDefault="00A120BF" w:rsidP="00E41517">
      <w:pPr>
        <w:spacing w:after="200"/>
        <w:rPr>
          <w:b/>
        </w:rPr>
      </w:pPr>
      <w:bookmarkStart w:id="2" w:name="_Ref203743210"/>
    </w:p>
    <w:p w14:paraId="4D719C45" w14:textId="06B89298" w:rsidR="00A120BF" w:rsidRPr="009901FA" w:rsidRDefault="009F1EE9" w:rsidP="00A120BF">
      <w:pPr>
        <w:spacing w:after="200"/>
      </w:pPr>
      <w:r w:rsidRPr="009901FA">
        <w:rPr>
          <w:b/>
        </w:rPr>
        <w:t xml:space="preserve">Carbon is one of the most common elements on the planet and a crucial foundation of human biology , technology and economic activity. </w:t>
      </w:r>
      <w:r w:rsidR="00B76A2C" w:rsidRPr="009901FA">
        <w:rPr>
          <w:bCs/>
        </w:rPr>
        <w:t>Carbon based molecules which derived from plant and animal life condensed over 1 million years to form fossil fuels</w:t>
      </w:r>
      <w:r w:rsidR="00A120BF" w:rsidRPr="009901FA">
        <w:t xml:space="preserve">. These fuels </w:t>
      </w:r>
      <w:r w:rsidR="00B76A2C" w:rsidRPr="009901FA">
        <w:t>enabled</w:t>
      </w:r>
      <w:r w:rsidR="00A120BF" w:rsidRPr="009901FA">
        <w:t xml:space="preserve"> the Industrial Revolution and have </w:t>
      </w:r>
      <w:r w:rsidR="007F5F20" w:rsidRPr="009901FA">
        <w:rPr>
          <w:bCs/>
        </w:rPr>
        <w:t>powered dramatic increases in human living standards over the last 200 years.</w:t>
      </w:r>
    </w:p>
    <w:p w14:paraId="1A84F051" w14:textId="2CB4F5CA" w:rsidR="00A120BF" w:rsidRPr="009901FA" w:rsidRDefault="007F5F20" w:rsidP="00A120BF">
      <w:pPr>
        <w:spacing w:after="200"/>
        <w:rPr>
          <w:b/>
        </w:rPr>
      </w:pPr>
      <w:r w:rsidRPr="009901FA">
        <w:t>Human use of carbon based molecules today amounts to around</w:t>
      </w:r>
      <w:r w:rsidR="00A120BF" w:rsidRPr="009901FA">
        <w:t xml:space="preserve"> 11.</w:t>
      </w:r>
      <w:r w:rsidR="00A3496C" w:rsidRPr="009901FA">
        <w:t>5</w:t>
      </w:r>
      <w:r w:rsidR="00A120BF" w:rsidRPr="009901FA">
        <w:t xml:space="preserve"> Gt per year. The vast majority—9.</w:t>
      </w:r>
      <w:r w:rsidR="00BD3DBC" w:rsidRPr="009901FA">
        <w:rPr>
          <w:bCs/>
          <w:lang w:val="en-US"/>
        </w:rPr>
        <w:t>8</w:t>
      </w:r>
      <w:r w:rsidR="00A120BF" w:rsidRPr="009901FA">
        <w:t xml:space="preserve"> Gt—comes from fossil fuels including coal, oil, and gas. An additional 1.5 Gt is sourced from bioresources, while 0.2 Gt is provided by recycled or reused carbon</w:t>
      </w:r>
      <w:r w:rsidR="001727DB" w:rsidRPr="009901FA">
        <w:t xml:space="preserve"> (</w:t>
      </w:r>
      <w:r w:rsidR="00646561" w:rsidRPr="009901FA">
        <w:fldChar w:fldCharType="begin"/>
      </w:r>
      <w:r w:rsidR="00646561" w:rsidRPr="009901FA">
        <w:instrText xml:space="preserve"> REF _Ref205388436 \h </w:instrText>
      </w:r>
      <w:r w:rsidR="00D86963" w:rsidRPr="009901FA">
        <w:instrText xml:space="preserve"> \* MERGEFORMAT </w:instrText>
      </w:r>
      <w:r w:rsidR="00646561" w:rsidRPr="009901FA">
        <w:fldChar w:fldCharType="separate"/>
      </w:r>
      <w:r w:rsidR="00DE378F" w:rsidRPr="009901FA">
        <w:t xml:space="preserve">Exhibit </w:t>
      </w:r>
      <w:r w:rsidR="00B434D2">
        <w:rPr>
          <w:noProof/>
        </w:rPr>
        <w:t>0</w:t>
      </w:r>
      <w:r w:rsidR="00DE378F" w:rsidRPr="009901FA">
        <w:rPr>
          <w:noProof/>
        </w:rPr>
        <w:t>.1</w:t>
      </w:r>
      <w:r w:rsidR="00646561" w:rsidRPr="009901FA">
        <w:fldChar w:fldCharType="end"/>
      </w:r>
      <w:r w:rsidR="001727DB" w:rsidRPr="009901FA">
        <w:t>).</w:t>
      </w:r>
    </w:p>
    <w:p w14:paraId="2CE0B197" w14:textId="7A8905E1" w:rsidR="00A120BF" w:rsidRPr="009901FA" w:rsidRDefault="001727DB" w:rsidP="00E41517">
      <w:pPr>
        <w:spacing w:after="200"/>
      </w:pPr>
      <w:r w:rsidRPr="009901FA">
        <w:rPr>
          <w:bCs/>
        </w:rPr>
        <w:t xml:space="preserve">At the end of life, the 0.2 Gt of recycled or reused carbon is joined by </w:t>
      </w:r>
      <w:r w:rsidR="00D42138" w:rsidRPr="009901FA">
        <w:rPr>
          <w:bCs/>
        </w:rPr>
        <w:t>1.0</w:t>
      </w:r>
      <w:r w:rsidRPr="009901FA">
        <w:rPr>
          <w:bCs/>
        </w:rPr>
        <w:t xml:space="preserve"> Gt that remains in long-term use and </w:t>
      </w:r>
      <w:r w:rsidR="00577227" w:rsidRPr="009901FA">
        <w:rPr>
          <w:bCs/>
        </w:rPr>
        <w:t>0.2</w:t>
      </w:r>
      <w:r w:rsidRPr="009901FA">
        <w:rPr>
          <w:bCs/>
        </w:rPr>
        <w:t xml:space="preserve"> Gt that is stored in solid form. However, the majority—</w:t>
      </w:r>
      <w:r w:rsidR="00577227" w:rsidRPr="009901FA">
        <w:rPr>
          <w:bCs/>
        </w:rPr>
        <w:t>10.1</w:t>
      </w:r>
      <w:r w:rsidRPr="009901FA">
        <w:rPr>
          <w:bCs/>
        </w:rPr>
        <w:t xml:space="preserve"> Gt—is emitted into the atmosphere through combustion, resulting in </w:t>
      </w:r>
      <w:r w:rsidR="002F204F" w:rsidRPr="009901FA">
        <w:rPr>
          <w:bCs/>
        </w:rPr>
        <w:t>~37</w:t>
      </w:r>
      <w:r w:rsidRPr="009901FA">
        <w:rPr>
          <w:bCs/>
        </w:rPr>
        <w:t xml:space="preserve"> Gt of CO</w:t>
      </w:r>
      <w:r w:rsidRPr="00A247A6">
        <w:rPr>
          <w:rFonts w:ascii="Cambria Math" w:hAnsi="Cambria Math" w:cs="Cambria Math"/>
          <w:bCs/>
        </w:rPr>
        <w:t>₂</w:t>
      </w:r>
      <w:r w:rsidRPr="009901FA">
        <w:rPr>
          <w:bCs/>
        </w:rPr>
        <w:t xml:space="preserve"> (based on a conversion factor of 3.66 tonnes of CO</w:t>
      </w:r>
      <w:r w:rsidRPr="00A247A6">
        <w:rPr>
          <w:rFonts w:ascii="Cambria Math" w:hAnsi="Cambria Math" w:cs="Cambria Math"/>
          <w:bCs/>
        </w:rPr>
        <w:t>₂</w:t>
      </w:r>
      <w:r w:rsidRPr="009901FA">
        <w:rPr>
          <w:bCs/>
        </w:rPr>
        <w:t xml:space="preserve"> per tonne of carbon).</w:t>
      </w:r>
    </w:p>
    <w:p w14:paraId="7DB8EF82" w14:textId="3508561E" w:rsidR="001B3B8C" w:rsidRPr="009901FA" w:rsidRDefault="001B3B8C" w:rsidP="001B3B8C">
      <w:pPr>
        <w:pStyle w:val="Caption"/>
        <w:keepNext/>
      </w:pPr>
      <w:bookmarkStart w:id="3" w:name="_Ref205388436"/>
      <w:r w:rsidRPr="009901FA">
        <w:t xml:space="preserve">Exhibit </w:t>
      </w:r>
      <w:bookmarkEnd w:id="2"/>
      <w:r w:rsidR="008725B4" w:rsidRPr="009901FA">
        <w:fldChar w:fldCharType="begin"/>
      </w:r>
      <w:r w:rsidR="008725B4" w:rsidRPr="009901FA">
        <w:instrText xml:space="preserve"> STYLEREF 2 \s </w:instrText>
      </w:r>
      <w:r w:rsidR="008725B4" w:rsidRPr="009901FA">
        <w:fldChar w:fldCharType="separate"/>
      </w:r>
      <w:r w:rsidR="00B27F74">
        <w:rPr>
          <w:noProof/>
        </w:rPr>
        <w:t>0</w:t>
      </w:r>
      <w:r w:rsidR="008725B4" w:rsidRPr="009901FA">
        <w:fldChar w:fldCharType="end"/>
      </w:r>
      <w:r w:rsidR="008725B4" w:rsidRPr="009901FA">
        <w:t>.</w:t>
      </w:r>
      <w:fldSimple w:instr=" SEQ Exhibit \* ARABIC \s 2 ">
        <w:r w:rsidR="00B27F74">
          <w:rPr>
            <w:noProof/>
          </w:rPr>
          <w:t>1</w:t>
        </w:r>
      </w:fldSimple>
      <w:bookmarkEnd w:id="3"/>
      <w:r w:rsidRPr="009901FA">
        <w:t>: Carbon source and destination for the energy and materials sectors, today, Mt C</w:t>
      </w:r>
    </w:p>
    <w:p w14:paraId="526BF956" w14:textId="6EC52FFF" w:rsidR="00A25064" w:rsidRPr="009901FA" w:rsidRDefault="00A640E7" w:rsidP="00A640E7">
      <w:pPr>
        <w:pStyle w:val="ListParagraph"/>
        <w:spacing w:after="200"/>
        <w:ind w:left="0"/>
        <w:rPr>
          <w:rFonts w:eastAsia="MS Gothic" w:cs="Times New Roman"/>
          <w:color w:val="585854"/>
          <w:sz w:val="26"/>
          <w:szCs w:val="24"/>
        </w:rPr>
      </w:pPr>
      <w:r w:rsidRPr="009901FA">
        <w:rPr>
          <w:noProof/>
        </w:rPr>
        <w:t xml:space="preserve"> </w:t>
      </w:r>
      <w:r w:rsidR="002E5D57" w:rsidRPr="009901FA">
        <w:rPr>
          <w:noProof/>
        </w:rPr>
        <w:drawing>
          <wp:inline distT="0" distB="0" distL="0" distR="0" wp14:anchorId="62D55F76" wp14:editId="78B6A3A9">
            <wp:extent cx="6263640" cy="3453130"/>
            <wp:effectExtent l="0" t="0" r="3810" b="0"/>
            <wp:docPr id="557084019"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084019" name="Picture 1" descr="A diagram of a diagram&#10;&#10;Description automatically generated with medium confidence"/>
                    <pic:cNvPicPr/>
                  </pic:nvPicPr>
                  <pic:blipFill>
                    <a:blip r:embed="rId13"/>
                    <a:stretch>
                      <a:fillRect/>
                    </a:stretch>
                  </pic:blipFill>
                  <pic:spPr>
                    <a:xfrm>
                      <a:off x="0" y="0"/>
                      <a:ext cx="6263640" cy="3453130"/>
                    </a:xfrm>
                    <a:prstGeom prst="rect">
                      <a:avLst/>
                    </a:prstGeom>
                  </pic:spPr>
                </pic:pic>
              </a:graphicData>
            </a:graphic>
          </wp:inline>
        </w:drawing>
      </w:r>
    </w:p>
    <w:p w14:paraId="1D1FA6BC" w14:textId="59207676" w:rsidR="00B65A1B" w:rsidRPr="009901FA" w:rsidRDefault="00790379" w:rsidP="003B26DA">
      <w:pPr>
        <w:spacing w:after="200"/>
        <w:jc w:val="center"/>
      </w:pPr>
      <w:r w:rsidRPr="009901FA">
        <w:rPr>
          <w:noProof/>
        </w:rPr>
        <w:lastRenderedPageBreak/>
        <w:t xml:space="preserve"> </w:t>
      </w:r>
      <w:r w:rsidR="00A251C0" w:rsidRPr="009901FA">
        <w:rPr>
          <w:noProof/>
        </w:rPr>
        <w:drawing>
          <wp:inline distT="0" distB="0" distL="0" distR="0" wp14:anchorId="4D6D843A" wp14:editId="2B5B5E1A">
            <wp:extent cx="6263640" cy="1376680"/>
            <wp:effectExtent l="0" t="0" r="3810" b="0"/>
            <wp:docPr id="9392300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230094" name="Picture 1" descr="A screenshot of a computer&#10;&#10;Description automatically generated"/>
                    <pic:cNvPicPr/>
                  </pic:nvPicPr>
                  <pic:blipFill>
                    <a:blip r:embed="rId14"/>
                    <a:stretch>
                      <a:fillRect/>
                    </a:stretch>
                  </pic:blipFill>
                  <pic:spPr>
                    <a:xfrm>
                      <a:off x="0" y="0"/>
                      <a:ext cx="6263640" cy="1376680"/>
                    </a:xfrm>
                    <a:prstGeom prst="rect">
                      <a:avLst/>
                    </a:prstGeom>
                  </pic:spPr>
                </pic:pic>
              </a:graphicData>
            </a:graphic>
          </wp:inline>
        </w:drawing>
      </w:r>
    </w:p>
    <w:p w14:paraId="2150403B" w14:textId="72EE94E9" w:rsidR="005E5849" w:rsidRPr="009901FA" w:rsidRDefault="005E5849" w:rsidP="005E5849">
      <w:pPr>
        <w:spacing w:after="200"/>
      </w:pPr>
      <w:r w:rsidRPr="009901FA">
        <w:t xml:space="preserve">These emissions are driving a </w:t>
      </w:r>
      <w:r w:rsidR="00573531" w:rsidRPr="009901FA">
        <w:t>relentless</w:t>
      </w:r>
      <w:r w:rsidRPr="009901FA">
        <w:t xml:space="preserve"> rise in</w:t>
      </w:r>
      <w:r w:rsidR="003E39DA" w:rsidRPr="009901FA">
        <w:t xml:space="preserve"> the concentration of </w:t>
      </w:r>
      <w:r w:rsidRPr="009901FA">
        <w:t>CO</w:t>
      </w:r>
      <w:r w:rsidRPr="00A247A6">
        <w:rPr>
          <w:rFonts w:ascii="Cambria Math" w:hAnsi="Cambria Math" w:cs="Cambria Math"/>
        </w:rPr>
        <w:t>₂</w:t>
      </w:r>
      <w:r w:rsidR="003E39DA" w:rsidRPr="009901FA">
        <w:t xml:space="preserve"> in the atmosphere,</w:t>
      </w:r>
      <w:r w:rsidRPr="009901FA">
        <w:t xml:space="preserve"> leading to global warming </w:t>
      </w:r>
      <w:r w:rsidR="00574DA8" w:rsidRPr="009901FA">
        <w:rPr>
          <w:bCs/>
        </w:rPr>
        <w:t>that threatens severe harm to human welfare</w:t>
      </w:r>
      <w:r w:rsidRPr="009901FA">
        <w:t>. To limit temperature increases to well below 2</w:t>
      </w:r>
      <w:r w:rsidRPr="009901FA">
        <w:rPr>
          <w:rFonts w:cs="Arial Nova"/>
        </w:rPr>
        <w:t>°</w:t>
      </w:r>
      <w:r w:rsidRPr="009901FA">
        <w:t>C, and ideally to 1.5</w:t>
      </w:r>
      <w:r w:rsidRPr="009901FA">
        <w:rPr>
          <w:rFonts w:cs="Arial Nova"/>
        </w:rPr>
        <w:t>°</w:t>
      </w:r>
      <w:r w:rsidRPr="009901FA">
        <w:t>C, it is essential to reduce CO</w:t>
      </w:r>
      <w:r w:rsidRPr="00A247A6">
        <w:rPr>
          <w:rFonts w:ascii="Cambria Math" w:hAnsi="Cambria Math" w:cs="Cambria Math"/>
        </w:rPr>
        <w:t>₂</w:t>
      </w:r>
      <w:r w:rsidRPr="009901FA">
        <w:t xml:space="preserve"> and other greenhouse gas emissions to net zero by mid-century.</w:t>
      </w:r>
    </w:p>
    <w:p w14:paraId="1EBCE01E" w14:textId="4DE8173A" w:rsidR="005E5849" w:rsidRPr="009901FA" w:rsidRDefault="005E5849" w:rsidP="005E5849">
      <w:pPr>
        <w:spacing w:after="200"/>
      </w:pPr>
      <w:r w:rsidRPr="009901FA">
        <w:t xml:space="preserve">Electrification and </w:t>
      </w:r>
      <w:r w:rsidR="00E3254F" w:rsidRPr="009901FA">
        <w:t>power sector decarbonisation will be the primary levers to achieve this emissions reduction</w:t>
      </w:r>
      <w:r w:rsidR="00FC70A5" w:rsidRPr="009901FA">
        <w:t xml:space="preserve"> and a</w:t>
      </w:r>
      <w:r w:rsidRPr="009901FA">
        <w:t xml:space="preserve">ll major net-zero scenarios project a </w:t>
      </w:r>
      <w:r w:rsidR="00B97B97" w:rsidRPr="009901FA">
        <w:t>dramatic</w:t>
      </w:r>
      <w:r w:rsidRPr="009901FA">
        <w:t xml:space="preserve"> increase in electricity’s share of final energy demand, reaching 54% and 59% in the 1.5°C-aligned pathways published by the IEA and IRENA respectively (</w:t>
      </w:r>
      <w:r w:rsidR="00646561" w:rsidRPr="009901FA">
        <w:fldChar w:fldCharType="begin"/>
      </w:r>
      <w:r w:rsidR="00646561" w:rsidRPr="009901FA">
        <w:instrText xml:space="preserve"> REF _Ref205388447 \h  \* MERGEFORMAT </w:instrText>
      </w:r>
      <w:r w:rsidR="00646561" w:rsidRPr="009901FA">
        <w:fldChar w:fldCharType="separate"/>
      </w:r>
      <w:r w:rsidR="00B434D2" w:rsidRPr="009901FA">
        <w:t xml:space="preserve">Exhibit </w:t>
      </w:r>
      <w:r w:rsidR="00E61394">
        <w:rPr>
          <w:noProof/>
        </w:rPr>
        <w:t>0</w:t>
      </w:r>
      <w:r w:rsidR="00B434D2" w:rsidRPr="009901FA">
        <w:rPr>
          <w:noProof/>
        </w:rPr>
        <w:t>.2</w:t>
      </w:r>
      <w:r w:rsidR="00646561" w:rsidRPr="009901FA">
        <w:fldChar w:fldCharType="end"/>
      </w:r>
      <w:r w:rsidRPr="009901FA">
        <w:t xml:space="preserve">). Analysis by the ETC in the </w:t>
      </w:r>
      <w:r w:rsidRPr="009901FA">
        <w:rPr>
          <w:i/>
        </w:rPr>
        <w:t>Fossil Fuels in Transition</w:t>
      </w:r>
      <w:r w:rsidRPr="009901FA">
        <w:t xml:space="preserve"> report suggested even higher levels, with electricity reaching 62% in the </w:t>
      </w:r>
      <w:r w:rsidRPr="009901FA">
        <w:rPr>
          <w:i/>
        </w:rPr>
        <w:t>Accelerated but Feasible</w:t>
      </w:r>
      <w:r w:rsidRPr="009901FA">
        <w:t xml:space="preserve"> (ACF) scenario and 71% in the </w:t>
      </w:r>
      <w:r w:rsidRPr="009901FA">
        <w:rPr>
          <w:i/>
        </w:rPr>
        <w:t>Possible but Stretching</w:t>
      </w:r>
      <w:r w:rsidRPr="009901FA">
        <w:t xml:space="preserve"> (PBS) scenario.</w:t>
      </w:r>
    </w:p>
    <w:p w14:paraId="075C5A09" w14:textId="77777777" w:rsidR="004D1618" w:rsidRPr="009901FA" w:rsidRDefault="004D1618" w:rsidP="004D1618">
      <w:pPr>
        <w:spacing w:after="200"/>
        <w:rPr>
          <w:bCs/>
        </w:rPr>
      </w:pPr>
      <w:r w:rsidRPr="009901FA">
        <w:rPr>
          <w:bCs/>
        </w:rPr>
        <w:t>But even in the most ambitious electrification scenarios there remains a need for carbon molecules in several sectors of the economy. In aviation and shipping, for instance, batteries will not be light enough to enable electric flight except over very short distances at least for several decades, and in plastics, carbon molecules are essential building blocks of the material whatever the energy source.</w:t>
      </w:r>
    </w:p>
    <w:p w14:paraId="4F208B4E" w14:textId="54055CF3" w:rsidR="000F7F0A" w:rsidRPr="009901FA" w:rsidRDefault="000F7F0A" w:rsidP="000F7F0A">
      <w:pPr>
        <w:spacing w:after="200"/>
      </w:pPr>
      <w:r w:rsidRPr="009901FA">
        <w:t xml:space="preserve">In the ACF scenario, </w:t>
      </w:r>
      <w:r w:rsidR="00735312" w:rsidRPr="009901FA">
        <w:t xml:space="preserve">it is anticipated that </w:t>
      </w:r>
      <w:r w:rsidRPr="009901FA">
        <w:t>31% of total energy demand in 2050 is still expected to rely on</w:t>
      </w:r>
      <w:r w:rsidR="00735312" w:rsidRPr="009901FA">
        <w:t xml:space="preserve"> the use of</w:t>
      </w:r>
      <w:r w:rsidRPr="009901FA">
        <w:t xml:space="preserve"> carbon molecules. In the more ambitious PBS scenario, this figure drops to 22%. As a result</w:t>
      </w:r>
      <w:r w:rsidR="009C56F0" w:rsidRPr="009901FA">
        <w:t xml:space="preserve"> in the ACF scenario</w:t>
      </w:r>
      <w:r w:rsidRPr="009901FA">
        <w:t>:</w:t>
      </w:r>
    </w:p>
    <w:p w14:paraId="2E8D1B4F" w14:textId="5388783C" w:rsidR="000F7F0A" w:rsidRPr="009901FA" w:rsidRDefault="009C56F0" w:rsidP="005F2502">
      <w:pPr>
        <w:numPr>
          <w:ilvl w:val="0"/>
          <w:numId w:val="45"/>
        </w:numPr>
        <w:spacing w:after="200"/>
      </w:pPr>
      <w:r w:rsidRPr="009901FA">
        <w:t>Though t</w:t>
      </w:r>
      <w:r w:rsidR="000F7F0A" w:rsidRPr="009901FA">
        <w:t xml:space="preserve">otal demand for carbon in the energy system is projected to decline by 66% by </w:t>
      </w:r>
      <w:r w:rsidRPr="009901FA">
        <w:t>mid-century</w:t>
      </w:r>
      <w:r w:rsidR="000F7F0A" w:rsidRPr="009901FA">
        <w:t>, this</w:t>
      </w:r>
      <w:r w:rsidRPr="009901FA">
        <w:t xml:space="preserve"> would</w:t>
      </w:r>
      <w:r w:rsidR="000F7F0A" w:rsidRPr="009901FA">
        <w:t xml:space="preserve"> still impl</w:t>
      </w:r>
      <w:r w:rsidRPr="009901FA">
        <w:t>y a need for</w:t>
      </w:r>
      <w:r w:rsidR="000F7F0A" w:rsidRPr="009901FA">
        <w:t xml:space="preserve"> 3.6 Gt of carbon input (</w:t>
      </w:r>
      <w:r w:rsidR="00646561" w:rsidRPr="009901FA">
        <w:fldChar w:fldCharType="begin"/>
      </w:r>
      <w:r w:rsidR="00646561" w:rsidRPr="009901FA">
        <w:instrText xml:space="preserve"> REF _Ref203747322 \h  \* MERGEFORMAT </w:instrText>
      </w:r>
      <w:r w:rsidR="00646561" w:rsidRPr="009901FA">
        <w:fldChar w:fldCharType="separate"/>
      </w:r>
      <w:r w:rsidR="00DE378F" w:rsidRPr="009901FA">
        <w:t xml:space="preserve">Exhibit </w:t>
      </w:r>
      <w:r w:rsidR="00E61394">
        <w:rPr>
          <w:noProof/>
        </w:rPr>
        <w:t>0</w:t>
      </w:r>
      <w:r w:rsidR="00DE378F" w:rsidRPr="009901FA">
        <w:rPr>
          <w:noProof/>
        </w:rPr>
        <w:t>.3</w:t>
      </w:r>
      <w:r w:rsidR="00646561" w:rsidRPr="009901FA">
        <w:fldChar w:fldCharType="end"/>
      </w:r>
      <w:r w:rsidR="000F7F0A" w:rsidRPr="009901FA">
        <w:t>).</w:t>
      </w:r>
    </w:p>
    <w:p w14:paraId="765D75B8" w14:textId="117CD234" w:rsidR="000F7F0A" w:rsidRPr="009901FA" w:rsidRDefault="000F7F0A" w:rsidP="005F2502">
      <w:pPr>
        <w:numPr>
          <w:ilvl w:val="0"/>
          <w:numId w:val="45"/>
        </w:numPr>
        <w:spacing w:after="200"/>
      </w:pPr>
      <w:r w:rsidRPr="009901FA">
        <w:t>Material demand for non-energy uses, excluding plastics (which are included in the energy analysis), could grow from 0.8 Gt to 1.1 Gt (</w:t>
      </w:r>
      <w:r w:rsidR="00646561" w:rsidRPr="009901FA">
        <w:fldChar w:fldCharType="begin"/>
      </w:r>
      <w:r w:rsidR="00646561" w:rsidRPr="009901FA">
        <w:instrText xml:space="preserve"> REF _Ref203747665 \h  \* MERGEFORMAT </w:instrText>
      </w:r>
      <w:r w:rsidR="00646561" w:rsidRPr="009901FA">
        <w:fldChar w:fldCharType="separate"/>
      </w:r>
      <w:r w:rsidR="00DE378F" w:rsidRPr="009901FA">
        <w:t xml:space="preserve">Exhibit </w:t>
      </w:r>
      <w:r w:rsidR="00E61394">
        <w:rPr>
          <w:noProof/>
        </w:rPr>
        <w:t>0</w:t>
      </w:r>
      <w:r w:rsidR="00DE378F" w:rsidRPr="009901FA">
        <w:rPr>
          <w:noProof/>
        </w:rPr>
        <w:t>.4</w:t>
      </w:r>
      <w:r w:rsidR="00646561" w:rsidRPr="009901FA">
        <w:fldChar w:fldCharType="end"/>
      </w:r>
      <w:r w:rsidRPr="009901FA">
        <w:t>).</w:t>
      </w:r>
    </w:p>
    <w:p w14:paraId="2E775BAC" w14:textId="10258377" w:rsidR="00B13780" w:rsidRPr="009901FA" w:rsidRDefault="00B13780" w:rsidP="0077790D">
      <w:pPr>
        <w:spacing w:after="200"/>
      </w:pPr>
      <w:bookmarkStart w:id="4" w:name="_Ref205388447"/>
      <w:bookmarkStart w:id="5" w:name="_Ref203743250"/>
      <w:bookmarkStart w:id="6" w:name="_Ref205392437"/>
      <w:r w:rsidRPr="009901FA">
        <w:t xml:space="preserve">Exhibit </w:t>
      </w:r>
      <w:r w:rsidR="00E61394">
        <w:t>0</w:t>
      </w:r>
      <w:r w:rsidR="008725B4" w:rsidRPr="009901FA">
        <w:t>.</w:t>
      </w:r>
      <w:fldSimple w:instr=" SEQ Exhibit \* ARABIC \s 2 ">
        <w:r w:rsidR="00DE378F" w:rsidRPr="009901FA">
          <w:rPr>
            <w:noProof/>
          </w:rPr>
          <w:t>2</w:t>
        </w:r>
      </w:fldSimple>
      <w:bookmarkEnd w:id="4"/>
      <w:bookmarkEnd w:id="5"/>
      <w:r w:rsidRPr="009901FA">
        <w:t>:</w:t>
      </w:r>
      <w:bookmarkEnd w:id="6"/>
      <w:r w:rsidRPr="009901FA">
        <w:t xml:space="preserve"> </w:t>
      </w:r>
    </w:p>
    <w:p w14:paraId="45BF5772" w14:textId="115D3C41" w:rsidR="00EB340B" w:rsidRPr="009901FA" w:rsidRDefault="00C2783A" w:rsidP="00C54415">
      <w:pPr>
        <w:spacing w:after="200"/>
      </w:pPr>
      <w:r w:rsidRPr="009901FA">
        <w:rPr>
          <w:noProof/>
        </w:rPr>
        <w:lastRenderedPageBreak/>
        <w:drawing>
          <wp:inline distT="0" distB="0" distL="0" distR="0" wp14:anchorId="40DD48EE" wp14:editId="5CB0079B">
            <wp:extent cx="6263640" cy="3523615"/>
            <wp:effectExtent l="0" t="0" r="0" b="635"/>
            <wp:docPr id="72200367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03673"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6263640" cy="3523615"/>
                    </a:xfrm>
                    <a:prstGeom prst="rect">
                      <a:avLst/>
                    </a:prstGeom>
                  </pic:spPr>
                </pic:pic>
              </a:graphicData>
            </a:graphic>
          </wp:inline>
        </w:drawing>
      </w:r>
    </w:p>
    <w:p w14:paraId="4719A457" w14:textId="1A6EEADC" w:rsidR="0025642B" w:rsidRPr="009901FA" w:rsidRDefault="0025642B" w:rsidP="0025642B">
      <w:pPr>
        <w:pStyle w:val="Caption"/>
        <w:keepNext/>
      </w:pPr>
      <w:bookmarkStart w:id="7" w:name="_Ref203747322"/>
      <w:r w:rsidRPr="009901FA">
        <w:t xml:space="preserve">Exhibit </w:t>
      </w:r>
      <w:r w:rsidR="00E61394">
        <w:t>0</w:t>
      </w:r>
      <w:r w:rsidR="008725B4" w:rsidRPr="009901FA">
        <w:t>.</w:t>
      </w:r>
      <w:fldSimple w:instr=" SEQ Exhibit \* ARABIC \s 2 ">
        <w:r w:rsidR="00DE378F" w:rsidRPr="009901FA">
          <w:rPr>
            <w:noProof/>
          </w:rPr>
          <w:t>3</w:t>
        </w:r>
      </w:fldSimple>
      <w:bookmarkEnd w:id="7"/>
    </w:p>
    <w:p w14:paraId="23217B91" w14:textId="0784D61F" w:rsidR="003943DA" w:rsidRPr="009901FA" w:rsidRDefault="00403D3A" w:rsidP="00D33742">
      <w:pPr>
        <w:keepNext/>
        <w:spacing w:after="200"/>
        <w:rPr>
          <w:rFonts w:eastAsia="MS Gothic" w:cs="Times New Roman"/>
          <w:color w:val="585854"/>
          <w:sz w:val="26"/>
          <w:szCs w:val="24"/>
        </w:rPr>
      </w:pPr>
      <w:r w:rsidRPr="009901FA">
        <w:rPr>
          <w:noProof/>
        </w:rPr>
        <w:drawing>
          <wp:inline distT="0" distB="0" distL="0" distR="0" wp14:anchorId="0E171325" wp14:editId="3BB84278">
            <wp:extent cx="6263640" cy="3496310"/>
            <wp:effectExtent l="0" t="0" r="3810" b="8890"/>
            <wp:docPr id="42684657" name="Picture 1" descr="A graph of energy efficienc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4657" name="Picture 1" descr="A graph of energy efficiency&#10;&#10;AI-generated content may be incorrect."/>
                    <pic:cNvPicPr/>
                  </pic:nvPicPr>
                  <pic:blipFill>
                    <a:blip r:embed="rId17"/>
                    <a:stretch>
                      <a:fillRect/>
                    </a:stretch>
                  </pic:blipFill>
                  <pic:spPr>
                    <a:xfrm>
                      <a:off x="0" y="0"/>
                      <a:ext cx="6263640" cy="3496310"/>
                    </a:xfrm>
                    <a:prstGeom prst="rect">
                      <a:avLst/>
                    </a:prstGeom>
                  </pic:spPr>
                </pic:pic>
              </a:graphicData>
            </a:graphic>
          </wp:inline>
        </w:drawing>
      </w:r>
      <w:r w:rsidR="003900F6" w:rsidRPr="009901FA">
        <w:rPr>
          <w:noProof/>
        </w:rPr>
        <w:t xml:space="preserve"> </w:t>
      </w:r>
    </w:p>
    <w:p w14:paraId="58A403B7" w14:textId="77777777" w:rsidR="0071098E" w:rsidRPr="009901FA" w:rsidRDefault="0071098E" w:rsidP="0071098E">
      <w:pPr>
        <w:spacing w:after="0"/>
      </w:pPr>
    </w:p>
    <w:p w14:paraId="1B5923D8" w14:textId="7C267123" w:rsidR="00C843C1" w:rsidRPr="009901FA" w:rsidRDefault="00C843C1" w:rsidP="00C843C1">
      <w:pPr>
        <w:pStyle w:val="Caption"/>
        <w:keepNext/>
      </w:pPr>
      <w:bookmarkStart w:id="8" w:name="_Ref203747665"/>
      <w:r w:rsidRPr="009901FA">
        <w:lastRenderedPageBreak/>
        <w:t xml:space="preserve">Exhibit </w:t>
      </w:r>
      <w:r w:rsidR="00E61394">
        <w:t>0</w:t>
      </w:r>
      <w:r w:rsidR="008725B4" w:rsidRPr="009901FA">
        <w:t>.</w:t>
      </w:r>
      <w:fldSimple w:instr=" SEQ Exhibit \* ARABIC \s 2 ">
        <w:r w:rsidR="00DE378F" w:rsidRPr="009901FA">
          <w:rPr>
            <w:noProof/>
          </w:rPr>
          <w:t>4</w:t>
        </w:r>
      </w:fldSimple>
      <w:bookmarkEnd w:id="8"/>
    </w:p>
    <w:p w14:paraId="69168CA2" w14:textId="1E44C292" w:rsidR="009F0341" w:rsidRPr="009901FA" w:rsidRDefault="00F01D48" w:rsidP="00D33742">
      <w:pPr>
        <w:spacing w:after="200"/>
      </w:pPr>
      <w:r w:rsidRPr="009901FA">
        <w:rPr>
          <w:noProof/>
        </w:rPr>
        <w:drawing>
          <wp:inline distT="0" distB="0" distL="0" distR="0" wp14:anchorId="4EE91E06" wp14:editId="7E324EB5">
            <wp:extent cx="6263640" cy="3562350"/>
            <wp:effectExtent l="0" t="0" r="3810" b="0"/>
            <wp:docPr id="849957420" name="Picture 1" descr="A screenshot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57420" name="Picture 1" descr="A screenshot of a graph&#10;&#10;AI-generated content may be incorrect."/>
                    <pic:cNvPicPr/>
                  </pic:nvPicPr>
                  <pic:blipFill>
                    <a:blip r:embed="rId18"/>
                    <a:stretch>
                      <a:fillRect/>
                    </a:stretch>
                  </pic:blipFill>
                  <pic:spPr>
                    <a:xfrm>
                      <a:off x="0" y="0"/>
                      <a:ext cx="6263640" cy="3562350"/>
                    </a:xfrm>
                    <a:prstGeom prst="rect">
                      <a:avLst/>
                    </a:prstGeom>
                  </pic:spPr>
                </pic:pic>
              </a:graphicData>
            </a:graphic>
          </wp:inline>
        </w:drawing>
      </w:r>
    </w:p>
    <w:p w14:paraId="0B1C6B68" w14:textId="43A98297" w:rsidR="00107DA1" w:rsidRPr="009901FA" w:rsidRDefault="00A74EB8" w:rsidP="00107DA1">
      <w:pPr>
        <w:spacing w:after="200"/>
      </w:pPr>
      <w:r w:rsidRPr="009901FA">
        <w:rPr>
          <w:bCs/>
        </w:rPr>
        <w:t xml:space="preserve">It is essential that all of this carbon is sourced and used in a way which results in zero net emissions. </w:t>
      </w:r>
      <w:r w:rsidR="00107DA1" w:rsidRPr="009901FA">
        <w:t xml:space="preserve">This is achievable if carbon is either recycled or reused, sourced from sustainable bioresources, or </w:t>
      </w:r>
      <w:r w:rsidR="007075BE" w:rsidRPr="009901FA">
        <w:t>sourced</w:t>
      </w:r>
      <w:r w:rsidR="00107DA1" w:rsidRPr="009901FA">
        <w:t xml:space="preserve"> from fossil fuels with carbon capture and storage (CCS) applied.</w:t>
      </w:r>
    </w:p>
    <w:p w14:paraId="5C5127E2" w14:textId="7B1A137A" w:rsidR="00107DA1" w:rsidRPr="009901FA" w:rsidRDefault="00107DA1" w:rsidP="00107DA1">
      <w:pPr>
        <w:spacing w:after="200"/>
      </w:pPr>
      <w:r w:rsidRPr="009901FA">
        <w:t xml:space="preserve">This report </w:t>
      </w:r>
      <w:r w:rsidR="00B04B16" w:rsidRPr="009901FA">
        <w:t>analyses the options for sourcing and using the required ca</w:t>
      </w:r>
      <w:r w:rsidR="005A7E5D" w:rsidRPr="009901FA">
        <w:t xml:space="preserve">rbon </w:t>
      </w:r>
      <w:r w:rsidRPr="009901FA">
        <w:t xml:space="preserve">in a sustainable, zero-emissions </w:t>
      </w:r>
      <w:r w:rsidR="005A7E5D" w:rsidRPr="009901FA">
        <w:t>fashion</w:t>
      </w:r>
      <w:r w:rsidRPr="009901FA">
        <w:t xml:space="preserve">. It focuses on the role of technological </w:t>
      </w:r>
      <w:r w:rsidR="009055A3" w:rsidRPr="009901FA">
        <w:t xml:space="preserve">developments which could either further reduce the need for carbon molecules, or enable its sustainable supply and use. </w:t>
      </w:r>
      <w:r w:rsidR="00097E75" w:rsidRPr="009901FA">
        <w:t>It covers in turn</w:t>
      </w:r>
      <w:r w:rsidRPr="009901FA">
        <w:t>:</w:t>
      </w:r>
    </w:p>
    <w:p w14:paraId="3073DE4C" w14:textId="77777777" w:rsidR="00107DA1" w:rsidRPr="009901FA" w:rsidRDefault="00107DA1" w:rsidP="005F2502">
      <w:pPr>
        <w:numPr>
          <w:ilvl w:val="0"/>
          <w:numId w:val="46"/>
        </w:numPr>
        <w:spacing w:after="200"/>
      </w:pPr>
      <w:r w:rsidRPr="009901FA">
        <w:t>The maximum potential role of direct electrification in a zero-emissions global economy</w:t>
      </w:r>
    </w:p>
    <w:p w14:paraId="6823D13D" w14:textId="77777777" w:rsidR="00107DA1" w:rsidRPr="009901FA" w:rsidRDefault="00107DA1" w:rsidP="005F2502">
      <w:pPr>
        <w:numPr>
          <w:ilvl w:val="0"/>
          <w:numId w:val="46"/>
        </w:numPr>
        <w:spacing w:after="200"/>
      </w:pPr>
      <w:r w:rsidRPr="009901FA">
        <w:t>The contribution of hydrogen and non-carbon hydrogen derivatives</w:t>
      </w:r>
    </w:p>
    <w:p w14:paraId="76F59272" w14:textId="77777777" w:rsidR="00276E99" w:rsidRPr="009901FA" w:rsidRDefault="00276E99" w:rsidP="00276E99">
      <w:pPr>
        <w:pStyle w:val="ListParagraph"/>
        <w:numPr>
          <w:ilvl w:val="0"/>
          <w:numId w:val="46"/>
        </w:numPr>
        <w:spacing w:after="200"/>
        <w:rPr>
          <w:bCs/>
        </w:rPr>
      </w:pPr>
      <w:r w:rsidRPr="009901FA">
        <w:rPr>
          <w:bCs/>
        </w:rPr>
        <w:t xml:space="preserve">The potential to cycle and reuse carbon molecules, whether via plastic recycling, carbon capture and utilisation or other means </w:t>
      </w:r>
    </w:p>
    <w:p w14:paraId="5DE485BC" w14:textId="1E82A047" w:rsidR="00107DA1" w:rsidRPr="009901FA" w:rsidRDefault="00107DA1" w:rsidP="005F2502">
      <w:pPr>
        <w:numPr>
          <w:ilvl w:val="0"/>
          <w:numId w:val="46"/>
        </w:numPr>
        <w:spacing w:after="200"/>
      </w:pPr>
      <w:r w:rsidRPr="009901FA">
        <w:t xml:space="preserve">Sustainable sources of primary carbon, </w:t>
      </w:r>
      <w:r w:rsidR="00276E99" w:rsidRPr="009901FA">
        <w:t>covering both</w:t>
      </w:r>
      <w:r w:rsidRPr="009901FA">
        <w:t>:</w:t>
      </w:r>
    </w:p>
    <w:p w14:paraId="22EB6393" w14:textId="77777777" w:rsidR="00107DA1" w:rsidRPr="009901FA" w:rsidRDefault="00107DA1" w:rsidP="005F2502">
      <w:pPr>
        <w:numPr>
          <w:ilvl w:val="1"/>
          <w:numId w:val="46"/>
        </w:numPr>
        <w:spacing w:after="200"/>
      </w:pPr>
      <w:r w:rsidRPr="009901FA">
        <w:t>Carbon capture and storage to enable continued fossil fuel use at net zero emissions</w:t>
      </w:r>
    </w:p>
    <w:p w14:paraId="3B57D5EB" w14:textId="77777777" w:rsidR="00107DA1" w:rsidRPr="009901FA" w:rsidRDefault="00107DA1" w:rsidP="005F2502">
      <w:pPr>
        <w:numPr>
          <w:ilvl w:val="1"/>
          <w:numId w:val="46"/>
        </w:numPr>
        <w:spacing w:after="200"/>
      </w:pPr>
      <w:r w:rsidRPr="009901FA">
        <w:t>Sustainable bioresource supply</w:t>
      </w:r>
    </w:p>
    <w:p w14:paraId="33B67835" w14:textId="77777777" w:rsidR="00107DA1" w:rsidRPr="009901FA" w:rsidRDefault="00107DA1" w:rsidP="005F2502">
      <w:pPr>
        <w:numPr>
          <w:ilvl w:val="0"/>
          <w:numId w:val="46"/>
        </w:numPr>
        <w:spacing w:after="200"/>
      </w:pPr>
      <w:r w:rsidRPr="009901FA">
        <w:t>Options for storing carbon in gaseous or solid form at the end of life</w:t>
      </w:r>
    </w:p>
    <w:p w14:paraId="3366D84B" w14:textId="3B6AF386" w:rsidR="00F75CCE" w:rsidRPr="009901FA" w:rsidRDefault="00F75CCE" w:rsidP="005F2502">
      <w:pPr>
        <w:numPr>
          <w:ilvl w:val="0"/>
          <w:numId w:val="46"/>
        </w:numPr>
        <w:spacing w:after="200"/>
      </w:pPr>
      <w:r w:rsidRPr="009901FA">
        <w:rPr>
          <w:bCs/>
        </w:rPr>
        <w:lastRenderedPageBreak/>
        <w:t>A comparison of the options: trade-offs between alternative approaches in terms of natural resource use, technological availability and cost</w:t>
      </w:r>
    </w:p>
    <w:p w14:paraId="5CB12E86" w14:textId="50102C29" w:rsidR="00107DA1" w:rsidRPr="009901FA" w:rsidRDefault="00F75CCE" w:rsidP="005F2502">
      <w:pPr>
        <w:numPr>
          <w:ilvl w:val="0"/>
          <w:numId w:val="46"/>
        </w:numPr>
        <w:spacing w:after="200"/>
      </w:pPr>
      <w:r w:rsidRPr="009901FA">
        <w:t>S</w:t>
      </w:r>
      <w:r w:rsidR="00107DA1" w:rsidRPr="009901FA">
        <w:t xml:space="preserve">cenarios for the future pattern of carbon sourcing, utilisation, and final </w:t>
      </w:r>
      <w:r w:rsidR="00051A0A">
        <w:t>destination</w:t>
      </w:r>
    </w:p>
    <w:p w14:paraId="36C44632" w14:textId="1BD3253F" w:rsidR="009720DD" w:rsidRPr="009901FA" w:rsidRDefault="00505D3D" w:rsidP="009720DD">
      <w:pPr>
        <w:spacing w:after="200"/>
        <w:rPr>
          <w:bCs/>
        </w:rPr>
      </w:pPr>
      <w:r>
        <w:rPr>
          <w:bCs/>
        </w:rPr>
        <w:fldChar w:fldCharType="begin"/>
      </w:r>
      <w:r>
        <w:rPr>
          <w:bCs/>
        </w:rPr>
        <w:instrText xml:space="preserve"> REF _Ref205540385 \h </w:instrText>
      </w:r>
      <w:r>
        <w:rPr>
          <w:bCs/>
        </w:rPr>
      </w:r>
      <w:r>
        <w:rPr>
          <w:bCs/>
        </w:rPr>
        <w:fldChar w:fldCharType="separate"/>
      </w:r>
      <w:r w:rsidRPr="009901FA">
        <w:t xml:space="preserve">Exhibit </w:t>
      </w:r>
      <w:r>
        <w:t>0</w:t>
      </w:r>
      <w:r w:rsidRPr="009901FA">
        <w:t>.</w:t>
      </w:r>
      <w:r w:rsidRPr="009901FA">
        <w:rPr>
          <w:noProof/>
        </w:rPr>
        <w:t>5</w:t>
      </w:r>
      <w:r>
        <w:rPr>
          <w:bCs/>
        </w:rPr>
        <w:fldChar w:fldCharType="end"/>
      </w:r>
      <w:r w:rsidR="00276990" w:rsidRPr="009901FA">
        <w:rPr>
          <w:bCs/>
        </w:rPr>
        <w:fldChar w:fldCharType="begin"/>
      </w:r>
      <w:r w:rsidR="00276990" w:rsidRPr="009901FA">
        <w:rPr>
          <w:bCs/>
        </w:rPr>
        <w:instrText xml:space="preserve"> REF _Ref203747702 \h </w:instrText>
      </w:r>
      <w:r w:rsidR="00A247A6">
        <w:rPr>
          <w:bCs/>
        </w:rPr>
        <w:instrText xml:space="preserve"> \* MERGEFORMAT </w:instrText>
      </w:r>
      <w:r w:rsidR="00276990" w:rsidRPr="009901FA">
        <w:rPr>
          <w:bCs/>
        </w:rPr>
      </w:r>
      <w:r w:rsidR="00276990" w:rsidRPr="009901FA">
        <w:rPr>
          <w:bCs/>
        </w:rPr>
        <w:fldChar w:fldCharType="separate"/>
      </w:r>
      <w:r w:rsidR="00276990" w:rsidRPr="009901FA">
        <w:rPr>
          <w:bCs/>
        </w:rPr>
        <w:fldChar w:fldCharType="end"/>
      </w:r>
      <w:r w:rsidR="00AD26E6">
        <w:rPr>
          <w:bCs/>
        </w:rPr>
        <w:t xml:space="preserve"> </w:t>
      </w:r>
      <w:r w:rsidR="009720DD" w:rsidRPr="009901FA">
        <w:rPr>
          <w:bCs/>
        </w:rPr>
        <w:t xml:space="preserve">shows one of the four scenarios which are set out in Chapter </w:t>
      </w:r>
      <w:r w:rsidR="00252256">
        <w:rPr>
          <w:bCs/>
        </w:rPr>
        <w:t>7</w:t>
      </w:r>
      <w:r w:rsidR="009720DD" w:rsidRPr="009901FA">
        <w:rPr>
          <w:bCs/>
        </w:rPr>
        <w:t xml:space="preserve">. In this scenario total carbon demand would be in line with those set out in </w:t>
      </w:r>
      <w:r w:rsidR="00276990" w:rsidRPr="009901FA">
        <w:rPr>
          <w:bCs/>
        </w:rPr>
        <w:fldChar w:fldCharType="begin"/>
      </w:r>
      <w:r w:rsidR="00276990" w:rsidRPr="009901FA">
        <w:rPr>
          <w:bCs/>
        </w:rPr>
        <w:instrText xml:space="preserve"> REF _Ref203747322 \h </w:instrText>
      </w:r>
      <w:r w:rsidR="00A247A6">
        <w:rPr>
          <w:bCs/>
        </w:rPr>
        <w:instrText xml:space="preserve"> \* MERGEFORMAT </w:instrText>
      </w:r>
      <w:r w:rsidR="00276990" w:rsidRPr="009901FA">
        <w:rPr>
          <w:bCs/>
        </w:rPr>
      </w:r>
      <w:r w:rsidR="00276990" w:rsidRPr="009901FA">
        <w:rPr>
          <w:bCs/>
        </w:rPr>
        <w:fldChar w:fldCharType="separate"/>
      </w:r>
      <w:r w:rsidR="00DE378F" w:rsidRPr="009901FA">
        <w:t xml:space="preserve">Exhibit </w:t>
      </w:r>
      <w:r w:rsidR="00E61394">
        <w:rPr>
          <w:noProof/>
        </w:rPr>
        <w:t>0</w:t>
      </w:r>
      <w:r w:rsidR="00DE378F" w:rsidRPr="009901FA">
        <w:t>.</w:t>
      </w:r>
      <w:r w:rsidR="00DE378F" w:rsidRPr="009901FA">
        <w:rPr>
          <w:noProof/>
        </w:rPr>
        <w:t>3</w:t>
      </w:r>
      <w:r w:rsidR="00276990" w:rsidRPr="009901FA">
        <w:rPr>
          <w:bCs/>
        </w:rPr>
        <w:fldChar w:fldCharType="end"/>
      </w:r>
      <w:r w:rsidR="009720DD" w:rsidRPr="009901FA">
        <w:rPr>
          <w:bCs/>
        </w:rPr>
        <w:t xml:space="preserve"> and </w:t>
      </w:r>
      <w:r w:rsidR="00276990" w:rsidRPr="009901FA">
        <w:rPr>
          <w:bCs/>
        </w:rPr>
        <w:fldChar w:fldCharType="begin"/>
      </w:r>
      <w:r w:rsidR="00276990" w:rsidRPr="009901FA">
        <w:rPr>
          <w:bCs/>
        </w:rPr>
        <w:instrText xml:space="preserve"> REF _Ref203747665 \h </w:instrText>
      </w:r>
      <w:r w:rsidR="00A247A6">
        <w:rPr>
          <w:bCs/>
        </w:rPr>
        <w:instrText xml:space="preserve"> \* MERGEFORMAT </w:instrText>
      </w:r>
      <w:r w:rsidR="00276990" w:rsidRPr="009901FA">
        <w:rPr>
          <w:bCs/>
        </w:rPr>
      </w:r>
      <w:r w:rsidR="00276990" w:rsidRPr="009901FA">
        <w:rPr>
          <w:bCs/>
        </w:rPr>
        <w:fldChar w:fldCharType="separate"/>
      </w:r>
      <w:r w:rsidR="00DE378F" w:rsidRPr="009901FA">
        <w:t xml:space="preserve">Exhibit </w:t>
      </w:r>
      <w:r w:rsidR="00E61394">
        <w:rPr>
          <w:noProof/>
        </w:rPr>
        <w:t>0</w:t>
      </w:r>
      <w:r w:rsidR="00DE378F" w:rsidRPr="009901FA">
        <w:t>.</w:t>
      </w:r>
      <w:r w:rsidR="00DE378F" w:rsidRPr="009901FA">
        <w:rPr>
          <w:noProof/>
        </w:rPr>
        <w:t>4</w:t>
      </w:r>
      <w:r w:rsidR="00276990" w:rsidRPr="009901FA">
        <w:rPr>
          <w:bCs/>
        </w:rPr>
        <w:fldChar w:fldCharType="end"/>
      </w:r>
      <w:r w:rsidR="009720DD" w:rsidRPr="009901FA">
        <w:rPr>
          <w:bCs/>
        </w:rPr>
        <w:t xml:space="preserve"> – with 3.6Gt for energy use and 1.1</w:t>
      </w:r>
      <w:r w:rsidR="00664EBD" w:rsidRPr="009901FA">
        <w:rPr>
          <w:bCs/>
        </w:rPr>
        <w:t>Gt</w:t>
      </w:r>
      <w:r w:rsidR="009720DD" w:rsidRPr="009901FA">
        <w:rPr>
          <w:bCs/>
        </w:rPr>
        <w:t xml:space="preserve"> for use as material. This implies a dramatic reduction in the total need for carbon by mid-century, but also a dramatic change in the sources and destination compared with those shown on </w:t>
      </w:r>
      <w:r w:rsidR="00276990" w:rsidRPr="009901FA">
        <w:rPr>
          <w:bCs/>
        </w:rPr>
        <w:fldChar w:fldCharType="begin"/>
      </w:r>
      <w:r w:rsidR="00276990" w:rsidRPr="009901FA">
        <w:rPr>
          <w:bCs/>
        </w:rPr>
        <w:instrText xml:space="preserve"> REF _Ref205388436 \h </w:instrText>
      </w:r>
      <w:r w:rsidR="00A247A6">
        <w:rPr>
          <w:bCs/>
        </w:rPr>
        <w:instrText xml:space="preserve"> \* MERGEFORMAT </w:instrText>
      </w:r>
      <w:r w:rsidR="00276990" w:rsidRPr="009901FA">
        <w:rPr>
          <w:bCs/>
        </w:rPr>
      </w:r>
      <w:r w:rsidR="00276990" w:rsidRPr="009901FA">
        <w:rPr>
          <w:bCs/>
        </w:rPr>
        <w:fldChar w:fldCharType="separate"/>
      </w:r>
      <w:r w:rsidR="00DE378F" w:rsidRPr="009901FA">
        <w:t xml:space="preserve">Exhibit </w:t>
      </w:r>
      <w:r w:rsidR="00E61394">
        <w:rPr>
          <w:noProof/>
        </w:rPr>
        <w:t>0</w:t>
      </w:r>
      <w:r w:rsidR="00DE378F" w:rsidRPr="009901FA">
        <w:t>.</w:t>
      </w:r>
      <w:r w:rsidR="00DE378F" w:rsidRPr="009901FA">
        <w:rPr>
          <w:noProof/>
        </w:rPr>
        <w:t>1</w:t>
      </w:r>
      <w:r w:rsidR="00276990" w:rsidRPr="009901FA">
        <w:rPr>
          <w:bCs/>
        </w:rPr>
        <w:fldChar w:fldCharType="end"/>
      </w:r>
    </w:p>
    <w:p w14:paraId="4441742D" w14:textId="2AC0EAD3" w:rsidR="00107DA1" w:rsidRPr="009901FA" w:rsidRDefault="00107DA1" w:rsidP="005F2502">
      <w:pPr>
        <w:numPr>
          <w:ilvl w:val="0"/>
          <w:numId w:val="47"/>
        </w:numPr>
        <w:spacing w:after="200"/>
      </w:pPr>
      <w:r w:rsidRPr="009901FA">
        <w:rPr>
          <w:b/>
        </w:rPr>
        <w:t>Sources</w:t>
      </w:r>
      <w:r w:rsidRPr="009901FA">
        <w:t xml:space="preserve">: </w:t>
      </w:r>
      <w:r w:rsidR="00E043F2" w:rsidRPr="009901FA">
        <w:rPr>
          <w:bCs/>
        </w:rPr>
        <w:t>5</w:t>
      </w:r>
      <w:r w:rsidR="00B00A56">
        <w:rPr>
          <w:bCs/>
        </w:rPr>
        <w:t>7</w:t>
      </w:r>
      <w:r w:rsidR="00E40A23" w:rsidRPr="009901FA">
        <w:rPr>
          <w:bCs/>
        </w:rPr>
        <w:t>% rather than 85% now derives from fossil fuel sources,</w:t>
      </w:r>
      <w:r w:rsidR="00633A27" w:rsidRPr="009901FA">
        <w:rPr>
          <w:bCs/>
        </w:rPr>
        <w:t xml:space="preserve"> 30</w:t>
      </w:r>
      <w:r w:rsidR="00E40A23" w:rsidRPr="009901FA">
        <w:rPr>
          <w:bCs/>
        </w:rPr>
        <w:t xml:space="preserve">% rather than 13% from bioresources, while the </w:t>
      </w:r>
      <w:r w:rsidR="005503B9" w:rsidRPr="009901FA">
        <w:rPr>
          <w:bCs/>
        </w:rPr>
        <w:t>share</w:t>
      </w:r>
      <w:r w:rsidR="00E40A23" w:rsidRPr="009901FA">
        <w:rPr>
          <w:bCs/>
        </w:rPr>
        <w:t xml:space="preserve"> of carbon supply deriving from recycling or reuse has grown from 2% to </w:t>
      </w:r>
      <w:r w:rsidR="005503B9" w:rsidRPr="009901FA">
        <w:rPr>
          <w:bCs/>
        </w:rPr>
        <w:t>13</w:t>
      </w:r>
      <w:r w:rsidR="00E40A23" w:rsidRPr="009901FA">
        <w:rPr>
          <w:bCs/>
        </w:rPr>
        <w:t xml:space="preserve">%  </w:t>
      </w:r>
    </w:p>
    <w:p w14:paraId="1E12AB68" w14:textId="62CD6873" w:rsidR="00107DA1" w:rsidRPr="009901FA" w:rsidRDefault="00107DA1" w:rsidP="005F2502">
      <w:pPr>
        <w:numPr>
          <w:ilvl w:val="0"/>
          <w:numId w:val="47"/>
        </w:numPr>
        <w:spacing w:after="200"/>
      </w:pPr>
      <w:r w:rsidRPr="009901FA">
        <w:rPr>
          <w:b/>
        </w:rPr>
        <w:t>Destinations:</w:t>
      </w:r>
      <w:r w:rsidRPr="009901FA">
        <w:t xml:space="preserve"> Only </w:t>
      </w:r>
      <w:r w:rsidR="004174B6">
        <w:t>10</w:t>
      </w:r>
      <w:r w:rsidRPr="009901FA">
        <w:t>% of carbon is emitted to the atmosphere</w:t>
      </w:r>
      <w:r w:rsidR="00DC02DB">
        <w:t xml:space="preserve"> without capture</w:t>
      </w:r>
      <w:r w:rsidRPr="009901FA">
        <w:t xml:space="preserve">. </w:t>
      </w:r>
      <w:r w:rsidR="00617920">
        <w:t>47</w:t>
      </w:r>
      <w:r w:rsidRPr="009901FA">
        <w:t xml:space="preserve">% is stored in gaseous form, </w:t>
      </w:r>
      <w:r w:rsidR="007D4035" w:rsidRPr="009901FA">
        <w:t>8</w:t>
      </w:r>
      <w:r w:rsidRPr="009901FA">
        <w:t xml:space="preserve">% in solid form, </w:t>
      </w:r>
      <w:r w:rsidR="00D55A34" w:rsidRPr="009901FA">
        <w:t>20</w:t>
      </w:r>
      <w:r w:rsidRPr="009901FA">
        <w:t xml:space="preserve">% remains in ongoing use, and </w:t>
      </w:r>
      <w:r w:rsidR="003A2C9A" w:rsidRPr="009901FA">
        <w:t>13</w:t>
      </w:r>
      <w:r w:rsidRPr="009901FA">
        <w:t>% is recycled.</w:t>
      </w:r>
    </w:p>
    <w:p w14:paraId="192B44F6" w14:textId="154E57A7" w:rsidR="00C843C1" w:rsidRPr="009901FA" w:rsidRDefault="00045C4F" w:rsidP="00A54DFA">
      <w:pPr>
        <w:spacing w:after="200"/>
      </w:pPr>
      <w:r w:rsidRPr="009901FA">
        <w:rPr>
          <w:bCs/>
        </w:rPr>
        <w:t xml:space="preserve">Other scenarios presented in Chapter </w:t>
      </w:r>
      <w:r w:rsidR="00252256">
        <w:rPr>
          <w:bCs/>
        </w:rPr>
        <w:t>7</w:t>
      </w:r>
      <w:r w:rsidRPr="009901FA">
        <w:rPr>
          <w:bCs/>
        </w:rPr>
        <w:t xml:space="preserve"> explore how this pattern would change if the objective were either to maximise recycling and reuse, to minimise fossil fuel use via maximum bio resource supply, or to expand CO2 storage to allow a large ongoing role for fossil fuels.</w:t>
      </w:r>
      <w:r w:rsidRPr="009901FA">
        <w:rPr>
          <w:b/>
        </w:rPr>
        <w:t xml:space="preserve"> </w:t>
      </w:r>
    </w:p>
    <w:p w14:paraId="5BB62A2E" w14:textId="0EEC780A" w:rsidR="006C4DC5" w:rsidRPr="009901FA" w:rsidRDefault="00C843C1" w:rsidP="006C4DC5">
      <w:pPr>
        <w:pStyle w:val="Caption"/>
        <w:keepNext/>
      </w:pPr>
      <w:bookmarkStart w:id="9" w:name="_Ref203747702"/>
      <w:bookmarkStart w:id="10" w:name="_Ref205540385"/>
      <w:r w:rsidRPr="009901FA">
        <w:lastRenderedPageBreak/>
        <w:t xml:space="preserve">Exhibit </w:t>
      </w:r>
      <w:bookmarkEnd w:id="9"/>
      <w:r w:rsidR="00E61394">
        <w:t>0</w:t>
      </w:r>
      <w:r w:rsidR="008725B4" w:rsidRPr="009901FA">
        <w:t>.</w:t>
      </w:r>
      <w:fldSimple w:instr=" SEQ Exhibit \* ARABIC \s 2 ">
        <w:r w:rsidR="00DE378F" w:rsidRPr="009901FA">
          <w:rPr>
            <w:noProof/>
          </w:rPr>
          <w:t>5</w:t>
        </w:r>
      </w:fldSimple>
      <w:bookmarkEnd w:id="10"/>
      <w:r w:rsidR="00894A0E" w:rsidRPr="009901FA">
        <w:rPr>
          <w:noProof/>
        </w:rPr>
        <w:t xml:space="preserve"> </w:t>
      </w:r>
      <w:r w:rsidR="006C4DC5" w:rsidRPr="009901FA">
        <w:t>ACF mid-century, Carbon Source and destination for the energy and materials sectors, Mt C</w:t>
      </w:r>
    </w:p>
    <w:p w14:paraId="4521C6C6" w14:textId="767D1839" w:rsidR="00EC62D6" w:rsidRPr="009901FA" w:rsidRDefault="00C538F1" w:rsidP="006C4DC5">
      <w:pPr>
        <w:pStyle w:val="Caption"/>
        <w:keepNext/>
      </w:pPr>
      <w:r w:rsidRPr="009901FA">
        <w:rPr>
          <w:noProof/>
        </w:rPr>
        <w:drawing>
          <wp:inline distT="0" distB="0" distL="0" distR="0" wp14:anchorId="585E57D5" wp14:editId="19588F06">
            <wp:extent cx="6448258" cy="3500651"/>
            <wp:effectExtent l="0" t="0" r="0" b="5080"/>
            <wp:docPr id="170115988" name="Picture 1" descr="A diagram of a person's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15988" name="Picture 1" descr="A diagram of a person's hand&#10;&#10;Description automatically generated"/>
                    <pic:cNvPicPr/>
                  </pic:nvPicPr>
                  <pic:blipFill>
                    <a:blip r:embed="rId19"/>
                    <a:stretch>
                      <a:fillRect/>
                    </a:stretch>
                  </pic:blipFill>
                  <pic:spPr>
                    <a:xfrm>
                      <a:off x="0" y="0"/>
                      <a:ext cx="6455493" cy="3504579"/>
                    </a:xfrm>
                    <a:prstGeom prst="rect">
                      <a:avLst/>
                    </a:prstGeom>
                  </pic:spPr>
                </pic:pic>
              </a:graphicData>
            </a:graphic>
          </wp:inline>
        </w:drawing>
      </w:r>
    </w:p>
    <w:p w14:paraId="4C9B9F60" w14:textId="7B3C6466" w:rsidR="00916066" w:rsidRPr="000E0EB1" w:rsidRDefault="005C4C40" w:rsidP="00734D3B">
      <w:pPr>
        <w:pStyle w:val="Heading2"/>
        <w:numPr>
          <w:ilvl w:val="0"/>
          <w:numId w:val="6"/>
        </w:numPr>
        <w:spacing w:before="60" w:line="259" w:lineRule="auto"/>
        <w:ind w:left="907" w:hanging="510"/>
        <w:rPr>
          <w:b/>
          <w:bCs/>
          <w:smallCaps/>
          <w:color w:val="00146D" w:themeColor="text2"/>
          <w:szCs w:val="40"/>
        </w:rPr>
      </w:pPr>
      <w:bookmarkStart w:id="11" w:name="_Toc205392443"/>
      <w:bookmarkStart w:id="12" w:name="_Toc205554212"/>
      <w:r w:rsidRPr="000E0EB1">
        <w:rPr>
          <w:b/>
          <w:bCs/>
          <w:smallCaps/>
          <w:color w:val="00146D" w:themeColor="text2"/>
          <w:szCs w:val="40"/>
        </w:rPr>
        <w:t>t</w:t>
      </w:r>
      <w:r w:rsidR="00916066" w:rsidRPr="000E0EB1">
        <w:rPr>
          <w:b/>
          <w:bCs/>
          <w:smallCaps/>
          <w:color w:val="00146D" w:themeColor="text2"/>
          <w:szCs w:val="40"/>
        </w:rPr>
        <w:t>he role of electrification</w:t>
      </w:r>
      <w:bookmarkEnd w:id="11"/>
      <w:bookmarkEnd w:id="12"/>
    </w:p>
    <w:p w14:paraId="546E67E6" w14:textId="77777777" w:rsidR="0088790D" w:rsidRPr="009901FA" w:rsidRDefault="0088790D" w:rsidP="0088790D"/>
    <w:p w14:paraId="1118E8E6" w14:textId="5F6C9E93" w:rsidR="0088790D" w:rsidRPr="009901FA" w:rsidRDefault="0088790D" w:rsidP="0088790D">
      <w:r w:rsidRPr="009901FA">
        <w:t xml:space="preserve">As shown in </w:t>
      </w:r>
      <w:r w:rsidR="00D24879" w:rsidRPr="009901FA">
        <w:rPr>
          <w:b/>
          <w:highlight w:val="yellow"/>
        </w:rPr>
        <w:fldChar w:fldCharType="begin"/>
      </w:r>
      <w:r w:rsidR="00D24879" w:rsidRPr="009901FA">
        <w:instrText xml:space="preserve"> REF _Ref205388447 \h </w:instrText>
      </w:r>
      <w:r w:rsidR="00A247A6">
        <w:rPr>
          <w:b/>
          <w:highlight w:val="yellow"/>
        </w:rPr>
        <w:instrText xml:space="preserve"> \* MERGEFORMAT </w:instrText>
      </w:r>
      <w:r w:rsidR="00D24879" w:rsidRPr="009901FA">
        <w:rPr>
          <w:b/>
          <w:highlight w:val="yellow"/>
        </w:rPr>
      </w:r>
      <w:r w:rsidR="00D24879" w:rsidRPr="009901FA">
        <w:rPr>
          <w:b/>
          <w:highlight w:val="yellow"/>
        </w:rPr>
        <w:fldChar w:fldCharType="separate"/>
      </w:r>
      <w:r w:rsidR="00DE378F" w:rsidRPr="009901FA">
        <w:t xml:space="preserve">Exhibit </w:t>
      </w:r>
      <w:r w:rsidR="00E61394">
        <w:rPr>
          <w:noProof/>
        </w:rPr>
        <w:t>0</w:t>
      </w:r>
      <w:r w:rsidR="00DE378F" w:rsidRPr="009901FA">
        <w:t>.</w:t>
      </w:r>
      <w:r w:rsidR="00DE378F" w:rsidRPr="009901FA">
        <w:rPr>
          <w:noProof/>
        </w:rPr>
        <w:t>2</w:t>
      </w:r>
      <w:r w:rsidR="00D24879" w:rsidRPr="009901FA">
        <w:rPr>
          <w:b/>
          <w:highlight w:val="yellow"/>
        </w:rPr>
        <w:fldChar w:fldCharType="end"/>
      </w:r>
      <w:r w:rsidRPr="009901FA">
        <w:t>, the ETC’s previously published scenarios suggest that the direct use of electricity could account for 62–71% of final energy demand by mid-century. In this chapter, we assess whether emerging technological developments could enable even higher levels of electrification, and examine the resulting implications for carbon molecule demand.</w:t>
      </w:r>
    </w:p>
    <w:p w14:paraId="70F3B00D" w14:textId="25A269D7" w:rsidR="005D4BF9" w:rsidRPr="009901FA" w:rsidRDefault="005D4BF9" w:rsidP="005D4BF9">
      <w:r w:rsidRPr="009901FA">
        <w:t xml:space="preserve">We investigate 3 high potential opportunities for further electrification beyond the levels shown in </w:t>
      </w:r>
      <w:r w:rsidR="00D24879" w:rsidRPr="009901FA">
        <w:fldChar w:fldCharType="begin"/>
      </w:r>
      <w:r w:rsidR="00D24879" w:rsidRPr="009901FA">
        <w:instrText xml:space="preserve"> REF _Ref205388447 \h </w:instrText>
      </w:r>
      <w:r w:rsidR="00A247A6">
        <w:instrText xml:space="preserve"> \* MERGEFORMAT </w:instrText>
      </w:r>
      <w:r w:rsidR="00D24879" w:rsidRPr="009901FA">
        <w:fldChar w:fldCharType="separate"/>
      </w:r>
      <w:r w:rsidR="00DE378F" w:rsidRPr="009901FA">
        <w:t xml:space="preserve">Exhibit </w:t>
      </w:r>
      <w:r w:rsidR="00E61394">
        <w:rPr>
          <w:noProof/>
        </w:rPr>
        <w:t>0</w:t>
      </w:r>
      <w:r w:rsidR="00DE378F" w:rsidRPr="009901FA">
        <w:t>.</w:t>
      </w:r>
      <w:r w:rsidR="00DE378F" w:rsidRPr="009901FA">
        <w:rPr>
          <w:noProof/>
        </w:rPr>
        <w:t>2</w:t>
      </w:r>
      <w:r w:rsidR="00D24879" w:rsidRPr="009901FA">
        <w:fldChar w:fldCharType="end"/>
      </w:r>
      <w:r w:rsidRPr="009901FA">
        <w:t xml:space="preserve"> </w:t>
      </w:r>
    </w:p>
    <w:p w14:paraId="4FB5DD9B" w14:textId="77777777" w:rsidR="005D4BF9" w:rsidRPr="009901FA" w:rsidRDefault="005D4BF9" w:rsidP="005D4BF9">
      <w:pPr>
        <w:pStyle w:val="ListParagraph"/>
        <w:numPr>
          <w:ilvl w:val="0"/>
          <w:numId w:val="65"/>
        </w:numPr>
      </w:pPr>
      <w:r w:rsidRPr="009901FA">
        <w:t>Electrification of high temperature heat processes, particularly in cement and petrochemicals</w:t>
      </w:r>
    </w:p>
    <w:p w14:paraId="0F0358F4" w14:textId="6804523B" w:rsidR="005D4BF9" w:rsidRPr="009901FA" w:rsidRDefault="005D4BF9" w:rsidP="005D4BF9">
      <w:pPr>
        <w:pStyle w:val="ListParagraph"/>
        <w:numPr>
          <w:ilvl w:val="0"/>
          <w:numId w:val="65"/>
        </w:numPr>
      </w:pPr>
      <w:r w:rsidRPr="009901FA">
        <w:t>Electrification of primary iron production via electrolysis or electrowinning  as alternatives to using hydrogen as a reduction agent</w:t>
      </w:r>
    </w:p>
    <w:p w14:paraId="0E7853B9" w14:textId="5962E24F" w:rsidR="005D4BF9" w:rsidRPr="009901FA" w:rsidRDefault="005D4BF9" w:rsidP="005D4BF9">
      <w:pPr>
        <w:pStyle w:val="ListParagraph"/>
        <w:numPr>
          <w:ilvl w:val="0"/>
          <w:numId w:val="65"/>
        </w:numPr>
      </w:pPr>
      <w:r w:rsidRPr="009901FA">
        <w:t>Improvements in battery chemistry which might enable greater electrification of shipping and aviation.</w:t>
      </w:r>
    </w:p>
    <w:p w14:paraId="2AE0F794" w14:textId="15029E8C" w:rsidR="006A54A8" w:rsidRPr="009901FA" w:rsidRDefault="006A54A8" w:rsidP="006A54A8">
      <w:r w:rsidRPr="009901FA">
        <w:t xml:space="preserve">We also consider the potential for new technology developments to make it easier to decarbonise electricity supply – whether via lower cost storage (sodium-ion batteries) or new zero carbon generation (small modular nuclear). </w:t>
      </w:r>
    </w:p>
    <w:p w14:paraId="47E052E6" w14:textId="73D82DD6" w:rsidR="0088790D" w:rsidRPr="009901FA" w:rsidRDefault="0088790D" w:rsidP="0088790D">
      <w:r w:rsidRPr="009901FA">
        <w:t xml:space="preserve">Building on this analysis, we present a scenario of </w:t>
      </w:r>
      <w:r w:rsidR="00F16FE2" w:rsidRPr="009901FA">
        <w:t>“</w:t>
      </w:r>
      <w:r w:rsidRPr="009901FA">
        <w:t>maximum electrification and unconstrained power supply</w:t>
      </w:r>
      <w:r w:rsidR="00F16FE2" w:rsidRPr="009901FA">
        <w:t>”</w:t>
      </w:r>
      <w:r w:rsidRPr="009901FA">
        <w:t xml:space="preserve">, </w:t>
      </w:r>
      <w:r w:rsidR="00DF0A11" w:rsidRPr="009901FA">
        <w:t xml:space="preserve">which if achievable, would see </w:t>
      </w:r>
      <w:r w:rsidRPr="009901FA">
        <w:t xml:space="preserve">under which electrification could rise to as much as 77% of final energy demand.  </w:t>
      </w:r>
      <w:r w:rsidR="00A22B9D" w:rsidRPr="009901FA">
        <w:t>T</w:t>
      </w:r>
      <w:r w:rsidRPr="009901FA">
        <w:t xml:space="preserve">his would </w:t>
      </w:r>
      <w:r w:rsidRPr="009901FA">
        <w:lastRenderedPageBreak/>
        <w:t xml:space="preserve">reduce the demand for carbon molecules by 24% relative to the levels shown in </w:t>
      </w:r>
      <w:r w:rsidR="00D24879" w:rsidRPr="009901FA">
        <w:rPr>
          <w:b/>
        </w:rPr>
        <w:fldChar w:fldCharType="begin"/>
      </w:r>
      <w:r w:rsidR="00D24879" w:rsidRPr="009901FA">
        <w:instrText xml:space="preserve"> REF _Ref203747322 \h </w:instrText>
      </w:r>
      <w:r w:rsidR="00D24879" w:rsidRPr="009901FA">
        <w:rPr>
          <w:b/>
        </w:rPr>
        <w:instrText xml:space="preserve"> \* MERGEFORMAT </w:instrText>
      </w:r>
      <w:r w:rsidR="00D24879" w:rsidRPr="009901FA">
        <w:rPr>
          <w:b/>
        </w:rPr>
      </w:r>
      <w:r w:rsidR="00D24879" w:rsidRPr="009901FA">
        <w:rPr>
          <w:b/>
        </w:rPr>
        <w:fldChar w:fldCharType="separate"/>
      </w:r>
      <w:r w:rsidR="00DE378F" w:rsidRPr="009901FA">
        <w:t xml:space="preserve">Exhibit </w:t>
      </w:r>
      <w:r w:rsidR="00E61394">
        <w:rPr>
          <w:noProof/>
        </w:rPr>
        <w:t>0</w:t>
      </w:r>
      <w:r w:rsidR="00DE378F" w:rsidRPr="009901FA">
        <w:rPr>
          <w:noProof/>
        </w:rPr>
        <w:t>.3</w:t>
      </w:r>
      <w:r w:rsidR="00D24879" w:rsidRPr="009901FA">
        <w:rPr>
          <w:b/>
        </w:rPr>
        <w:fldChar w:fldCharType="end"/>
      </w:r>
      <w:r w:rsidRPr="009901FA">
        <w:t>.</w:t>
      </w:r>
    </w:p>
    <w:p w14:paraId="69A3BDAE" w14:textId="18A6AE13" w:rsidR="00D043F0" w:rsidRPr="009901FA" w:rsidRDefault="000E0EB1" w:rsidP="009909A1">
      <w:pPr>
        <w:pStyle w:val="Heading3"/>
        <w:rPr>
          <w:rFonts w:eastAsiaTheme="minorEastAsia" w:cstheme="minorBidi"/>
          <w:b/>
          <w:color w:val="auto"/>
          <w:sz w:val="20"/>
          <w:szCs w:val="20"/>
        </w:rPr>
      </w:pPr>
      <w:bookmarkStart w:id="13" w:name="_Toc205392444"/>
      <w:bookmarkStart w:id="14" w:name="_Toc205554213"/>
      <w:r>
        <w:t>1</w:t>
      </w:r>
      <w:r w:rsidR="00A21180" w:rsidRPr="009901FA">
        <w:t>.</w:t>
      </w:r>
      <w:r w:rsidR="00B24D27" w:rsidRPr="009901FA">
        <w:t>1</w:t>
      </w:r>
      <w:r w:rsidR="00A21180" w:rsidRPr="009901FA">
        <w:t xml:space="preserve"> Electrification of high temperature industrial heat</w:t>
      </w:r>
      <w:bookmarkEnd w:id="13"/>
      <w:bookmarkEnd w:id="14"/>
    </w:p>
    <w:p w14:paraId="29F44B3C" w14:textId="789EB170" w:rsidR="00F40122" w:rsidRPr="009901FA" w:rsidRDefault="00F40122" w:rsidP="00F40122">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Overview</w:t>
      </w:r>
    </w:p>
    <w:p w14:paraId="2F74ED82" w14:textId="4ADCC551" w:rsidR="00F40122" w:rsidRPr="009901FA" w:rsidRDefault="00F40122" w:rsidP="00F40122">
      <w:pPr>
        <w:jc w:val="both"/>
      </w:pPr>
      <w:r w:rsidRPr="009901FA">
        <w:rPr>
          <w:b/>
        </w:rPr>
        <w:t>Electrification of high temperature heat has the potential to further electrify industrial processes above 400°C, reducing reliance on fossil fuels and CCU/S.</w:t>
      </w:r>
      <w:r w:rsidRPr="009901FA">
        <w:rPr>
          <w:bCs/>
        </w:rPr>
        <w:t xml:space="preserve"> Over 60 EJ of energy is required annually for industrial heat above 400°C, with cement (~1400°C), steel (~1600°C), and chemicals (~800°C) being the primary sectors. (See </w:t>
      </w:r>
      <w:r w:rsidR="006459C2" w:rsidRPr="009901FA">
        <w:rPr>
          <w:bCs/>
        </w:rPr>
        <w:fldChar w:fldCharType="begin"/>
      </w:r>
      <w:r w:rsidR="006459C2" w:rsidRPr="009901FA">
        <w:rPr>
          <w:bCs/>
        </w:rPr>
        <w:instrText xml:space="preserve"> REF _Ref203743316 \h </w:instrText>
      </w:r>
      <w:r w:rsidR="00A247A6">
        <w:rPr>
          <w:bCs/>
        </w:rPr>
        <w:instrText xml:space="preserve"> \* MERGEFORMAT </w:instrText>
      </w:r>
      <w:r w:rsidR="006459C2" w:rsidRPr="009901FA">
        <w:rPr>
          <w:bCs/>
        </w:rPr>
      </w:r>
      <w:r w:rsidR="006459C2" w:rsidRPr="009901FA">
        <w:rPr>
          <w:bCs/>
        </w:rPr>
        <w:fldChar w:fldCharType="separate"/>
      </w:r>
      <w:r w:rsidR="00DE378F" w:rsidRPr="009901FA">
        <w:t xml:space="preserve">Exhibit </w:t>
      </w:r>
      <w:r w:rsidR="00E61394">
        <w:rPr>
          <w:noProof/>
        </w:rPr>
        <w:t>1</w:t>
      </w:r>
      <w:r w:rsidR="00DE378F" w:rsidRPr="009901FA">
        <w:t>.</w:t>
      </w:r>
      <w:r w:rsidR="00DE378F" w:rsidRPr="009901FA">
        <w:rPr>
          <w:noProof/>
        </w:rPr>
        <w:t>1</w:t>
      </w:r>
      <w:r w:rsidR="006459C2" w:rsidRPr="009901FA">
        <w:rPr>
          <w:bCs/>
        </w:rPr>
        <w:fldChar w:fldCharType="end"/>
      </w:r>
      <w:r w:rsidR="006459C2" w:rsidRPr="009901FA">
        <w:rPr>
          <w:bCs/>
        </w:rPr>
        <w:t>)</w:t>
      </w:r>
      <w:r w:rsidRPr="009901FA">
        <w:rPr>
          <w:bCs/>
        </w:rPr>
        <w:t xml:space="preserve"> Today, nearly all of the energy used for high-temperature industrial heat is fossil-fuel based</w:t>
      </w:r>
      <w:r w:rsidR="0056716F" w:rsidRPr="009901FA">
        <w:rPr>
          <w:rStyle w:val="FootnoteReference"/>
          <w:bCs/>
        </w:rPr>
        <w:footnoteReference w:id="2"/>
      </w:r>
      <w:r w:rsidRPr="009901FA">
        <w:rPr>
          <w:bCs/>
        </w:rPr>
        <w:t>. Heat pumps cannot meet the demand for high-temperature heat as they are limited to temperatures below 400°C, making them unsuitable for high-temperature applications. Electrifying high-temperature heat, if made cost-effective, could significantly reduce the dependence on fossil fuels (even with CCS) while driving a substantial increase in electricity demand.</w:t>
      </w:r>
    </w:p>
    <w:p w14:paraId="6258CFB5" w14:textId="666150D1" w:rsidR="006459C2" w:rsidRPr="009901FA" w:rsidRDefault="006459C2" w:rsidP="006459C2">
      <w:pPr>
        <w:pStyle w:val="Caption"/>
        <w:keepNext/>
        <w:jc w:val="both"/>
      </w:pPr>
      <w:bookmarkStart w:id="15" w:name="_Ref203743316"/>
      <w:r w:rsidRPr="009901FA">
        <w:t xml:space="preserve">Exhibit </w:t>
      </w:r>
      <w:r w:rsidR="00E61394">
        <w:t>1</w:t>
      </w:r>
      <w:r w:rsidR="008725B4" w:rsidRPr="009901FA">
        <w:t>.</w:t>
      </w:r>
      <w:fldSimple w:instr=" SEQ Exhibit \* ARABIC \s 2 ">
        <w:r w:rsidR="00DE378F" w:rsidRPr="009901FA">
          <w:rPr>
            <w:noProof/>
          </w:rPr>
          <w:t>1</w:t>
        </w:r>
      </w:fldSimple>
      <w:bookmarkEnd w:id="15"/>
    </w:p>
    <w:p w14:paraId="54659DBE" w14:textId="49411E89" w:rsidR="00627DB3" w:rsidRPr="009901FA" w:rsidRDefault="0043204C" w:rsidP="0043204C">
      <w:pPr>
        <w:jc w:val="both"/>
        <w:rPr>
          <w:b/>
        </w:rPr>
      </w:pPr>
      <w:r w:rsidRPr="009901FA">
        <w:rPr>
          <w:noProof/>
        </w:rPr>
        <w:drawing>
          <wp:inline distT="0" distB="0" distL="0" distR="0" wp14:anchorId="5EA6DB4E" wp14:editId="2D8287C1">
            <wp:extent cx="6065128" cy="3411940"/>
            <wp:effectExtent l="0" t="0" r="0" b="0"/>
            <wp:docPr id="2518099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809918"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6103220" cy="3433368"/>
                    </a:xfrm>
                    <a:prstGeom prst="rect">
                      <a:avLst/>
                    </a:prstGeom>
                  </pic:spPr>
                </pic:pic>
              </a:graphicData>
            </a:graphic>
          </wp:inline>
        </w:drawing>
      </w:r>
    </w:p>
    <w:p w14:paraId="4D0B5621" w14:textId="74BBEC9A" w:rsidR="003A7BD4" w:rsidRPr="009901FA" w:rsidRDefault="003A7BD4" w:rsidP="003A7BD4">
      <w:pPr>
        <w:jc w:val="both"/>
      </w:pPr>
      <w:r w:rsidRPr="009901FA">
        <w:rPr>
          <w:b/>
        </w:rPr>
        <w:t xml:space="preserve">New electrification technologies </w:t>
      </w:r>
      <w:r w:rsidR="00F53DF1" w:rsidRPr="009901FA">
        <w:rPr>
          <w:b/>
        </w:rPr>
        <w:t>are advancing</w:t>
      </w:r>
      <w:r w:rsidR="00D435F7" w:rsidRPr="009901FA">
        <w:rPr>
          <w:b/>
        </w:rPr>
        <w:t>,</w:t>
      </w:r>
      <w:r w:rsidRPr="009901FA">
        <w:rPr>
          <w:b/>
        </w:rPr>
        <w:t xml:space="preserve"> enabling heat electrification through shockwave, electric and plasmas and resistance heating</w:t>
      </w:r>
      <w:r w:rsidRPr="009901FA">
        <w:rPr>
          <w:bCs/>
        </w:rPr>
        <w:t xml:space="preserve">. </w:t>
      </w:r>
      <w:r w:rsidRPr="009901FA">
        <w:t>Energy efficiency for electrified heat ranges from 50% to 95%, generally outperforming fossil fuels due to lower conversion losses.</w:t>
      </w:r>
      <w:r w:rsidRPr="009901FA">
        <w:rPr>
          <w:rStyle w:val="FootnoteReference"/>
        </w:rPr>
        <w:footnoteReference w:id="3"/>
      </w:r>
      <w:r w:rsidRPr="009901FA">
        <w:rPr>
          <w:bCs/>
        </w:rPr>
        <w:t xml:space="preserve"> </w:t>
      </w:r>
      <w:r w:rsidRPr="009901FA">
        <w:t xml:space="preserve">Large industrial companies, including BASF, Technip Energies, Algoma, Cementa, and Siemens, are exploring further electrification of their </w:t>
      </w:r>
      <w:r w:rsidRPr="009901FA">
        <w:lastRenderedPageBreak/>
        <w:t>processes, alongside new innovators like SaltX and Coolbrook entering the space.</w:t>
      </w:r>
      <w:r w:rsidR="005F36FB" w:rsidRPr="009901FA">
        <w:rPr>
          <w:bCs/>
        </w:rPr>
        <w:t xml:space="preserve"> </w:t>
      </w:r>
      <w:r w:rsidRPr="009901FA">
        <w:t>There are various ways to generate heat with electricity (</w:t>
      </w:r>
      <w:r w:rsidR="00D33742" w:rsidRPr="009901FA">
        <w:fldChar w:fldCharType="begin"/>
      </w:r>
      <w:r w:rsidR="00D33742" w:rsidRPr="009901FA">
        <w:instrText xml:space="preserve"> REF _Ref203747727 \h </w:instrText>
      </w:r>
      <w:r w:rsidR="00A247A6">
        <w:instrText xml:space="preserve"> \* MERGEFORMAT </w:instrText>
      </w:r>
      <w:r w:rsidR="00D33742" w:rsidRPr="009901FA">
        <w:fldChar w:fldCharType="separate"/>
      </w:r>
      <w:r w:rsidR="00DE378F" w:rsidRPr="009901FA">
        <w:t xml:space="preserve">Exhibit </w:t>
      </w:r>
      <w:r w:rsidR="00E61394">
        <w:rPr>
          <w:noProof/>
        </w:rPr>
        <w:t>1</w:t>
      </w:r>
      <w:r w:rsidR="00DE378F" w:rsidRPr="009901FA">
        <w:t>.</w:t>
      </w:r>
      <w:r w:rsidR="00DE378F" w:rsidRPr="009901FA">
        <w:rPr>
          <w:noProof/>
        </w:rPr>
        <w:t>2</w:t>
      </w:r>
      <w:r w:rsidR="00D33742" w:rsidRPr="009901FA">
        <w:fldChar w:fldCharType="end"/>
      </w:r>
      <w:r w:rsidRPr="009901FA">
        <w:t xml:space="preserve">), </w:t>
      </w:r>
      <w:r w:rsidRPr="009901FA">
        <w:rPr>
          <w:b/>
        </w:rPr>
        <w:t>shockwave, plasma technology, and resistance heating</w:t>
      </w:r>
      <w:r w:rsidRPr="009901FA">
        <w:t xml:space="preserve"> are making, amongst others, significant advancements in recent years.</w:t>
      </w:r>
    </w:p>
    <w:p w14:paraId="0A2C22E6" w14:textId="4AD434CA" w:rsidR="00D33742" w:rsidRPr="009901FA" w:rsidRDefault="00D33742" w:rsidP="00D33742">
      <w:pPr>
        <w:pStyle w:val="Caption"/>
        <w:keepNext/>
        <w:jc w:val="both"/>
      </w:pPr>
      <w:bookmarkStart w:id="16" w:name="_Ref203747727"/>
      <w:r w:rsidRPr="009901FA">
        <w:t xml:space="preserve">Exhibit </w:t>
      </w:r>
      <w:r w:rsidR="00E61394">
        <w:t>1</w:t>
      </w:r>
      <w:r w:rsidR="008725B4" w:rsidRPr="009901FA">
        <w:t>.</w:t>
      </w:r>
      <w:fldSimple w:instr=" SEQ Exhibit \* ARABIC \s 2 ">
        <w:r w:rsidR="00DE378F" w:rsidRPr="009901FA">
          <w:rPr>
            <w:noProof/>
          </w:rPr>
          <w:t>2</w:t>
        </w:r>
      </w:fldSimple>
      <w:bookmarkEnd w:id="16"/>
    </w:p>
    <w:p w14:paraId="2C1E017D" w14:textId="05388217" w:rsidR="00490176" w:rsidRPr="009901FA" w:rsidRDefault="007E77FB" w:rsidP="007E77FB">
      <w:pPr>
        <w:jc w:val="center"/>
      </w:pPr>
      <w:r w:rsidRPr="009901FA">
        <w:rPr>
          <w:noProof/>
        </w:rPr>
        <w:drawing>
          <wp:inline distT="0" distB="0" distL="0" distR="0" wp14:anchorId="63E35783" wp14:editId="45156C4B">
            <wp:extent cx="5989827" cy="3447915"/>
            <wp:effectExtent l="0" t="0" r="0" b="635"/>
            <wp:docPr id="20268299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829932" name="Picture 1" descr="A screenshot of a computer&#10;&#10;Description automatically generated"/>
                    <pic:cNvPicPr/>
                  </pic:nvPicPr>
                  <pic:blipFill>
                    <a:blip r:embed="rId22"/>
                    <a:stretch>
                      <a:fillRect/>
                    </a:stretch>
                  </pic:blipFill>
                  <pic:spPr>
                    <a:xfrm>
                      <a:off x="0" y="0"/>
                      <a:ext cx="6045536" cy="3479983"/>
                    </a:xfrm>
                    <a:prstGeom prst="rect">
                      <a:avLst/>
                    </a:prstGeom>
                  </pic:spPr>
                </pic:pic>
              </a:graphicData>
            </a:graphic>
          </wp:inline>
        </w:drawing>
      </w:r>
    </w:p>
    <w:p w14:paraId="44E50BF9" w14:textId="6038B128" w:rsidR="001B2FAB" w:rsidRPr="009901FA" w:rsidRDefault="001B2FAB" w:rsidP="001B2FAB">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Costs</w:t>
      </w:r>
    </w:p>
    <w:p w14:paraId="087A501F" w14:textId="192EFE4D" w:rsidR="00667CAE" w:rsidRPr="009901FA" w:rsidRDefault="00EE7473" w:rsidP="00667CAE">
      <w:r w:rsidRPr="009901FA">
        <w:rPr>
          <w:b/>
          <w:bCs/>
        </w:rPr>
        <w:t>The key advantages that high-temperature heat electrification might offer over other decarbonization technologies stem from its more efficient use of energy. </w:t>
      </w:r>
      <w:r w:rsidR="00323296" w:rsidRPr="009901FA">
        <w:t>Depending on the technology and the application, energy consumption could be reduced up to 40%</w:t>
      </w:r>
      <w:r w:rsidR="00323296" w:rsidRPr="009901FA">
        <w:rPr>
          <w:rStyle w:val="FootnoteReference"/>
        </w:rPr>
        <w:footnoteReference w:id="4"/>
      </w:r>
      <w:r w:rsidR="00BD18C0" w:rsidRPr="009901FA">
        <w:t xml:space="preserve"> </w:t>
      </w:r>
      <w:r w:rsidR="00155EE1" w:rsidRPr="009901FA">
        <w:t>compared to fossil fuel-based systems, primarily due to lower conversion losses enabled by direct electrification.</w:t>
      </w:r>
      <w:r w:rsidR="00323296" w:rsidRPr="009901FA">
        <w:t xml:space="preserve"> This </w:t>
      </w:r>
      <w:r w:rsidR="00754677" w:rsidRPr="009901FA">
        <w:t>could be more economical than other low-carbon alternatives as higher capital costs of th</w:t>
      </w:r>
      <w:r w:rsidR="00BC4CB7" w:rsidRPr="009901FA">
        <w:t xml:space="preserve">e emerging technologies are offset by this efficiency. </w:t>
      </w:r>
      <w:r w:rsidR="00D33742" w:rsidRPr="009901FA">
        <w:fldChar w:fldCharType="begin"/>
      </w:r>
      <w:r w:rsidR="00D33742" w:rsidRPr="009901FA">
        <w:instrText xml:space="preserve"> REF _Ref203747739 \h </w:instrText>
      </w:r>
      <w:r w:rsidR="00A247A6">
        <w:instrText xml:space="preserve"> \* MERGEFORMAT </w:instrText>
      </w:r>
      <w:r w:rsidR="00D33742" w:rsidRPr="009901FA">
        <w:fldChar w:fldCharType="separate"/>
      </w:r>
      <w:r w:rsidR="00DE378F" w:rsidRPr="009901FA">
        <w:t xml:space="preserve">Exhibit </w:t>
      </w:r>
      <w:r w:rsidR="00E61394">
        <w:rPr>
          <w:noProof/>
        </w:rPr>
        <w:t>1</w:t>
      </w:r>
      <w:r w:rsidR="00DE378F" w:rsidRPr="009901FA">
        <w:t>.</w:t>
      </w:r>
      <w:r w:rsidR="00DE378F" w:rsidRPr="009901FA">
        <w:rPr>
          <w:noProof/>
        </w:rPr>
        <w:t>3</w:t>
      </w:r>
      <w:r w:rsidR="00D33742" w:rsidRPr="009901FA">
        <w:fldChar w:fldCharType="end"/>
      </w:r>
      <w:r w:rsidR="00BC4CB7" w:rsidRPr="009901FA">
        <w:t xml:space="preserve"> shows a case study of how</w:t>
      </w:r>
      <w:r w:rsidR="00BE3497" w:rsidRPr="009901FA">
        <w:t xml:space="preserve"> an electrified cement kiln could be cost competitive with a </w:t>
      </w:r>
      <w:r w:rsidR="00976D93" w:rsidRPr="009901FA">
        <w:t xml:space="preserve">conventional cement kiln into the future. </w:t>
      </w:r>
      <w:r w:rsidR="007C79E0" w:rsidRPr="009901FA">
        <w:t>The cost of electricity is key</w:t>
      </w:r>
      <w:r w:rsidR="00081EDC" w:rsidRPr="009901FA">
        <w:t xml:space="preserve"> to competitiveness</w:t>
      </w:r>
      <w:r w:rsidR="00B3451F" w:rsidRPr="009901FA">
        <w:t xml:space="preserve"> and particularly this cost of electricity relative to a fossil alternative energy price, which can vary highly across regions. This </w:t>
      </w:r>
      <w:r w:rsidR="00171539" w:rsidRPr="009901FA">
        <w:t xml:space="preserve">comparison </w:t>
      </w:r>
      <w:r w:rsidR="00333FE3" w:rsidRPr="009901FA">
        <w:t>is for projected</w:t>
      </w:r>
      <w:r w:rsidR="00171539" w:rsidRPr="009901FA">
        <w:t xml:space="preserve"> economics</w:t>
      </w:r>
      <w:r w:rsidR="00333FE3" w:rsidRPr="009901FA">
        <w:t>;</w:t>
      </w:r>
      <w:r w:rsidR="00171539" w:rsidRPr="009901FA">
        <w:t xml:space="preserve"> for example shock-wave heating, a type of high temperature heat technology suited to the cement </w:t>
      </w:r>
      <w:r w:rsidR="0068184F" w:rsidRPr="009901FA">
        <w:t>sectors is currently at TRL 6-7.</w:t>
      </w:r>
      <w:r w:rsidR="008715BC" w:rsidRPr="009901FA">
        <w:t xml:space="preserve"> The realization of these economics ultimately depends on whether such technologies can successfully reach market readiness, and there remains significant </w:t>
      </w:r>
      <w:r w:rsidR="008715BC" w:rsidRPr="009901FA">
        <w:lastRenderedPageBreak/>
        <w:t>uncertainty around their scalability, cost trajectory, and commercial deployment timelines.</w:t>
      </w:r>
    </w:p>
    <w:p w14:paraId="2EBBBE18" w14:textId="0825E4C5" w:rsidR="00D33742" w:rsidRPr="009901FA" w:rsidRDefault="00D33742" w:rsidP="00D33742">
      <w:pPr>
        <w:pStyle w:val="Caption"/>
        <w:keepNext/>
      </w:pPr>
      <w:bookmarkStart w:id="17" w:name="_Ref203747739"/>
      <w:r w:rsidRPr="009901FA">
        <w:t xml:space="preserve">Exhibit </w:t>
      </w:r>
      <w:r w:rsidR="00E61394">
        <w:t>1</w:t>
      </w:r>
      <w:r w:rsidR="008725B4" w:rsidRPr="009901FA">
        <w:t>.</w:t>
      </w:r>
      <w:fldSimple w:instr=" SEQ Exhibit \* ARABIC \s 2 ">
        <w:r w:rsidR="00DE378F" w:rsidRPr="009901FA">
          <w:rPr>
            <w:noProof/>
          </w:rPr>
          <w:t>3</w:t>
        </w:r>
      </w:fldSimple>
      <w:bookmarkEnd w:id="17"/>
    </w:p>
    <w:p w14:paraId="06C2DD18" w14:textId="3224858B" w:rsidR="006823C7" w:rsidRPr="009901FA" w:rsidRDefault="006620E2" w:rsidP="00667CAE">
      <w:r w:rsidRPr="009901FA">
        <w:rPr>
          <w:noProof/>
        </w:rPr>
        <w:drawing>
          <wp:inline distT="0" distB="0" distL="0" distR="0" wp14:anchorId="3E240541" wp14:editId="37FC770A">
            <wp:extent cx="6263640" cy="3002508"/>
            <wp:effectExtent l="0" t="0" r="3810" b="7620"/>
            <wp:docPr id="1112350786" name="Picture 1" descr="A diagram of a cost redu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350786" name="Picture 1" descr="A diagram of a cost reduction&#10;&#10;Description automatically generated with medium confidence"/>
                    <pic:cNvPicPr/>
                  </pic:nvPicPr>
                  <pic:blipFill>
                    <a:blip r:embed="rId23"/>
                    <a:stretch>
                      <a:fillRect/>
                    </a:stretch>
                  </pic:blipFill>
                  <pic:spPr>
                    <a:xfrm>
                      <a:off x="0" y="0"/>
                      <a:ext cx="6268428" cy="3004803"/>
                    </a:xfrm>
                    <a:prstGeom prst="rect">
                      <a:avLst/>
                    </a:prstGeom>
                  </pic:spPr>
                </pic:pic>
              </a:graphicData>
            </a:graphic>
          </wp:inline>
        </w:drawing>
      </w:r>
    </w:p>
    <w:p w14:paraId="213BD25D" w14:textId="50F941A7" w:rsidR="00E75F5D" w:rsidRPr="009901FA" w:rsidRDefault="001B2FAB" w:rsidP="00E75F5D">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Barriers and enablers</w:t>
      </w:r>
    </w:p>
    <w:p w14:paraId="56A088B2" w14:textId="3C52AACB" w:rsidR="00B30B50" w:rsidRPr="009901FA" w:rsidRDefault="00F85E52" w:rsidP="00F85E52">
      <w:r w:rsidRPr="009901FA">
        <w:rPr>
          <w:b/>
        </w:rPr>
        <w:t xml:space="preserve">Besides the economic challenge, a reliable, low-cost </w:t>
      </w:r>
      <w:r w:rsidR="00D6646A" w:rsidRPr="009901FA">
        <w:rPr>
          <w:b/>
        </w:rPr>
        <w:t>clean electricity would greatly benefit</w:t>
      </w:r>
      <w:r w:rsidRPr="009901FA">
        <w:rPr>
          <w:b/>
        </w:rPr>
        <w:t xml:space="preserve"> high-temperature </w:t>
      </w:r>
      <w:r w:rsidR="00D6646A" w:rsidRPr="009901FA">
        <w:rPr>
          <w:b/>
        </w:rPr>
        <w:t>heat technologies</w:t>
      </w:r>
      <w:r w:rsidR="00D6646A" w:rsidRPr="009901FA">
        <w:rPr>
          <w:rStyle w:val="FootnoteReference"/>
        </w:rPr>
        <w:footnoteReference w:id="5"/>
      </w:r>
      <w:r w:rsidR="00D6646A" w:rsidRPr="009901FA">
        <w:t xml:space="preserve">. </w:t>
      </w:r>
      <w:r w:rsidRPr="009901FA">
        <w:t xml:space="preserve">A firm </w:t>
      </w:r>
      <w:r w:rsidR="00AB3638" w:rsidRPr="009901FA">
        <w:t>and close to constant</w:t>
      </w:r>
      <w:r w:rsidRPr="009901FA">
        <w:t xml:space="preserve"> energy supply is needed, as these systems struggle to ramp up and down due to high temperatures. </w:t>
      </w:r>
      <w:r w:rsidR="00656974" w:rsidRPr="009901FA">
        <w:t xml:space="preserve">This could pose challenges with </w:t>
      </w:r>
      <w:r w:rsidR="007E5A01" w:rsidRPr="009901FA">
        <w:t xml:space="preserve">renewables intermittency and other </w:t>
      </w:r>
      <w:r w:rsidR="00D96FF7" w:rsidRPr="009901FA">
        <w:t xml:space="preserve">increasing </w:t>
      </w:r>
      <w:r w:rsidR="007E5A01" w:rsidRPr="009901FA">
        <w:t xml:space="preserve">requirements </w:t>
      </w:r>
      <w:r w:rsidR="00D96FF7" w:rsidRPr="009901FA">
        <w:t xml:space="preserve">on the power system such electrification of the </w:t>
      </w:r>
      <w:r w:rsidR="00B30B50" w:rsidRPr="009901FA">
        <w:t>passenger road transport and data centres.</w:t>
      </w:r>
      <w:r w:rsidR="005402A4" w:rsidRPr="009901FA">
        <w:t xml:space="preserve"> </w:t>
      </w:r>
    </w:p>
    <w:p w14:paraId="2E9D2692" w14:textId="1C7A938A" w:rsidR="00F85E52" w:rsidRPr="009901FA" w:rsidRDefault="00F85E52" w:rsidP="00F85E52">
      <w:r w:rsidRPr="009901FA">
        <w:rPr>
          <w:b/>
        </w:rPr>
        <w:t>Achieving and maintaining high temperatures requires materials that can endure extreme conditions over long lifetimes.</w:t>
      </w:r>
      <w:r w:rsidR="005F36FB" w:rsidRPr="009901FA">
        <w:rPr>
          <w:b/>
        </w:rPr>
        <w:t xml:space="preserve"> </w:t>
      </w:r>
      <w:r w:rsidR="0076146C" w:rsidRPr="009901FA">
        <w:t>For example, electrifying cement kilns poses durability challenges because electric heating methods like plasma torches and induction create different heat patterns than traditional fuels, which can stress kiln materials in new ways</w:t>
      </w:r>
      <w:r w:rsidR="00625876" w:rsidRPr="009901FA">
        <w:rPr>
          <w:rStyle w:val="FootnoteReference"/>
        </w:rPr>
        <w:footnoteReference w:id="6"/>
      </w:r>
      <w:r w:rsidR="0054689D" w:rsidRPr="009901FA">
        <w:t>. Materials to line high-temperate industrial equipment like cement kilns, furnaces and reactors</w:t>
      </w:r>
      <w:r w:rsidR="0076146C" w:rsidRPr="009901FA">
        <w:t xml:space="preserve"> must withstand intense heat, chemical </w:t>
      </w:r>
      <w:r w:rsidR="00EA542C" w:rsidRPr="009901FA">
        <w:t>reaction</w:t>
      </w:r>
      <w:r w:rsidR="0076146C" w:rsidRPr="009901FA">
        <w:t xml:space="preserve"> from raw materials, and frequent temperature changes, all of which can reduce their lifespan</w:t>
      </w:r>
      <w:r w:rsidR="007D416B" w:rsidRPr="009901FA">
        <w:rPr>
          <w:rStyle w:val="FootnoteReference"/>
        </w:rPr>
        <w:footnoteReference w:id="7"/>
      </w:r>
      <w:r w:rsidR="00486872" w:rsidRPr="009901FA">
        <w:t>. E</w:t>
      </w:r>
      <w:r w:rsidR="0076146C" w:rsidRPr="009901FA">
        <w:t>nsuring even heat distribution and material resilience remains a key hurdle</w:t>
      </w:r>
      <w:r w:rsidR="007D416B" w:rsidRPr="009901FA">
        <w:t>.</w:t>
      </w:r>
    </w:p>
    <w:p w14:paraId="7E29A872" w14:textId="1D5D48B0" w:rsidR="00F85E52" w:rsidRPr="009901FA" w:rsidRDefault="005C4C40" w:rsidP="00F85E52">
      <w:pPr>
        <w:pStyle w:val="Heading3"/>
      </w:pPr>
      <w:bookmarkStart w:id="18" w:name="_Toc205392445"/>
      <w:bookmarkStart w:id="19" w:name="_Toc205554214"/>
      <w:r>
        <w:lastRenderedPageBreak/>
        <w:t>1</w:t>
      </w:r>
      <w:r w:rsidR="00F85E52" w:rsidRPr="009901FA">
        <w:t>.</w:t>
      </w:r>
      <w:r w:rsidR="00B24D27" w:rsidRPr="009901FA">
        <w:t>2</w:t>
      </w:r>
      <w:r w:rsidR="00F85E52" w:rsidRPr="009901FA">
        <w:t xml:space="preserve"> </w:t>
      </w:r>
      <w:r w:rsidR="00817C36" w:rsidRPr="009901FA">
        <w:t>Molten Oxide Electrolysis and Electrowinning – electrifying the iron-making process</w:t>
      </w:r>
      <w:bookmarkEnd w:id="18"/>
      <w:bookmarkEnd w:id="19"/>
    </w:p>
    <w:p w14:paraId="38E7F612" w14:textId="4FFEEE33" w:rsidR="007927D1" w:rsidRPr="009901FA" w:rsidRDefault="007927D1" w:rsidP="007927D1">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Overview</w:t>
      </w:r>
    </w:p>
    <w:p w14:paraId="35E9629E" w14:textId="1C8CC341" w:rsidR="0003162D" w:rsidRPr="009901FA" w:rsidRDefault="0003162D" w:rsidP="0003162D">
      <w:pPr>
        <w:rPr>
          <w:bCs/>
        </w:rPr>
      </w:pPr>
      <w:r w:rsidRPr="009901FA">
        <w:rPr>
          <w:b/>
        </w:rPr>
        <w:t>Molten Oxide Electrolysis (MOE) and Electrowinning have the potential to electrify iron-making processes</w:t>
      </w:r>
      <w:r w:rsidRPr="009901FA">
        <w:rPr>
          <w:bCs/>
        </w:rPr>
        <w:t xml:space="preserve">. </w:t>
      </w:r>
      <w:r w:rsidRPr="009901FA">
        <w:t>MOE and Electrowinning are two novel technologies that apply an electrochemical process to convert iron ore into iron using electricity. These technologies could reduce reliance on hydrogen and CCU/S</w:t>
      </w:r>
      <w:r w:rsidR="0080229A" w:rsidRPr="009901FA">
        <w:t xml:space="preserve"> (as alternate decarbonization pathways for iron/steel), </w:t>
      </w:r>
      <w:r w:rsidRPr="009901FA">
        <w:t>while increasing overall electricity demand.</w:t>
      </w:r>
      <w:r w:rsidRPr="009901FA">
        <w:rPr>
          <w:bCs/>
        </w:rPr>
        <w:t xml:space="preserve"> MOE processes iron ore by immersing it in a molten oxide bath heated to approximately 1600°C. An electric current then breaks down the iron ore, producing molten iron. With electrowinning iron ore is suspended in an alkaline solution at about 100-110</w:t>
      </w:r>
      <w:r w:rsidR="00241998" w:rsidRPr="009901FA">
        <w:rPr>
          <w:bCs/>
        </w:rPr>
        <w:t>°C</w:t>
      </w:r>
      <w:r w:rsidRPr="009901FA">
        <w:rPr>
          <w:bCs/>
        </w:rPr>
        <w:t xml:space="preserve">, where a current reduces the iron ore to iron. </w:t>
      </w:r>
      <w:r w:rsidRPr="009901FA">
        <w:t>MOE modules are bus-sized, enabling scalable expansion by adding units, and since the product is molten, it eliminates the need for an Electric Arc Furnace (EAF); Electrowinning operates at lower temperatures, allowing integration with intermittent renewables, which can reduce power costs.</w:t>
      </w:r>
      <w:r w:rsidR="00B71702" w:rsidRPr="009901FA">
        <w:t xml:space="preserve"> </w:t>
      </w:r>
      <w:r w:rsidRPr="009901FA">
        <w:rPr>
          <w:bCs/>
        </w:rPr>
        <w:t>Several large-scale iron and steel companies are investigating the viability of electrowinning and MOE, which are currently advancing at TRL</w:t>
      </w:r>
      <w:r w:rsidR="00452AEE" w:rsidRPr="009901FA">
        <w:rPr>
          <w:bCs/>
        </w:rPr>
        <w:t xml:space="preserve"> </w:t>
      </w:r>
      <w:r w:rsidRPr="009901FA">
        <w:rPr>
          <w:bCs/>
        </w:rPr>
        <w:t>5, with pilot plants having a capacity of up to 40-80 kt of iron</w:t>
      </w:r>
      <w:r w:rsidR="00FA084C" w:rsidRPr="009901FA">
        <w:rPr>
          <w:bCs/>
        </w:rPr>
        <w:t>.</w:t>
      </w:r>
    </w:p>
    <w:p w14:paraId="251EA498" w14:textId="77777777" w:rsidR="0003162D" w:rsidRPr="009901FA" w:rsidRDefault="0003162D" w:rsidP="0003162D">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Costs</w:t>
      </w:r>
    </w:p>
    <w:p w14:paraId="74477A8B" w14:textId="37096686" w:rsidR="008C6F0C" w:rsidRPr="009901FA" w:rsidRDefault="008C6F0C" w:rsidP="008C6F0C">
      <w:pPr>
        <w:pStyle w:val="ListParagraph"/>
        <w:spacing w:after="200"/>
        <w:ind w:left="0"/>
      </w:pPr>
      <w:r w:rsidRPr="009901FA">
        <w:rPr>
          <w:b/>
          <w:bCs/>
        </w:rPr>
        <w:t>With electricity prices below $65/MWh, molten oxide electrolysis (MOE) and electrowinning could become more cost-effective than other low-carbon steelmaking alternatives (</w:t>
      </w:r>
      <w:r w:rsidR="00D33742" w:rsidRPr="009901FA">
        <w:rPr>
          <w:b/>
          <w:bCs/>
        </w:rPr>
        <w:fldChar w:fldCharType="begin"/>
      </w:r>
      <w:r w:rsidR="00D33742" w:rsidRPr="009901FA">
        <w:rPr>
          <w:b/>
          <w:bCs/>
        </w:rPr>
        <w:instrText xml:space="preserve"> REF _Ref203747763 \h </w:instrText>
      </w:r>
      <w:r w:rsidR="00A247A6">
        <w:rPr>
          <w:b/>
          <w:bCs/>
        </w:rPr>
        <w:instrText xml:space="preserve"> \* MERGEFORMAT </w:instrText>
      </w:r>
      <w:r w:rsidR="00D33742" w:rsidRPr="009901FA">
        <w:rPr>
          <w:b/>
          <w:bCs/>
        </w:rPr>
      </w:r>
      <w:r w:rsidR="00D33742" w:rsidRPr="009901FA">
        <w:rPr>
          <w:b/>
          <w:bCs/>
        </w:rPr>
        <w:fldChar w:fldCharType="separate"/>
      </w:r>
      <w:r w:rsidR="00DE378F" w:rsidRPr="009901FA">
        <w:t xml:space="preserve">Exhibit </w:t>
      </w:r>
      <w:r w:rsidR="00E61394">
        <w:rPr>
          <w:noProof/>
        </w:rPr>
        <w:t>1</w:t>
      </w:r>
      <w:r w:rsidR="00DE378F" w:rsidRPr="009901FA">
        <w:t>.</w:t>
      </w:r>
      <w:r w:rsidR="00DE378F" w:rsidRPr="009901FA">
        <w:rPr>
          <w:noProof/>
        </w:rPr>
        <w:t>4</w:t>
      </w:r>
      <w:r w:rsidR="00D33742" w:rsidRPr="009901FA">
        <w:rPr>
          <w:b/>
          <w:bCs/>
        </w:rPr>
        <w:fldChar w:fldCharType="end"/>
      </w:r>
      <w:r w:rsidR="001B01AE" w:rsidRPr="009901FA">
        <w:rPr>
          <w:b/>
          <w:bCs/>
        </w:rPr>
        <w:t>)</w:t>
      </w:r>
      <w:r w:rsidRPr="009901FA">
        <w:rPr>
          <w:b/>
          <w:bCs/>
        </w:rPr>
        <w:t>.</w:t>
      </w:r>
      <w:r w:rsidRPr="009901FA">
        <w:t xml:space="preserve"> Their higher capital costs may be offset by lower energy consumption, making them competitive under </w:t>
      </w:r>
      <w:r w:rsidR="0042385F" w:rsidRPr="009901FA">
        <w:t>favourable</w:t>
      </w:r>
      <w:r w:rsidRPr="009901FA">
        <w:t xml:space="preserve"> electricity pricing. Capital expenditures for MOE and electrowinning are expected to be comparable in scale to those of direct reduced iron with electric arc furnaces (DRI-EAF). Additionally, these technologies could offer around 6% lower energy use compared to hydrogen-based steelmaking routes. Ultimately, their cost-competitiveness will hinge on regional electricity prices relative to fossil fuel alternatives, which vary significantly across geographies.</w:t>
      </w:r>
    </w:p>
    <w:p w14:paraId="564CA504" w14:textId="1AEC228D" w:rsidR="00D33742" w:rsidRPr="009901FA" w:rsidRDefault="00D33742" w:rsidP="00D33742">
      <w:pPr>
        <w:pStyle w:val="Caption"/>
        <w:keepNext/>
      </w:pPr>
      <w:bookmarkStart w:id="20" w:name="_Ref203747763"/>
      <w:r w:rsidRPr="009901FA">
        <w:lastRenderedPageBreak/>
        <w:t xml:space="preserve">Exhibit </w:t>
      </w:r>
      <w:r w:rsidR="00E61394">
        <w:t>1</w:t>
      </w:r>
      <w:r w:rsidR="008725B4" w:rsidRPr="009901FA">
        <w:t>.</w:t>
      </w:r>
      <w:fldSimple w:instr=" SEQ Exhibit \* ARABIC \s 2 ">
        <w:r w:rsidR="00DE378F" w:rsidRPr="009901FA">
          <w:rPr>
            <w:noProof/>
          </w:rPr>
          <w:t>4</w:t>
        </w:r>
      </w:fldSimple>
      <w:bookmarkEnd w:id="20"/>
    </w:p>
    <w:p w14:paraId="517268A3" w14:textId="3E955C51" w:rsidR="008A3403" w:rsidRPr="009901FA" w:rsidRDefault="00A01C43" w:rsidP="000629FC">
      <w:r w:rsidRPr="009901FA">
        <w:rPr>
          <w:noProof/>
        </w:rPr>
        <w:drawing>
          <wp:inline distT="0" distB="0" distL="0" distR="0" wp14:anchorId="030352CA" wp14:editId="1D9974B3">
            <wp:extent cx="6263640" cy="3523615"/>
            <wp:effectExtent l="0" t="0" r="0" b="635"/>
            <wp:docPr id="140470547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705479"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6263640" cy="3523615"/>
                    </a:xfrm>
                    <a:prstGeom prst="rect">
                      <a:avLst/>
                    </a:prstGeom>
                  </pic:spPr>
                </pic:pic>
              </a:graphicData>
            </a:graphic>
          </wp:inline>
        </w:drawing>
      </w:r>
    </w:p>
    <w:p w14:paraId="5DC1F7E2" w14:textId="77777777" w:rsidR="0003162D" w:rsidRPr="009901FA" w:rsidRDefault="0003162D" w:rsidP="0003162D">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Barriers and enablers</w:t>
      </w:r>
    </w:p>
    <w:p w14:paraId="6DF660A1" w14:textId="77777777" w:rsidR="003569E3" w:rsidRPr="009901FA" w:rsidRDefault="003569E3" w:rsidP="00D82E51">
      <w:pPr>
        <w:rPr>
          <w:highlight w:val="yellow"/>
        </w:rPr>
      </w:pPr>
    </w:p>
    <w:p w14:paraId="29C0CBC0" w14:textId="6E8BEB0A" w:rsidR="00D82E51" w:rsidRPr="009901FA" w:rsidRDefault="003569E3" w:rsidP="00D82E51">
      <w:r w:rsidRPr="009901FA">
        <w:rPr>
          <w:b/>
          <w:bCs/>
        </w:rPr>
        <w:t>Despite their potential, MOE and electrowinning</w:t>
      </w:r>
      <w:r w:rsidR="000F26E7" w:rsidRPr="009901FA">
        <w:rPr>
          <w:b/>
          <w:bCs/>
        </w:rPr>
        <w:t xml:space="preserve"> </w:t>
      </w:r>
      <w:r w:rsidRPr="009901FA">
        <w:rPr>
          <w:b/>
          <w:bCs/>
        </w:rPr>
        <w:t>face</w:t>
      </w:r>
      <w:r w:rsidR="000F26E7" w:rsidRPr="009901FA">
        <w:rPr>
          <w:b/>
          <w:bCs/>
        </w:rPr>
        <w:t xml:space="preserve"> some</w:t>
      </w:r>
      <w:r w:rsidRPr="009901FA">
        <w:rPr>
          <w:b/>
          <w:bCs/>
        </w:rPr>
        <w:t xml:space="preserve"> barriers to commercial deployment.</w:t>
      </w:r>
      <w:r w:rsidRPr="009901FA">
        <w:t xml:space="preserve"> While potentially more energy-efficient, they must still compete with low</w:t>
      </w:r>
      <w:r w:rsidR="0099023C" w:rsidRPr="009901FA">
        <w:t>er</w:t>
      </w:r>
      <w:r w:rsidRPr="009901FA">
        <w:t>-cost fossil-based steelmaking with CCUS</w:t>
      </w:r>
      <w:r w:rsidR="007F0F19" w:rsidRPr="009901FA">
        <w:t xml:space="preserve"> and H</w:t>
      </w:r>
      <w:r w:rsidR="007F0F19" w:rsidRPr="009901FA">
        <w:rPr>
          <w:vertAlign w:val="subscript"/>
        </w:rPr>
        <w:t>2</w:t>
      </w:r>
      <w:r w:rsidR="007F0F19" w:rsidRPr="009901FA">
        <w:t xml:space="preserve"> DRI, which are more commercially ready today</w:t>
      </w:r>
      <w:r w:rsidR="00D1433F" w:rsidRPr="009901FA">
        <w:t>.</w:t>
      </w:r>
      <w:r w:rsidR="00955AE8" w:rsidRPr="009901FA">
        <w:t xml:space="preserve"> Operational costs are also uncertain, particularly due to anode degradation at extreme temperatures (~1600°C)</w:t>
      </w:r>
      <w:r w:rsidR="00293805" w:rsidRPr="009901FA">
        <w:rPr>
          <w:rStyle w:val="FootnoteReference"/>
        </w:rPr>
        <w:footnoteReference w:id="8"/>
      </w:r>
      <w:r w:rsidR="00293805" w:rsidRPr="009901FA">
        <w:t xml:space="preserve">. </w:t>
      </w:r>
      <w:r w:rsidR="001B01AE" w:rsidRPr="009901FA">
        <w:t>Similar to high temperature industrial heat electrification</w:t>
      </w:r>
      <w:r w:rsidR="00AB66D8" w:rsidRPr="009901FA">
        <w:t>,</w:t>
      </w:r>
      <w:r w:rsidR="00673946" w:rsidRPr="009901FA">
        <w:t xml:space="preserve"> Molten Oxide electrolysis </w:t>
      </w:r>
      <w:r w:rsidR="00D82E51" w:rsidRPr="009901FA">
        <w:t xml:space="preserve">requires </w:t>
      </w:r>
      <w:r w:rsidR="00354BCE" w:rsidRPr="009901FA">
        <w:t>close to constant clean power</w:t>
      </w:r>
      <w:r w:rsidR="00D82E51" w:rsidRPr="009901FA">
        <w:t xml:space="preserve"> supply due to high temperature needs (1</w:t>
      </w:r>
      <w:r w:rsidR="00C802BB" w:rsidRPr="009901FA">
        <w:t>,</w:t>
      </w:r>
      <w:r w:rsidR="00D82E51" w:rsidRPr="009901FA">
        <w:t>600°C). Electrowinning and other electrochemical processes (e.g., direct electrochemical reduction or oxygen decoupled electrolysis) operate at lower temperatures (60°C-300°C), hence intermittent energy is sufficient.</w:t>
      </w:r>
      <w:r w:rsidR="00354BCE" w:rsidRPr="009901FA">
        <w:t xml:space="preserve"> </w:t>
      </w:r>
    </w:p>
    <w:p w14:paraId="6EBD529B" w14:textId="696C4457" w:rsidR="00787091" w:rsidRPr="009901FA" w:rsidRDefault="005C4C40" w:rsidP="00787091">
      <w:pPr>
        <w:pStyle w:val="Heading3"/>
      </w:pPr>
      <w:bookmarkStart w:id="21" w:name="_Toc205392446"/>
      <w:bookmarkStart w:id="22" w:name="_Toc205554215"/>
      <w:r>
        <w:t>1</w:t>
      </w:r>
      <w:r w:rsidR="00787091" w:rsidRPr="009901FA">
        <w:t>.</w:t>
      </w:r>
      <w:r w:rsidR="00B24D27" w:rsidRPr="009901FA">
        <w:t>3</w:t>
      </w:r>
      <w:r w:rsidR="00787091" w:rsidRPr="009901FA">
        <w:t xml:space="preserve"> </w:t>
      </w:r>
      <w:r w:rsidR="00D145BE" w:rsidRPr="009901FA">
        <w:t>Advancements in b</w:t>
      </w:r>
      <w:r w:rsidR="00E0015B" w:rsidRPr="009901FA">
        <w:t>attery chemistries</w:t>
      </w:r>
      <w:bookmarkEnd w:id="21"/>
      <w:bookmarkEnd w:id="22"/>
    </w:p>
    <w:p w14:paraId="5178A33B" w14:textId="6DD9EDC4" w:rsidR="00E0015B" w:rsidRPr="009901FA" w:rsidRDefault="00E32EBB" w:rsidP="00E32EBB">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Overview</w:t>
      </w:r>
    </w:p>
    <w:p w14:paraId="6BB28C81" w14:textId="4BF7ECC7" w:rsidR="00963652" w:rsidRPr="009901FA" w:rsidRDefault="001975E7" w:rsidP="00963652">
      <w:pPr>
        <w:rPr>
          <w:bCs/>
        </w:rPr>
      </w:pPr>
      <w:r w:rsidRPr="009901FA">
        <w:rPr>
          <w:b/>
        </w:rPr>
        <w:t>The rapid scale-up of battery manufacturing, driven by surging global demand, is creating a dynamic landscape where </w:t>
      </w:r>
      <w:r w:rsidRPr="009901FA">
        <w:rPr>
          <w:b/>
          <w:bCs/>
        </w:rPr>
        <w:t>multiple battery chemistries can coexist and evolve in parallel</w:t>
      </w:r>
      <w:r w:rsidRPr="009901FA">
        <w:rPr>
          <w:b/>
        </w:rPr>
        <w:t>. </w:t>
      </w:r>
      <w:r w:rsidR="000B116D" w:rsidRPr="009901FA">
        <w:rPr>
          <w:bCs/>
        </w:rPr>
        <w:t xml:space="preserve">Global battery production capacity is projected to grow from 3 TWh/year in 2023 to 9 TWh/year by 2030, exceeding the anticipated 6 TWh/year </w:t>
      </w:r>
      <w:r w:rsidR="000B116D" w:rsidRPr="009901FA">
        <w:rPr>
          <w:bCs/>
        </w:rPr>
        <w:lastRenderedPageBreak/>
        <w:t>demand from electric vehicles (EVs) and stationary storage</w:t>
      </w:r>
      <w:r w:rsidR="000B116D" w:rsidRPr="009901FA">
        <w:rPr>
          <w:rStyle w:val="FootnoteReference"/>
          <w:bCs/>
        </w:rPr>
        <w:footnoteReference w:id="9"/>
      </w:r>
      <w:r w:rsidR="00826B43" w:rsidRPr="009901FA">
        <w:rPr>
          <w:bCs/>
        </w:rPr>
        <w:t xml:space="preserve">. </w:t>
      </w:r>
      <w:r w:rsidRPr="009901FA">
        <w:rPr>
          <w:bCs/>
        </w:rPr>
        <w:t>This expansion is expected to drive continued improvements in energy density, cost reductions, and broader adoption, particularly in emerging markets.</w:t>
      </w:r>
    </w:p>
    <w:p w14:paraId="7F7F28A7" w14:textId="5344D0DF" w:rsidR="000D109D" w:rsidRPr="009901FA" w:rsidRDefault="00850CDD" w:rsidP="00963652">
      <w:pPr>
        <w:rPr>
          <w:bCs/>
        </w:rPr>
      </w:pPr>
      <w:r w:rsidRPr="009901FA">
        <w:rPr>
          <w:b/>
        </w:rPr>
        <w:t>A major area of innovation lies in </w:t>
      </w:r>
      <w:r w:rsidRPr="009901FA">
        <w:rPr>
          <w:b/>
          <w:bCs/>
        </w:rPr>
        <w:t>next-generation battery technologies</w:t>
      </w:r>
      <w:r w:rsidRPr="009901FA">
        <w:rPr>
          <w:b/>
        </w:rPr>
        <w:t xml:space="preserve"> designed to overcome the limitations of conventional lithium-ion systems. </w:t>
      </w:r>
      <w:r w:rsidR="0096579C" w:rsidRPr="009901FA">
        <w:rPr>
          <w:bCs/>
        </w:rPr>
        <w:t>Among these, solid-state batteries are gaining attention for their potential to significantly enhance energy density, safety, and charging speed.</w:t>
      </w:r>
      <w:r w:rsidR="00364010" w:rsidRPr="009901FA">
        <w:rPr>
          <w:bCs/>
        </w:rPr>
        <w:t xml:space="preserve"> </w:t>
      </w:r>
      <w:r w:rsidR="00226DAA" w:rsidRPr="009901FA">
        <w:rPr>
          <w:bCs/>
        </w:rPr>
        <w:t>Such developments</w:t>
      </w:r>
      <w:r w:rsidR="00364010" w:rsidRPr="009901FA">
        <w:rPr>
          <w:bCs/>
        </w:rPr>
        <w:t xml:space="preserve"> have the potential to further accelerate electrification in mobility due to the high energy density levels they can possibly achieve (see </w:t>
      </w:r>
      <w:r w:rsidR="00D33742" w:rsidRPr="009901FA">
        <w:rPr>
          <w:bCs/>
        </w:rPr>
        <w:fldChar w:fldCharType="begin"/>
      </w:r>
      <w:r w:rsidR="00D33742" w:rsidRPr="009901FA">
        <w:rPr>
          <w:bCs/>
        </w:rPr>
        <w:instrText xml:space="preserve"> REF _Ref203747782 \h </w:instrText>
      </w:r>
      <w:r w:rsidR="00A247A6">
        <w:rPr>
          <w:bCs/>
        </w:rPr>
        <w:instrText xml:space="preserve"> \* MERGEFORMAT </w:instrText>
      </w:r>
      <w:r w:rsidR="00D33742" w:rsidRPr="009901FA">
        <w:rPr>
          <w:bCs/>
        </w:rPr>
      </w:r>
      <w:r w:rsidR="00D33742" w:rsidRPr="009901FA">
        <w:rPr>
          <w:bCs/>
        </w:rPr>
        <w:fldChar w:fldCharType="separate"/>
      </w:r>
      <w:r w:rsidR="00DE378F" w:rsidRPr="009901FA">
        <w:t xml:space="preserve">Exhibit </w:t>
      </w:r>
      <w:r w:rsidR="00E61394">
        <w:rPr>
          <w:noProof/>
        </w:rPr>
        <w:t>1</w:t>
      </w:r>
      <w:r w:rsidR="00DE378F" w:rsidRPr="009901FA">
        <w:t>.</w:t>
      </w:r>
      <w:r w:rsidR="00DE378F" w:rsidRPr="009901FA">
        <w:rPr>
          <w:noProof/>
        </w:rPr>
        <w:t>5</w:t>
      </w:r>
      <w:r w:rsidR="00D33742" w:rsidRPr="009901FA">
        <w:rPr>
          <w:bCs/>
        </w:rPr>
        <w:fldChar w:fldCharType="end"/>
      </w:r>
      <w:r w:rsidR="00364010" w:rsidRPr="009901FA">
        <w:rPr>
          <w:rStyle w:val="FootnoteReference"/>
        </w:rPr>
        <w:footnoteReference w:id="10"/>
      </w:r>
      <w:r w:rsidR="00364010" w:rsidRPr="009901FA">
        <w:rPr>
          <w:bCs/>
        </w:rPr>
        <w:t xml:space="preserve">). </w:t>
      </w:r>
      <w:r w:rsidR="00364010" w:rsidRPr="009901FA">
        <w:t>Battery densities of liquid li-ion batteries have been advancing rapidly and by now achieve gravimetric energy densities of ~ 500 Wh/kg (CATL)</w:t>
      </w:r>
      <w:r w:rsidR="00364010" w:rsidRPr="009901FA">
        <w:rPr>
          <w:bCs/>
        </w:rPr>
        <w:t xml:space="preserve">. </w:t>
      </w:r>
      <w:r w:rsidR="00364010" w:rsidRPr="009901FA">
        <w:t>Solid-state batteries, currently pre-mass production, get to similar levels today</w:t>
      </w:r>
      <w:r w:rsidR="00364010" w:rsidRPr="009901FA">
        <w:rPr>
          <w:rStyle w:val="FootnoteReference"/>
        </w:rPr>
        <w:footnoteReference w:id="11"/>
      </w:r>
      <w:r w:rsidR="00364010" w:rsidRPr="009901FA">
        <w:t xml:space="preserve"> and are explored by major developers including Toyota, Samsung SDI, LGES, SK On, CATL, and BYD. </w:t>
      </w:r>
      <w:r w:rsidR="0096579C" w:rsidRPr="009901FA">
        <w:rPr>
          <w:bCs/>
        </w:rPr>
        <w:t>However, they represent just one pathway among many. Advances in anode and cathode materials—such as silicon-based anodes and lithium-metal anodes—are also contributing to performance gains across various battery types</w:t>
      </w:r>
      <w:r w:rsidR="003A0874" w:rsidRPr="009901FA">
        <w:rPr>
          <w:bCs/>
        </w:rPr>
        <w:t>.</w:t>
      </w:r>
    </w:p>
    <w:p w14:paraId="1AEA1434" w14:textId="2A48A410" w:rsidR="00D33742" w:rsidRPr="009901FA" w:rsidRDefault="00D33742" w:rsidP="00963652"/>
    <w:p w14:paraId="2115CAE9" w14:textId="36AE8C40" w:rsidR="00D33742" w:rsidRPr="009901FA" w:rsidRDefault="00D33742" w:rsidP="00D33742">
      <w:pPr>
        <w:pStyle w:val="Caption"/>
        <w:keepNext/>
      </w:pPr>
      <w:bookmarkStart w:id="23" w:name="_Ref203747782"/>
      <w:r w:rsidRPr="009901FA">
        <w:t xml:space="preserve">Exhibit </w:t>
      </w:r>
      <w:r w:rsidR="00E61394">
        <w:t>1</w:t>
      </w:r>
      <w:r w:rsidR="008725B4" w:rsidRPr="009901FA">
        <w:t>.</w:t>
      </w:r>
      <w:fldSimple w:instr=" SEQ Exhibit \* ARABIC \s 2 ">
        <w:r w:rsidR="00DE378F" w:rsidRPr="009901FA">
          <w:rPr>
            <w:noProof/>
          </w:rPr>
          <w:t>5</w:t>
        </w:r>
      </w:fldSimple>
      <w:bookmarkEnd w:id="23"/>
    </w:p>
    <w:p w14:paraId="5D0F1611" w14:textId="201DA681" w:rsidR="003A0874" w:rsidRPr="009901FA" w:rsidRDefault="0040571B" w:rsidP="00963652">
      <w:pPr>
        <w:rPr>
          <w:bCs/>
        </w:rPr>
      </w:pPr>
      <w:r w:rsidRPr="009901FA">
        <w:rPr>
          <w:noProof/>
        </w:rPr>
        <w:drawing>
          <wp:inline distT="0" distB="0" distL="0" distR="0" wp14:anchorId="13A81C10" wp14:editId="5594CD9C">
            <wp:extent cx="6263640" cy="3523615"/>
            <wp:effectExtent l="0" t="0" r="0" b="635"/>
            <wp:docPr id="176673421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734219"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6263640" cy="3523615"/>
                    </a:xfrm>
                    <a:prstGeom prst="rect">
                      <a:avLst/>
                    </a:prstGeom>
                  </pic:spPr>
                </pic:pic>
              </a:graphicData>
            </a:graphic>
          </wp:inline>
        </w:drawing>
      </w:r>
    </w:p>
    <w:p w14:paraId="39E6D5EA" w14:textId="13879089" w:rsidR="00A10560" w:rsidRPr="009901FA" w:rsidRDefault="006E59ED" w:rsidP="00167AE6">
      <w:r w:rsidRPr="009901FA">
        <w:rPr>
          <w:b/>
          <w:bCs/>
        </w:rPr>
        <w:lastRenderedPageBreak/>
        <w:t>Such developments</w:t>
      </w:r>
      <w:r w:rsidR="00167AE6" w:rsidRPr="009901FA">
        <w:rPr>
          <w:b/>
          <w:bCs/>
        </w:rPr>
        <w:t xml:space="preserve"> are expected to enable steady performance improvements across all battery chemistries, with historical learning rates for battery technologies typically ranging between 7-9% annually</w:t>
      </w:r>
      <w:r w:rsidR="00036A98" w:rsidRPr="009901FA">
        <w:rPr>
          <w:rStyle w:val="FootnoteReference"/>
          <w:b/>
          <w:bCs/>
        </w:rPr>
        <w:footnoteReference w:id="12"/>
      </w:r>
      <w:r w:rsidR="00167AE6" w:rsidRPr="009901FA">
        <w:t xml:space="preserve">. For instance, semi-solid-state advancements, such as CATL's </w:t>
      </w:r>
      <w:r w:rsidR="008B51F5" w:rsidRPr="009901FA">
        <w:t>(</w:t>
      </w:r>
      <w:r w:rsidR="00462C9C" w:rsidRPr="009901FA">
        <w:t xml:space="preserve">a </w:t>
      </w:r>
      <w:r w:rsidR="008B51F5" w:rsidRPr="009901FA">
        <w:t>benchmark battery provider)</w:t>
      </w:r>
      <w:r w:rsidR="00167AE6" w:rsidRPr="009901FA">
        <w:t xml:space="preserve"> developments, demonstrate incremental gains in energy density and efficiency.</w:t>
      </w:r>
      <w:r w:rsidR="00167AE6" w:rsidRPr="009901FA">
        <w:rPr>
          <w:vanish/>
        </w:rPr>
        <w:t>Top of Form</w:t>
      </w:r>
      <w:r w:rsidRPr="009901FA">
        <w:t xml:space="preserve"> </w:t>
      </w:r>
      <w:r w:rsidR="00A10560" w:rsidRPr="009901FA">
        <w:t>Ultimately, the evolution of battery technology is not about a single breakthrough, but rather a portfolio of innovations that collectively enhance the viability of electrification across sectors—</w:t>
      </w:r>
      <w:r w:rsidR="00790FEA" w:rsidRPr="009901FA">
        <w:t>but particularly in transportation</w:t>
      </w:r>
      <w:r w:rsidR="00A10560" w:rsidRPr="009901FA">
        <w:t>.</w:t>
      </w:r>
    </w:p>
    <w:p w14:paraId="5D2D470F" w14:textId="77777777" w:rsidR="00E32EBB" w:rsidRPr="009901FA" w:rsidRDefault="00E32EBB" w:rsidP="00E32EBB">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Costs</w:t>
      </w:r>
    </w:p>
    <w:p w14:paraId="44A2143C" w14:textId="042F2205" w:rsidR="00D33742" w:rsidRPr="009901FA" w:rsidRDefault="009C6BB6" w:rsidP="00CA3623">
      <w:r w:rsidRPr="009901FA">
        <w:rPr>
          <w:b/>
        </w:rPr>
        <w:t xml:space="preserve">Rapid declines in </w:t>
      </w:r>
      <w:r w:rsidR="00CF7E21" w:rsidRPr="009901FA">
        <w:rPr>
          <w:b/>
        </w:rPr>
        <w:t>battery</w:t>
      </w:r>
      <w:r w:rsidRPr="009901FA">
        <w:rPr>
          <w:b/>
        </w:rPr>
        <w:t xml:space="preserve"> costs could make electrification for some </w:t>
      </w:r>
      <w:r w:rsidR="00F73FA9" w:rsidRPr="009901FA">
        <w:rPr>
          <w:b/>
        </w:rPr>
        <w:t>transportations</w:t>
      </w:r>
      <w:r w:rsidRPr="009901FA">
        <w:rPr>
          <w:b/>
        </w:rPr>
        <w:t xml:space="preserve"> segments economic, potentially accelerating beyond anticipated levels </w:t>
      </w:r>
      <w:r w:rsidRPr="009901FA">
        <w:t xml:space="preserve">(see </w:t>
      </w:r>
      <w:r w:rsidR="00D33742" w:rsidRPr="009901FA">
        <w:rPr>
          <w:bCs/>
        </w:rPr>
        <w:fldChar w:fldCharType="begin"/>
      </w:r>
      <w:r w:rsidR="00D33742" w:rsidRPr="009901FA">
        <w:rPr>
          <w:bCs/>
        </w:rPr>
        <w:instrText xml:space="preserve"> REF _Ref203747816 \h  \* MERGEFORMAT </w:instrText>
      </w:r>
      <w:r w:rsidR="00D33742" w:rsidRPr="009901FA">
        <w:rPr>
          <w:bCs/>
        </w:rPr>
      </w:r>
      <w:r w:rsidR="00D33742" w:rsidRPr="009901FA">
        <w:rPr>
          <w:bCs/>
        </w:rPr>
        <w:fldChar w:fldCharType="separate"/>
      </w:r>
      <w:r w:rsidR="00DE378F" w:rsidRPr="009901FA">
        <w:rPr>
          <w:bCs/>
        </w:rPr>
        <w:t xml:space="preserve">Exhibit </w:t>
      </w:r>
      <w:r w:rsidR="00E61394">
        <w:rPr>
          <w:noProof/>
        </w:rPr>
        <w:t>1</w:t>
      </w:r>
      <w:r w:rsidR="00DE378F" w:rsidRPr="009901FA">
        <w:rPr>
          <w:noProof/>
        </w:rPr>
        <w:t>.6</w:t>
      </w:r>
      <w:r w:rsidR="00D33742" w:rsidRPr="009901FA">
        <w:rPr>
          <w:bCs/>
        </w:rPr>
        <w:fldChar w:fldCharType="end"/>
      </w:r>
      <w:r w:rsidRPr="009901FA">
        <w:rPr>
          <w:rStyle w:val="FootnoteReference"/>
          <w:bCs/>
        </w:rPr>
        <w:footnoteReference w:id="13"/>
      </w:r>
      <w:r w:rsidRPr="009901FA">
        <w:rPr>
          <w:bCs/>
        </w:rPr>
        <w:t>).</w:t>
      </w:r>
      <w:r w:rsidR="002D1D9A" w:rsidRPr="009901FA">
        <w:rPr>
          <w:bCs/>
        </w:rPr>
        <w:t xml:space="preserve"> </w:t>
      </w:r>
      <w:r w:rsidRPr="009901FA">
        <w:t>For</w:t>
      </w:r>
      <w:r w:rsidR="00F73FA9" w:rsidRPr="009901FA">
        <w:t xml:space="preserve"> example in</w:t>
      </w:r>
      <w:r w:rsidRPr="009901FA">
        <w:t xml:space="preserve"> shipping, at battery prices of $100/kWh; battery-electric ships could be competitive with fuel oil ships (&lt;1,500 km), another halving of the price would make ships up to 3,000 km competitive. With liquid Li-ion batteries already </w:t>
      </w:r>
      <w:r w:rsidR="001D48C3" w:rsidRPr="009901FA">
        <w:t>within</w:t>
      </w:r>
      <w:r w:rsidRPr="009901FA">
        <w:t xml:space="preserve"> this threshold, the electrification of all intra-regional shipping appears increasingly feasible.</w:t>
      </w:r>
      <w:r w:rsidRPr="009901FA">
        <w:rPr>
          <w:rStyle w:val="FootnoteReference"/>
        </w:rPr>
        <w:footnoteReference w:id="14"/>
      </w:r>
      <w:r w:rsidRPr="009901FA">
        <w:t xml:space="preserve"> </w:t>
      </w:r>
    </w:p>
    <w:p w14:paraId="18EF0CF4" w14:textId="5F7F1B0E" w:rsidR="00D33742" w:rsidRPr="009901FA" w:rsidRDefault="00D33742" w:rsidP="00D33742">
      <w:pPr>
        <w:pStyle w:val="Caption"/>
        <w:keepNext/>
      </w:pPr>
      <w:bookmarkStart w:id="24" w:name="_Ref203747816"/>
      <w:r w:rsidRPr="009901FA">
        <w:t xml:space="preserve">Exhibit </w:t>
      </w:r>
      <w:r w:rsidR="00E61394">
        <w:t>1</w:t>
      </w:r>
      <w:r w:rsidR="008725B4" w:rsidRPr="009901FA">
        <w:t>.</w:t>
      </w:r>
      <w:fldSimple w:instr=" SEQ Exhibit \* ARABIC \s 2 ">
        <w:r w:rsidR="00DE378F" w:rsidRPr="009901FA">
          <w:rPr>
            <w:noProof/>
          </w:rPr>
          <w:t>6</w:t>
        </w:r>
      </w:fldSimple>
      <w:bookmarkEnd w:id="24"/>
    </w:p>
    <w:p w14:paraId="532420FF" w14:textId="47C1B4A7" w:rsidR="00C27095" w:rsidRPr="009901FA" w:rsidRDefault="00A41750" w:rsidP="00B045BC">
      <w:pPr>
        <w:rPr>
          <w:bCs/>
        </w:rPr>
      </w:pPr>
      <w:r w:rsidRPr="009901FA">
        <w:rPr>
          <w:noProof/>
        </w:rPr>
        <w:drawing>
          <wp:inline distT="0" distB="0" distL="0" distR="0" wp14:anchorId="6D3C33B8" wp14:editId="4626580E">
            <wp:extent cx="6263640" cy="3523615"/>
            <wp:effectExtent l="0" t="0" r="0" b="635"/>
            <wp:docPr id="157943430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434306"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6263640" cy="3523615"/>
                    </a:xfrm>
                    <a:prstGeom prst="rect">
                      <a:avLst/>
                    </a:prstGeom>
                  </pic:spPr>
                </pic:pic>
              </a:graphicData>
            </a:graphic>
          </wp:inline>
        </w:drawing>
      </w:r>
    </w:p>
    <w:p w14:paraId="1B6EA342" w14:textId="5B54168B" w:rsidR="00B045BC" w:rsidRPr="009901FA" w:rsidRDefault="00B045BC" w:rsidP="00AE6708">
      <w:pPr>
        <w:rPr>
          <w:bCs/>
        </w:rPr>
      </w:pPr>
      <w:r w:rsidRPr="009901FA">
        <w:rPr>
          <w:b/>
          <w:bCs/>
        </w:rPr>
        <w:lastRenderedPageBreak/>
        <w:t>Battery-electric aviation faces economic and technical hurdles.</w:t>
      </w:r>
      <w:r w:rsidRPr="009901FA">
        <w:t xml:space="preserve"> While battery costs are declining, no clear threshold</w:t>
      </w:r>
      <w:r w:rsidR="00863D27" w:rsidRPr="009901FA">
        <w:t xml:space="preserve"> </w:t>
      </w:r>
      <w:r w:rsidRPr="009901FA">
        <w:t>has been established as the tipping point for economic viability in aviation</w:t>
      </w:r>
      <w:r w:rsidR="003A0E41" w:rsidRPr="009901FA">
        <w:t>, and energy density remains a major constraint</w:t>
      </w:r>
      <w:r w:rsidR="003A0E41" w:rsidRPr="009901FA">
        <w:rPr>
          <w:rStyle w:val="FootnoteReference"/>
        </w:rPr>
        <w:footnoteReference w:id="15"/>
      </w:r>
      <w:r w:rsidRPr="009901FA">
        <w:t>. Some first-generation electric aircraft, suitable for short-range flights, are targeting entry into service before 2030</w:t>
      </w:r>
      <w:r w:rsidR="00263D3C" w:rsidRPr="009901FA">
        <w:rPr>
          <w:rStyle w:val="FootnoteReference"/>
        </w:rPr>
        <w:footnoteReference w:id="16"/>
      </w:r>
      <w:r w:rsidRPr="009901FA">
        <w:t>, though widespread deployment for flights of several hundred kilometers is unlikely before 2040. In the near term, hybrid-electric aircraft may serve as a transitional solution, enabling incremental emissions reductions while technologies mature.</w:t>
      </w:r>
    </w:p>
    <w:p w14:paraId="4B7921B4" w14:textId="605441D6" w:rsidR="009C6BB6" w:rsidRPr="009901FA" w:rsidRDefault="009C6BB6" w:rsidP="009C6BB6">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Barriers</w:t>
      </w:r>
      <w:r w:rsidR="00447B5F" w:rsidRPr="009901FA">
        <w:rPr>
          <w:rFonts w:eastAsia="MS Gothic" w:cs="Times New Roman"/>
          <w:color w:val="585854"/>
          <w:sz w:val="26"/>
          <w:szCs w:val="24"/>
        </w:rPr>
        <w:t xml:space="preserve"> and enablers</w:t>
      </w:r>
    </w:p>
    <w:p w14:paraId="7EC641D6" w14:textId="0CAB8008" w:rsidR="00E87714" w:rsidRPr="009901FA" w:rsidRDefault="00E87714" w:rsidP="00E87714">
      <w:pPr>
        <w:rPr>
          <w:bCs/>
        </w:rPr>
      </w:pPr>
      <w:r w:rsidRPr="009901FA">
        <w:rPr>
          <w:b/>
        </w:rPr>
        <w:t>The key challenge in advancing next-generation batteries lies in industrializing new chemistries at scale and at competitive cost, particularly for transport applications</w:t>
      </w:r>
      <w:r w:rsidRPr="009901FA">
        <w:rPr>
          <w:bCs/>
        </w:rPr>
        <w:t>. Many emerging battery types face higher production costs than mature lithium-ion chemistries like LFP, largely due to low manufacturing volumes and the need for novel production processes. At the same time, the parallel development of multiple chemistries stretches R&amp;D budgets across competing approaches, potentially slowing progress for each.</w:t>
      </w:r>
    </w:p>
    <w:p w14:paraId="16D8ACD9" w14:textId="3FCACB2F" w:rsidR="00E87714" w:rsidRPr="009901FA" w:rsidRDefault="00E87714" w:rsidP="00E87714">
      <w:pPr>
        <w:rPr>
          <w:bCs/>
        </w:rPr>
      </w:pPr>
      <w:r w:rsidRPr="009901FA">
        <w:rPr>
          <w:b/>
        </w:rPr>
        <w:t>Manufacturing complexity is a common barrier: for example, solid-state batteries require precise control over materials and interfaces, making high-quality, consistent production difficult</w:t>
      </w:r>
      <w:r w:rsidRPr="009901FA">
        <w:rPr>
          <w:bCs/>
        </w:rPr>
        <w:t>. While full solid-state designs continue to face delays, semi-solid-state variants are progressing steadily, and several OEMs—including Toyota, BMW, Ford, Mercedes, and Nio—have announced plans to integrate solid-state technologies by 2030. However, these are just one part of a broader innovation landscape, where incremental improvements across a range of chemistries will be critical to meeting the diverse performance, cost, and safety needs of future electric mobility.</w:t>
      </w:r>
    </w:p>
    <w:p w14:paraId="2402929A" w14:textId="40EA62D9" w:rsidR="007E7D32" w:rsidRPr="009901FA" w:rsidRDefault="005C4C40" w:rsidP="007E7D32">
      <w:pPr>
        <w:pStyle w:val="Heading3"/>
      </w:pPr>
      <w:bookmarkStart w:id="25" w:name="_Toc205392447"/>
      <w:bookmarkStart w:id="26" w:name="_Toc205554216"/>
      <w:r>
        <w:t>1</w:t>
      </w:r>
      <w:r w:rsidR="007E7D32" w:rsidRPr="009901FA">
        <w:t>.</w:t>
      </w:r>
      <w:r w:rsidR="00B24D27" w:rsidRPr="009901FA">
        <w:t>4</w:t>
      </w:r>
      <w:r w:rsidR="00553059" w:rsidRPr="009901FA">
        <w:t xml:space="preserve"> </w:t>
      </w:r>
      <w:r w:rsidR="00B24D27" w:rsidRPr="009901FA">
        <w:t>Electrification</w:t>
      </w:r>
      <w:r w:rsidR="007E7D32" w:rsidRPr="009901FA">
        <w:t xml:space="preserve"> enablers – sodium-based batteries and </w:t>
      </w:r>
      <w:r w:rsidR="00793044" w:rsidRPr="009901FA">
        <w:t>small nuclear reactors (SMR) and nuclear micro reactors (NMR)</w:t>
      </w:r>
      <w:bookmarkEnd w:id="25"/>
      <w:bookmarkEnd w:id="26"/>
    </w:p>
    <w:p w14:paraId="527E8ED9" w14:textId="77777777" w:rsidR="00571F43" w:rsidRPr="009901FA" w:rsidRDefault="00571F43" w:rsidP="00571F43"/>
    <w:p w14:paraId="07EB5D6B" w14:textId="72845CAD" w:rsidR="00571F43" w:rsidRPr="009901FA" w:rsidRDefault="00571F43" w:rsidP="002B721E">
      <w:r w:rsidRPr="009901FA">
        <w:rPr>
          <w:bCs/>
        </w:rPr>
        <w:t xml:space="preserve">Decarbonizing the power system requires full electrification and zero-carbon power from variable renewable energy (VRE). As VRE increases, so do balancing needs. </w:t>
      </w:r>
      <w:r w:rsidR="002B721E" w:rsidRPr="009901FA">
        <w:rPr>
          <w:bCs/>
        </w:rPr>
        <w:t>Two</w:t>
      </w:r>
      <w:r w:rsidR="00B71683" w:rsidRPr="009901FA">
        <w:rPr>
          <w:bCs/>
        </w:rPr>
        <w:t xml:space="preserve"> technologies were explored as having emerging potential to support a system that requires clean, firm power generation; sodium-based batteries</w:t>
      </w:r>
      <w:r w:rsidR="00A73924" w:rsidRPr="009901FA">
        <w:rPr>
          <w:bCs/>
        </w:rPr>
        <w:t xml:space="preserve"> and small nuclear reactors (SMR) and nuclear micro reactors (NMR).</w:t>
      </w:r>
    </w:p>
    <w:p w14:paraId="6B6B8425" w14:textId="0BC1FB82" w:rsidR="00571F43" w:rsidRPr="009901FA" w:rsidRDefault="00A73924" w:rsidP="00E40DFB">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lastRenderedPageBreak/>
        <w:t>Sodium based batteries</w:t>
      </w:r>
    </w:p>
    <w:p w14:paraId="28A26FBF" w14:textId="235E780F" w:rsidR="004E6926" w:rsidRPr="009901FA" w:rsidRDefault="004E6926" w:rsidP="004E6926">
      <w:pPr>
        <w:rPr>
          <w:bCs/>
        </w:rPr>
      </w:pPr>
      <w:r w:rsidRPr="009901FA">
        <w:rPr>
          <w:b/>
        </w:rPr>
        <w:t xml:space="preserve">Next-generation sodium-ion batteries have made significant strides in recent years, </w:t>
      </w:r>
      <w:r w:rsidR="008342C0" w:rsidRPr="009901FA">
        <w:rPr>
          <w:b/>
        </w:rPr>
        <w:t>entering low-volume commercial production and are being deployed in stationary applications such as data centers and telecoms, indicating near-commercial readiness</w:t>
      </w:r>
      <w:r w:rsidR="00610557" w:rsidRPr="009901FA">
        <w:rPr>
          <w:rStyle w:val="FootnoteReference"/>
          <w:bCs/>
        </w:rPr>
        <w:footnoteReference w:id="17"/>
      </w:r>
      <w:r w:rsidR="00610557" w:rsidRPr="009901FA">
        <w:rPr>
          <w:bCs/>
        </w:rPr>
        <w:t xml:space="preserve">. </w:t>
      </w:r>
      <w:r w:rsidRPr="009901FA">
        <w:rPr>
          <w:bCs/>
        </w:rPr>
        <w:t>These batteries are particularly well-suited for stationary energy storage, offering advantages such as low-temperature tolerance, long cycle life, and enhanced safety</w:t>
      </w:r>
      <w:r w:rsidR="005127A1" w:rsidRPr="009901FA">
        <w:rPr>
          <w:bCs/>
        </w:rPr>
        <w:t xml:space="preserve"> (</w:t>
      </w:r>
      <w:r w:rsidR="00D33742" w:rsidRPr="009901FA">
        <w:rPr>
          <w:bCs/>
        </w:rPr>
        <w:fldChar w:fldCharType="begin"/>
      </w:r>
      <w:r w:rsidR="00D33742" w:rsidRPr="009901FA">
        <w:rPr>
          <w:bCs/>
        </w:rPr>
        <w:instrText xml:space="preserve"> REF _Ref203747850 \h </w:instrText>
      </w:r>
      <w:r w:rsidR="00A247A6">
        <w:rPr>
          <w:bCs/>
        </w:rPr>
        <w:instrText xml:space="preserve"> \* MERGEFORMAT </w:instrText>
      </w:r>
      <w:r w:rsidR="00D33742" w:rsidRPr="009901FA">
        <w:rPr>
          <w:bCs/>
        </w:rPr>
      </w:r>
      <w:r w:rsidR="00D33742" w:rsidRPr="009901FA">
        <w:rPr>
          <w:bCs/>
        </w:rPr>
        <w:fldChar w:fldCharType="separate"/>
      </w:r>
      <w:r w:rsidR="00DE378F" w:rsidRPr="009901FA">
        <w:t xml:space="preserve">Exhibit </w:t>
      </w:r>
      <w:r w:rsidR="00E61394">
        <w:rPr>
          <w:noProof/>
        </w:rPr>
        <w:t>1</w:t>
      </w:r>
      <w:r w:rsidR="00DE378F" w:rsidRPr="009901FA">
        <w:t>.</w:t>
      </w:r>
      <w:r w:rsidR="00DE378F" w:rsidRPr="009901FA">
        <w:rPr>
          <w:noProof/>
        </w:rPr>
        <w:t>7</w:t>
      </w:r>
      <w:r w:rsidR="00D33742" w:rsidRPr="009901FA">
        <w:rPr>
          <w:bCs/>
        </w:rPr>
        <w:fldChar w:fldCharType="end"/>
      </w:r>
      <w:r w:rsidR="005127A1" w:rsidRPr="009901FA">
        <w:rPr>
          <w:bCs/>
        </w:rPr>
        <w:t>)</w:t>
      </w:r>
      <w:r w:rsidRPr="009901FA">
        <w:rPr>
          <w:bCs/>
        </w:rPr>
        <w:t xml:space="preserve">. While early sodium-ion batteries had energy densities around 160 Wh/kg, </w:t>
      </w:r>
      <w:r w:rsidR="00D37929" w:rsidRPr="009901FA">
        <w:rPr>
          <w:bCs/>
        </w:rPr>
        <w:t xml:space="preserve">CATL announced its second-generation sodium-ion battery, known as Naxtra, with improvements in energy density and cycle life over the first generation that makes it approaching </w:t>
      </w:r>
      <w:r w:rsidRPr="009901FA">
        <w:rPr>
          <w:bCs/>
        </w:rPr>
        <w:t>lithium iron phosphate (LFP) batteries</w:t>
      </w:r>
      <w:r w:rsidR="00A51D90" w:rsidRPr="009901FA">
        <w:rPr>
          <w:rStyle w:val="FootnoteReference"/>
          <w:bCs/>
        </w:rPr>
        <w:footnoteReference w:id="18"/>
      </w:r>
      <w:r w:rsidR="00A51D90" w:rsidRPr="009901FA">
        <w:rPr>
          <w:bCs/>
        </w:rPr>
        <w:t>.</w:t>
      </w:r>
    </w:p>
    <w:p w14:paraId="5E7F956E" w14:textId="69741772" w:rsidR="00D33742" w:rsidRPr="009901FA" w:rsidRDefault="004E6926" w:rsidP="00A55419">
      <w:r w:rsidRPr="009901FA">
        <w:rPr>
          <w:b/>
        </w:rPr>
        <w:t>Sodium-ion batteries offer a potential cost advantage over LFP due to the abundance of sodium and the use of simpler, less expensive materials, such as iron-based cathodes and </w:t>
      </w:r>
      <w:r w:rsidR="002B344D" w:rsidRPr="009901FA">
        <w:rPr>
          <w:b/>
        </w:rPr>
        <w:t>aluminium</w:t>
      </w:r>
      <w:r w:rsidRPr="009901FA">
        <w:rPr>
          <w:b/>
        </w:rPr>
        <w:t xml:space="preserve"> current collectors</w:t>
      </w:r>
      <w:r w:rsidR="00A51D90" w:rsidRPr="009901FA">
        <w:rPr>
          <w:rStyle w:val="FootnoteReference"/>
          <w:b/>
          <w:bCs/>
        </w:rPr>
        <w:footnoteReference w:id="19"/>
      </w:r>
      <w:r w:rsidR="00A51D90" w:rsidRPr="009901FA">
        <w:rPr>
          <w:bCs/>
        </w:rPr>
        <w:t xml:space="preserve">. </w:t>
      </w:r>
      <w:r w:rsidRPr="009901FA">
        <w:rPr>
          <w:bCs/>
        </w:rPr>
        <w:t>However, these cost benefits are contingent on achieving manufacturing scale comparable to lithium-ion technologies. At present, low production volumes result in higher per-unit costs. Additionally, sodium-ion batteries still face limitations in energy density, which restricts their use in electric vehicles. Nonetheless, techno-economic models suggest that sodium-ion batteries could become cost-competitive with low-cost lithium-ion variants by the 2030s, especially as energy density and performance continue to improve</w:t>
      </w:r>
      <w:r w:rsidR="00264BFD" w:rsidRPr="009901FA">
        <w:rPr>
          <w:rStyle w:val="FootnoteReference"/>
          <w:bCs/>
        </w:rPr>
        <w:footnoteReference w:id="20"/>
      </w:r>
      <w:r w:rsidR="00264BFD" w:rsidRPr="009901FA">
        <w:rPr>
          <w:bCs/>
        </w:rPr>
        <w:t xml:space="preserve">. </w:t>
      </w:r>
      <w:r w:rsidRPr="009901FA">
        <w:rPr>
          <w:bCs/>
        </w:rPr>
        <w:t>Rather than competing directly, sodium-ion and lithium-ion technologies are increasingly seen as complementary, with potential convergence in scalability and technical performance.</w:t>
      </w:r>
      <w:r w:rsidR="00A55419" w:rsidRPr="009901FA">
        <w:t xml:space="preserve"> </w:t>
      </w:r>
    </w:p>
    <w:p w14:paraId="5F947334" w14:textId="34906949" w:rsidR="00D33742" w:rsidRPr="009901FA" w:rsidRDefault="00D33742" w:rsidP="00D33742">
      <w:pPr>
        <w:pStyle w:val="Caption"/>
        <w:keepNext/>
      </w:pPr>
      <w:bookmarkStart w:id="27" w:name="_Ref203747850"/>
      <w:r w:rsidRPr="009901FA">
        <w:lastRenderedPageBreak/>
        <w:t xml:space="preserve">Exhibit </w:t>
      </w:r>
      <w:r w:rsidR="00E61394">
        <w:t>1</w:t>
      </w:r>
      <w:r w:rsidR="008725B4" w:rsidRPr="009901FA">
        <w:t>.</w:t>
      </w:r>
      <w:fldSimple w:instr=" SEQ Exhibit \* ARABIC \s 2 ">
        <w:r w:rsidR="00DE378F" w:rsidRPr="009901FA">
          <w:rPr>
            <w:noProof/>
          </w:rPr>
          <w:t>7</w:t>
        </w:r>
      </w:fldSimple>
      <w:bookmarkEnd w:id="27"/>
    </w:p>
    <w:p w14:paraId="14DE0A35" w14:textId="1E9F5D89" w:rsidR="00571F43" w:rsidRPr="009901FA" w:rsidRDefault="000817A4" w:rsidP="00541F67">
      <w:r w:rsidRPr="009901FA">
        <w:rPr>
          <w:noProof/>
        </w:rPr>
        <w:drawing>
          <wp:inline distT="0" distB="0" distL="0" distR="0" wp14:anchorId="62D41B06" wp14:editId="75144547">
            <wp:extent cx="6263640" cy="3523615"/>
            <wp:effectExtent l="0" t="0" r="0" b="0"/>
            <wp:docPr id="10913180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3180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6263640" cy="3523615"/>
                    </a:xfrm>
                    <a:prstGeom prst="rect">
                      <a:avLst/>
                    </a:prstGeom>
                  </pic:spPr>
                </pic:pic>
              </a:graphicData>
            </a:graphic>
          </wp:inline>
        </w:drawing>
      </w:r>
    </w:p>
    <w:p w14:paraId="3D653ABA" w14:textId="6CAF60BA" w:rsidR="00571F43" w:rsidRPr="009901FA" w:rsidRDefault="00571F43" w:rsidP="005468AF">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rPr>
        <w:t>Nuclear fission: Small Nuclear Reactors (SMR) and Nuclear Micro Reactors (NMR)</w:t>
      </w:r>
      <w:r w:rsidRPr="009901FA">
        <w:rPr>
          <w:b/>
          <w:bCs/>
          <w:sz w:val="28"/>
          <w:szCs w:val="28"/>
        </w:rPr>
        <w:t xml:space="preserve"> </w:t>
      </w:r>
    </w:p>
    <w:p w14:paraId="400C5A97" w14:textId="37F5F653" w:rsidR="00FB383C" w:rsidRPr="009901FA" w:rsidRDefault="00FB383C" w:rsidP="00FB383C">
      <w:r w:rsidRPr="009901FA">
        <w:rPr>
          <w:b/>
          <w:bCs/>
        </w:rPr>
        <w:t>Nuclear energy has re-emerged as a strategic clean power option, driven by surging electricity demand from data centers and Big Tech’s push for reliable, dispatchable energy</w:t>
      </w:r>
      <w:r w:rsidRPr="009901FA">
        <w:t>. In 2024, Google, Microsoft, and Amazon announced major investments in nuclear, positioning it as a central theme in clean energy investment.</w:t>
      </w:r>
      <w:r w:rsidRPr="009901FA">
        <w:rPr>
          <w:rStyle w:val="FootnoteReference"/>
        </w:rPr>
        <w:t xml:space="preserve"> </w:t>
      </w:r>
      <w:r w:rsidRPr="009901FA">
        <w:rPr>
          <w:rStyle w:val="FootnoteReference"/>
        </w:rPr>
        <w:footnoteReference w:id="21"/>
      </w:r>
      <w:r w:rsidRPr="009901FA">
        <w:t xml:space="preserve">  Small Modular Reactors (SMRs, &lt;300 MW) and microreactors (&lt;50 MW) are gaining attention for their scalability, shorter construction timelines, and potential for lower costs compared to traditional nuclear plants</w:t>
      </w:r>
      <w:r w:rsidR="00626EC6" w:rsidRPr="009901FA">
        <w:rPr>
          <w:rStyle w:val="FootnoteReference"/>
        </w:rPr>
        <w:footnoteReference w:id="22"/>
      </w:r>
      <w:r w:rsidRPr="009901FA">
        <w:t>. These designs include both conventional technologies like Light-Water Reactors and advanced systems such as Molten Salt and Liquid Lead-Cooled Reactors.</w:t>
      </w:r>
    </w:p>
    <w:p w14:paraId="34FC1EFC" w14:textId="31850C69" w:rsidR="00FB383C" w:rsidRPr="009901FA" w:rsidRDefault="00FB383C" w:rsidP="00FB383C">
      <w:r w:rsidRPr="009901FA">
        <w:rPr>
          <w:b/>
          <w:bCs/>
        </w:rPr>
        <w:t>Despite growing interest, SMRs and microreactors face significant barriers.</w:t>
      </w:r>
      <w:r w:rsidRPr="009901FA">
        <w:t xml:space="preserve"> These include high upfront costs, complex licensing, low technical readiness (TRL 3–5 for many advanced designs), and an underdeveloped supply chain. While modular construction could reduce levelized costs of electricity (LCOE) through faster deployment and simplified safety systems, real-world challenges persist. The cancellation of NuScale’s SMR project in 2023 due to escalating costs ($20,000/kW) highlights these risks</w:t>
      </w:r>
      <w:r w:rsidR="00AF3149" w:rsidRPr="009901FA">
        <w:rPr>
          <w:rStyle w:val="FootnoteReference"/>
        </w:rPr>
        <w:footnoteReference w:id="23"/>
      </w:r>
      <w:r w:rsidRPr="009901FA">
        <w:t>. Advanced SMRs may offer lower projected costs ($4,000–</w:t>
      </w:r>
      <w:r w:rsidRPr="009901FA">
        <w:lastRenderedPageBreak/>
        <w:t>6,000/kW)</w:t>
      </w:r>
      <w:r w:rsidR="00426201" w:rsidRPr="009901FA">
        <w:rPr>
          <w:vertAlign w:val="superscript"/>
        </w:rPr>
        <w:t xml:space="preserve"> </w:t>
      </w:r>
      <w:r w:rsidR="00426201" w:rsidRPr="009901FA">
        <w:t>due to lower fuel and safety costs, simpler regulator and potentially faster deployment</w:t>
      </w:r>
      <w:r w:rsidR="00426201" w:rsidRPr="009901FA">
        <w:rPr>
          <w:vertAlign w:val="superscript"/>
        </w:rPr>
        <w:t xml:space="preserve"> 28</w:t>
      </w:r>
      <w:r w:rsidR="00426201" w:rsidRPr="009901FA">
        <w:rPr>
          <w:rStyle w:val="FootnoteReference"/>
        </w:rPr>
        <w:footnoteReference w:id="24"/>
      </w:r>
      <w:r w:rsidR="00426201" w:rsidRPr="009901FA">
        <w:t>. B</w:t>
      </w:r>
      <w:r w:rsidRPr="009901FA">
        <w:t xml:space="preserve">ut commercialization is unlikely before the late 2030s. Environmental concerns, waste disposal, and public opposition also remain </w:t>
      </w:r>
      <w:r w:rsidR="00B54C4C" w:rsidRPr="009901FA">
        <w:t>a</w:t>
      </w:r>
      <w:r w:rsidRPr="009901FA">
        <w:t xml:space="preserve"> hurdle</w:t>
      </w:r>
      <w:r w:rsidR="006C4EA5" w:rsidRPr="009901FA">
        <w:t>.</w:t>
      </w:r>
    </w:p>
    <w:p w14:paraId="6377D074" w14:textId="53DD53D9" w:rsidR="001546CD" w:rsidRPr="009901FA" w:rsidRDefault="005C4C40" w:rsidP="001546CD">
      <w:pPr>
        <w:pStyle w:val="Heading3"/>
      </w:pPr>
      <w:bookmarkStart w:id="28" w:name="_Toc205392448"/>
      <w:bookmarkStart w:id="29" w:name="_Toc205554217"/>
      <w:r>
        <w:t>1</w:t>
      </w:r>
      <w:r w:rsidR="001546CD" w:rsidRPr="009901FA">
        <w:t>.</w:t>
      </w:r>
      <w:r w:rsidR="00B24D27" w:rsidRPr="009901FA">
        <w:t>5</w:t>
      </w:r>
      <w:r w:rsidR="001546CD" w:rsidRPr="009901FA">
        <w:t xml:space="preserve"> </w:t>
      </w:r>
      <w:r w:rsidR="00863320" w:rsidRPr="009901FA">
        <w:t>A maximum electrification unconstrained power supply scenario.</w:t>
      </w:r>
      <w:bookmarkEnd w:id="28"/>
      <w:bookmarkEnd w:id="29"/>
    </w:p>
    <w:p w14:paraId="6DBE3D6B" w14:textId="01EF43A5" w:rsidR="00D33742" w:rsidRPr="009901FA" w:rsidRDefault="00D20177" w:rsidP="00916066">
      <w:pPr>
        <w:rPr>
          <w:noProof/>
        </w:rPr>
      </w:pPr>
      <w:r w:rsidRPr="009901FA">
        <w:rPr>
          <w:noProof/>
        </w:rPr>
        <w:t xml:space="preserve"> </w:t>
      </w:r>
    </w:p>
    <w:bookmarkStart w:id="30" w:name="_Ref203747868"/>
    <w:p w14:paraId="1CD2FB4D" w14:textId="3468F0AE" w:rsidR="00131982" w:rsidRPr="009901FA" w:rsidRDefault="00137D30" w:rsidP="00131982">
      <w:pPr>
        <w:pStyle w:val="Caption"/>
        <w:keepNext/>
        <w:rPr>
          <w:b w:val="0"/>
          <w:bCs w:val="0"/>
          <w:color w:val="auto"/>
          <w:spacing w:val="0"/>
        </w:rPr>
      </w:pPr>
      <w:r w:rsidRPr="009901FA">
        <w:rPr>
          <w:b w:val="0"/>
          <w:bCs w:val="0"/>
          <w:color w:val="auto"/>
          <w:spacing w:val="0"/>
        </w:rPr>
        <w:fldChar w:fldCharType="begin"/>
      </w:r>
      <w:r w:rsidRPr="009901FA">
        <w:rPr>
          <w:b w:val="0"/>
          <w:bCs w:val="0"/>
          <w:color w:val="auto"/>
          <w:spacing w:val="0"/>
        </w:rPr>
        <w:instrText xml:space="preserve"> REF _Ref205389074 \h </w:instrText>
      </w:r>
      <w:r w:rsidR="00A247A6">
        <w:rPr>
          <w:b w:val="0"/>
          <w:bCs w:val="0"/>
          <w:color w:val="auto"/>
          <w:spacing w:val="0"/>
        </w:rPr>
        <w:instrText xml:space="preserve"> \* MERGEFORMAT </w:instrText>
      </w:r>
      <w:r w:rsidRPr="009901FA">
        <w:rPr>
          <w:b w:val="0"/>
          <w:bCs w:val="0"/>
          <w:color w:val="auto"/>
          <w:spacing w:val="0"/>
        </w:rPr>
      </w:r>
      <w:r w:rsidRPr="009901FA">
        <w:rPr>
          <w:b w:val="0"/>
          <w:bCs w:val="0"/>
          <w:color w:val="auto"/>
          <w:spacing w:val="0"/>
        </w:rPr>
        <w:fldChar w:fldCharType="separate"/>
      </w:r>
      <w:r w:rsidR="00DE378F" w:rsidRPr="009901FA">
        <w:t xml:space="preserve">Exhibit </w:t>
      </w:r>
      <w:r w:rsidR="00E61394">
        <w:rPr>
          <w:noProof/>
        </w:rPr>
        <w:t>1</w:t>
      </w:r>
      <w:r w:rsidR="00DE378F" w:rsidRPr="009901FA">
        <w:t>.</w:t>
      </w:r>
      <w:r w:rsidR="00DE378F" w:rsidRPr="009901FA">
        <w:rPr>
          <w:noProof/>
        </w:rPr>
        <w:t>8</w:t>
      </w:r>
      <w:r w:rsidRPr="009901FA">
        <w:rPr>
          <w:b w:val="0"/>
          <w:bCs w:val="0"/>
          <w:color w:val="auto"/>
          <w:spacing w:val="0"/>
        </w:rPr>
        <w:fldChar w:fldCharType="end"/>
      </w:r>
      <w:r w:rsidR="00131982" w:rsidRPr="009901FA">
        <w:rPr>
          <w:b w:val="0"/>
          <w:bCs w:val="0"/>
          <w:color w:val="auto"/>
          <w:spacing w:val="0"/>
        </w:rPr>
        <w:t xml:space="preserve"> presents an assessment of the potential impact of the electrification technologies considered under a scenario of maximum electrification and unconstrained clean power supply. </w:t>
      </w:r>
      <w:r w:rsidR="005364A6" w:rsidRPr="009901FA">
        <w:rPr>
          <w:b w:val="0"/>
          <w:bCs w:val="0"/>
          <w:color w:val="auto"/>
          <w:spacing w:val="0"/>
        </w:rPr>
        <w:t>The combination of the technologies assessed could eventually lift electricity to 77% of final energy demand, t</w:t>
      </w:r>
      <w:r w:rsidR="00131982" w:rsidRPr="009901FA">
        <w:rPr>
          <w:b w:val="0"/>
          <w:bCs w:val="0"/>
          <w:color w:val="auto"/>
          <w:spacing w:val="0"/>
        </w:rPr>
        <w:t>he share of hydrogen would decline from 8% to 6%, while the contribution of carbon-based energy carriers would fall from 22% to 17%.</w:t>
      </w:r>
    </w:p>
    <w:p w14:paraId="64FF675A" w14:textId="5F0B19D8" w:rsidR="00131982" w:rsidRPr="009901FA" w:rsidRDefault="00EB6C6C" w:rsidP="00131982">
      <w:pPr>
        <w:pStyle w:val="Caption"/>
        <w:keepNext/>
        <w:rPr>
          <w:b w:val="0"/>
          <w:bCs w:val="0"/>
          <w:color w:val="auto"/>
          <w:spacing w:val="0"/>
        </w:rPr>
      </w:pPr>
      <w:r w:rsidRPr="009901FA">
        <w:rPr>
          <w:b w:val="0"/>
          <w:bCs w:val="0"/>
          <w:color w:val="auto"/>
          <w:spacing w:val="0"/>
        </w:rPr>
        <w:fldChar w:fldCharType="begin"/>
      </w:r>
      <w:r w:rsidRPr="009901FA">
        <w:rPr>
          <w:b w:val="0"/>
          <w:bCs w:val="0"/>
          <w:color w:val="auto"/>
          <w:spacing w:val="0"/>
        </w:rPr>
        <w:instrText xml:space="preserve"> REF _Ref203747888 \h </w:instrText>
      </w:r>
      <w:r w:rsidR="00A247A6">
        <w:rPr>
          <w:b w:val="0"/>
          <w:bCs w:val="0"/>
          <w:color w:val="auto"/>
          <w:spacing w:val="0"/>
        </w:rPr>
        <w:instrText xml:space="preserve"> \* MERGEFORMAT </w:instrText>
      </w:r>
      <w:r w:rsidRPr="009901FA">
        <w:rPr>
          <w:b w:val="0"/>
          <w:bCs w:val="0"/>
          <w:color w:val="auto"/>
          <w:spacing w:val="0"/>
        </w:rPr>
      </w:r>
      <w:r w:rsidRPr="009901FA">
        <w:rPr>
          <w:b w:val="0"/>
          <w:bCs w:val="0"/>
          <w:color w:val="auto"/>
          <w:spacing w:val="0"/>
        </w:rPr>
        <w:fldChar w:fldCharType="separate"/>
      </w:r>
      <w:r w:rsidR="00DE378F" w:rsidRPr="009901FA">
        <w:t xml:space="preserve">Exhibit </w:t>
      </w:r>
      <w:r w:rsidR="00E61394">
        <w:rPr>
          <w:noProof/>
        </w:rPr>
        <w:t>1</w:t>
      </w:r>
      <w:r w:rsidR="00DE378F" w:rsidRPr="009901FA">
        <w:t>.</w:t>
      </w:r>
      <w:r w:rsidR="00DE378F" w:rsidRPr="009901FA">
        <w:rPr>
          <w:noProof/>
        </w:rPr>
        <w:t>9</w:t>
      </w:r>
      <w:r w:rsidRPr="009901FA">
        <w:rPr>
          <w:b w:val="0"/>
          <w:bCs w:val="0"/>
          <w:color w:val="auto"/>
          <w:spacing w:val="0"/>
        </w:rPr>
        <w:fldChar w:fldCharType="end"/>
      </w:r>
      <w:r w:rsidR="00F324FB" w:rsidRPr="009901FA">
        <w:rPr>
          <w:b w:val="0"/>
          <w:bCs w:val="0"/>
          <w:color w:val="auto"/>
          <w:spacing w:val="0"/>
        </w:rPr>
        <w:t xml:space="preserve"> </w:t>
      </w:r>
      <w:r w:rsidR="00131982" w:rsidRPr="009901FA">
        <w:rPr>
          <w:b w:val="0"/>
          <w:bCs w:val="0"/>
          <w:color w:val="auto"/>
          <w:spacing w:val="0"/>
        </w:rPr>
        <w:t xml:space="preserve">illustrates the implications for demand for carbon molecules and hydrogen, expressed in terms of the final energy they supply. Carbon-based final energy demand falls from 18,600 TWh in the PBS scenario to 14,300 TWh. This </w:t>
      </w:r>
      <w:r w:rsidR="00671FFC" w:rsidRPr="009901FA">
        <w:rPr>
          <w:b w:val="0"/>
          <w:bCs w:val="0"/>
          <w:color w:val="auto"/>
          <w:spacing w:val="0"/>
        </w:rPr>
        <w:t>would imply a</w:t>
      </w:r>
      <w:r w:rsidR="00131982" w:rsidRPr="009901FA">
        <w:rPr>
          <w:b w:val="0"/>
          <w:bCs w:val="0"/>
          <w:color w:val="auto"/>
          <w:spacing w:val="0"/>
        </w:rPr>
        <w:t xml:space="preserve"> reduction in carbon use for energy</w:t>
      </w:r>
      <w:r w:rsidR="00671FFC" w:rsidRPr="009901FA">
        <w:rPr>
          <w:b w:val="0"/>
          <w:bCs w:val="0"/>
          <w:color w:val="auto"/>
          <w:spacing w:val="0"/>
        </w:rPr>
        <w:t xml:space="preserve"> uses</w:t>
      </w:r>
      <w:r w:rsidR="00131982" w:rsidRPr="009901FA">
        <w:rPr>
          <w:b w:val="0"/>
          <w:bCs w:val="0"/>
          <w:color w:val="auto"/>
          <w:spacing w:val="0"/>
        </w:rPr>
        <w:t xml:space="preserve"> from </w:t>
      </w:r>
      <w:r w:rsidR="004474DA">
        <w:rPr>
          <w:b w:val="0"/>
          <w:bCs w:val="0"/>
          <w:color w:val="auto"/>
          <w:spacing w:val="0"/>
        </w:rPr>
        <w:t>2.2</w:t>
      </w:r>
      <w:r w:rsidR="00131982" w:rsidRPr="009901FA">
        <w:rPr>
          <w:b w:val="0"/>
          <w:bCs w:val="0"/>
          <w:color w:val="auto"/>
          <w:spacing w:val="0"/>
        </w:rPr>
        <w:t xml:space="preserve"> Gt to </w:t>
      </w:r>
      <w:r w:rsidR="006124CE" w:rsidRPr="009901FA">
        <w:rPr>
          <w:b w:val="0"/>
          <w:bCs w:val="0"/>
          <w:color w:val="auto"/>
          <w:spacing w:val="0"/>
        </w:rPr>
        <w:t>1.</w:t>
      </w:r>
      <w:r w:rsidR="004474DA">
        <w:rPr>
          <w:b w:val="0"/>
          <w:bCs w:val="0"/>
          <w:color w:val="auto"/>
          <w:spacing w:val="0"/>
        </w:rPr>
        <w:t>9</w:t>
      </w:r>
      <w:r w:rsidR="00131982" w:rsidRPr="009901FA">
        <w:rPr>
          <w:b w:val="0"/>
          <w:bCs w:val="0"/>
          <w:color w:val="auto"/>
          <w:spacing w:val="0"/>
        </w:rPr>
        <w:t xml:space="preserve"> Gt. The two</w:t>
      </w:r>
      <w:r w:rsidR="000D31F4" w:rsidRPr="009901FA">
        <w:rPr>
          <w:b w:val="0"/>
          <w:bCs w:val="0"/>
          <w:color w:val="auto"/>
          <w:spacing w:val="0"/>
        </w:rPr>
        <w:t xml:space="preserve"> largest potential drivers of reduced demand are a transition within steel-making to electrowinning or MOE, and the electrification of heat input to cement making</w:t>
      </w:r>
      <w:r w:rsidR="00131982" w:rsidRPr="009901FA">
        <w:rPr>
          <w:b w:val="0"/>
          <w:bCs w:val="0"/>
          <w:color w:val="auto"/>
          <w:spacing w:val="0"/>
        </w:rPr>
        <w:t>.</w:t>
      </w:r>
    </w:p>
    <w:p w14:paraId="214E5569" w14:textId="77777777" w:rsidR="00F43CAB" w:rsidRPr="009901FA" w:rsidRDefault="00F43CAB" w:rsidP="00131982">
      <w:pPr>
        <w:pStyle w:val="Caption"/>
        <w:keepNext/>
        <w:rPr>
          <w:b w:val="0"/>
          <w:bCs w:val="0"/>
          <w:color w:val="auto"/>
          <w:spacing w:val="0"/>
        </w:rPr>
      </w:pPr>
      <w:r w:rsidRPr="009901FA">
        <w:rPr>
          <w:b w:val="0"/>
          <w:bCs w:val="0"/>
          <w:color w:val="auto"/>
          <w:spacing w:val="0"/>
        </w:rPr>
        <w:t xml:space="preserve">The analysis illustrates the significant long-term potential for even greater electrification than assumed in our ACF and PBS scenarios. But it also shows that even in the most extreme electrification scenarios, and even in the very long term, </w:t>
      </w:r>
      <w:r w:rsidRPr="009901FA">
        <w:rPr>
          <w:b w:val="0"/>
          <w:bCs w:val="0"/>
          <w:color w:val="auto"/>
          <w:spacing w:val="0"/>
        </w:rPr>
        <w:lastRenderedPageBreak/>
        <w:t>there will be an irreducible demand for significant carbon inputs into the energy system.</w:t>
      </w:r>
    </w:p>
    <w:p w14:paraId="36471B25" w14:textId="2DF2E320" w:rsidR="00D33742" w:rsidRPr="009901FA" w:rsidRDefault="00D33742" w:rsidP="00131982">
      <w:pPr>
        <w:pStyle w:val="Caption"/>
        <w:keepNext/>
      </w:pPr>
      <w:bookmarkStart w:id="31" w:name="_Ref205389074"/>
      <w:bookmarkEnd w:id="30"/>
      <w:r w:rsidRPr="009901FA">
        <w:t xml:space="preserve">Exhibit </w:t>
      </w:r>
      <w:r w:rsidR="00E61394">
        <w:t>1</w:t>
      </w:r>
      <w:r w:rsidR="008725B4" w:rsidRPr="009901FA">
        <w:t>.</w:t>
      </w:r>
      <w:fldSimple w:instr=" SEQ Exhibit \* ARABIC \s 2 ">
        <w:r w:rsidR="00DE378F" w:rsidRPr="009901FA">
          <w:rPr>
            <w:noProof/>
          </w:rPr>
          <w:t>8</w:t>
        </w:r>
      </w:fldSimple>
      <w:bookmarkEnd w:id="31"/>
      <w:r w:rsidR="00863320" w:rsidRPr="009901FA">
        <w:rPr>
          <w:noProof/>
        </w:rPr>
        <w:drawing>
          <wp:inline distT="0" distB="0" distL="0" distR="0" wp14:anchorId="6623182B" wp14:editId="182322C5">
            <wp:extent cx="6263640" cy="3523615"/>
            <wp:effectExtent l="0" t="0" r="0" b="635"/>
            <wp:docPr id="173789803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898038"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6263640" cy="3523615"/>
                    </a:xfrm>
                    <a:prstGeom prst="rect">
                      <a:avLst/>
                    </a:prstGeom>
                  </pic:spPr>
                </pic:pic>
              </a:graphicData>
            </a:graphic>
          </wp:inline>
        </w:drawing>
      </w:r>
    </w:p>
    <w:p w14:paraId="3A877430" w14:textId="3343D36F" w:rsidR="00916066" w:rsidRPr="009901FA" w:rsidRDefault="00916066" w:rsidP="00916066"/>
    <w:p w14:paraId="7E971E63" w14:textId="77777777" w:rsidR="00647EC3" w:rsidRPr="009901FA" w:rsidRDefault="00647EC3" w:rsidP="00C33B09">
      <w:pPr>
        <w:pStyle w:val="ListParagraph"/>
        <w:spacing w:after="200"/>
        <w:ind w:left="360"/>
        <w:rPr>
          <w:b/>
          <w:bCs/>
          <w:color w:val="00146D" w:themeColor="text2"/>
        </w:rPr>
      </w:pPr>
    </w:p>
    <w:p w14:paraId="152AE3C3" w14:textId="4DCFFB40" w:rsidR="00D33742" w:rsidRPr="009901FA" w:rsidRDefault="00D33742" w:rsidP="00D33742">
      <w:pPr>
        <w:pStyle w:val="Caption"/>
        <w:keepNext/>
      </w:pPr>
      <w:bookmarkStart w:id="32" w:name="_Ref203747888"/>
      <w:r w:rsidRPr="009901FA">
        <w:t xml:space="preserve">Exhibit </w:t>
      </w:r>
      <w:r w:rsidR="00E61394">
        <w:t>1</w:t>
      </w:r>
      <w:r w:rsidR="008725B4" w:rsidRPr="009901FA">
        <w:t>.</w:t>
      </w:r>
      <w:fldSimple w:instr=" SEQ Exhibit \* ARABIC \s 2 ">
        <w:r w:rsidR="00DE378F" w:rsidRPr="009901FA">
          <w:rPr>
            <w:noProof/>
          </w:rPr>
          <w:t>9</w:t>
        </w:r>
      </w:fldSimple>
      <w:bookmarkEnd w:id="32"/>
    </w:p>
    <w:p w14:paraId="68CAC1AF" w14:textId="6D5A2719" w:rsidR="00C33B09" w:rsidRPr="009901FA" w:rsidRDefault="00863320" w:rsidP="00916066">
      <w:r w:rsidRPr="009901FA">
        <w:rPr>
          <w:noProof/>
        </w:rPr>
        <w:drawing>
          <wp:inline distT="0" distB="0" distL="0" distR="0" wp14:anchorId="369AEC02" wp14:editId="6DC2ACED">
            <wp:extent cx="6263640" cy="3523615"/>
            <wp:effectExtent l="0" t="0" r="3810" b="0"/>
            <wp:docPr id="193648329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48329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6263640" cy="3523615"/>
                    </a:xfrm>
                    <a:prstGeom prst="rect">
                      <a:avLst/>
                    </a:prstGeom>
                  </pic:spPr>
                </pic:pic>
              </a:graphicData>
            </a:graphic>
          </wp:inline>
        </w:drawing>
      </w:r>
    </w:p>
    <w:p w14:paraId="55D0F781" w14:textId="6651BEBC" w:rsidR="0014396B" w:rsidRPr="000E0EB1" w:rsidRDefault="005C4C40" w:rsidP="00734D3B">
      <w:pPr>
        <w:pStyle w:val="Heading2"/>
        <w:numPr>
          <w:ilvl w:val="0"/>
          <w:numId w:val="6"/>
        </w:numPr>
        <w:spacing w:before="60" w:line="259" w:lineRule="auto"/>
        <w:ind w:left="907" w:hanging="510"/>
        <w:rPr>
          <w:b/>
          <w:bCs/>
          <w:smallCaps/>
          <w:color w:val="00146D" w:themeColor="text2"/>
          <w:szCs w:val="40"/>
        </w:rPr>
      </w:pPr>
      <w:bookmarkStart w:id="33" w:name="_Toc205392449"/>
      <w:bookmarkStart w:id="34" w:name="_Toc205554218"/>
      <w:r w:rsidRPr="000E0EB1">
        <w:rPr>
          <w:b/>
          <w:bCs/>
          <w:smallCaps/>
          <w:color w:val="00146D" w:themeColor="text2"/>
          <w:szCs w:val="40"/>
        </w:rPr>
        <w:lastRenderedPageBreak/>
        <w:t>t</w:t>
      </w:r>
      <w:r w:rsidR="00916066" w:rsidRPr="000E0EB1">
        <w:rPr>
          <w:b/>
          <w:bCs/>
          <w:smallCaps/>
          <w:color w:val="00146D" w:themeColor="text2"/>
          <w:szCs w:val="40"/>
        </w:rPr>
        <w:t>he role of hydrogen</w:t>
      </w:r>
      <w:bookmarkEnd w:id="33"/>
      <w:bookmarkEnd w:id="34"/>
    </w:p>
    <w:p w14:paraId="39096A85" w14:textId="77777777" w:rsidR="009E1CAD" w:rsidRPr="009901FA" w:rsidRDefault="009E1CAD" w:rsidP="001C5E81"/>
    <w:p w14:paraId="2126BA71" w14:textId="502D4F4F" w:rsidR="00811C15" w:rsidRPr="009901FA" w:rsidRDefault="00462BD8" w:rsidP="00811C15">
      <w:r w:rsidRPr="00462BD8">
        <w:t>Many projections of the role that hydrogen and non-carbon hydrogen derivatives will play in the energy transition have been revised down over the last five years</w:t>
      </w:r>
      <w:r w:rsidR="00811C15" w:rsidRPr="009901FA">
        <w:t xml:space="preserve">. </w:t>
      </w:r>
      <w:r>
        <w:t xml:space="preserve">The </w:t>
      </w:r>
      <w:r w:rsidR="00811C15" w:rsidRPr="009901FA">
        <w:t xml:space="preserve"> IEA, BloombergNEF, and the Hydrogen Council have all reduced their projections for global hydrogen demand in 2030 and 2050</w:t>
      </w:r>
      <w:r w:rsidR="0075479F" w:rsidRPr="009901FA">
        <w:rPr>
          <w:rStyle w:val="FootnoteReference"/>
        </w:rPr>
        <w:footnoteReference w:id="25"/>
      </w:r>
      <w:r w:rsidR="00811C15" w:rsidRPr="009901FA">
        <w:t xml:space="preserve">. At the ETC, our 2020 report </w:t>
      </w:r>
      <w:r w:rsidR="00811C15" w:rsidRPr="009901FA">
        <w:rPr>
          <w:i/>
        </w:rPr>
        <w:t>Hydrogen: A Critical Pathway</w:t>
      </w:r>
      <w:r w:rsidR="00811C15" w:rsidRPr="009901FA">
        <w:t xml:space="preserve"> estimated potential global demand in 2050 at up to 800 million tonnes. However, by 2023, in our </w:t>
      </w:r>
      <w:r w:rsidR="00811C15" w:rsidRPr="009901FA">
        <w:rPr>
          <w:i/>
        </w:rPr>
        <w:t>Fossil Fuels in Transition</w:t>
      </w:r>
      <w:r w:rsidR="00811C15" w:rsidRPr="009901FA">
        <w:t xml:space="preserve"> report</w:t>
      </w:r>
      <w:r w:rsidR="00D571C8">
        <w:t xml:space="preserve"> and in subsequent revisions</w:t>
      </w:r>
      <w:r w:rsidR="00811C15" w:rsidRPr="009901FA">
        <w:t>, we ha</w:t>
      </w:r>
      <w:r w:rsidR="00190550">
        <w:t>ve</w:t>
      </w:r>
      <w:r w:rsidR="00811C15" w:rsidRPr="009901FA">
        <w:t xml:space="preserve"> </w:t>
      </w:r>
      <w:r w:rsidR="00912B9F">
        <w:t>reduced this</w:t>
      </w:r>
      <w:r w:rsidR="00811C15" w:rsidRPr="009901FA">
        <w:t xml:space="preserve"> estimate down to between </w:t>
      </w:r>
      <w:r w:rsidR="00190550">
        <w:t>390</w:t>
      </w:r>
      <w:r w:rsidR="00811C15" w:rsidRPr="009901FA">
        <w:t xml:space="preserve"> million tonnes under the </w:t>
      </w:r>
      <w:r w:rsidR="00811C15" w:rsidRPr="009901FA">
        <w:rPr>
          <w:i/>
        </w:rPr>
        <w:t>Accelerated but Feasible</w:t>
      </w:r>
      <w:r w:rsidR="00811C15" w:rsidRPr="009901FA">
        <w:t xml:space="preserve"> (ACF) scenario</w:t>
      </w:r>
      <w:r w:rsidR="00D571C8">
        <w:t xml:space="preserve"> and</w:t>
      </w:r>
      <w:r w:rsidR="00190550">
        <w:t xml:space="preserve"> 480 million tonnes under </w:t>
      </w:r>
      <w:r w:rsidR="00190550">
        <w:rPr>
          <w:i/>
          <w:iCs/>
        </w:rPr>
        <w:t>Possible but stretching (PBS)</w:t>
      </w:r>
      <w:r w:rsidR="00EF4FDD">
        <w:t>.</w:t>
      </w:r>
    </w:p>
    <w:p w14:paraId="3F1AAE0D" w14:textId="561F5C15" w:rsidR="005B58FE" w:rsidRDefault="00811C15" w:rsidP="005B58FE">
      <w:r w:rsidRPr="009901FA">
        <w:t>These revised projections reflect:</w:t>
      </w:r>
    </w:p>
    <w:p w14:paraId="0699677C" w14:textId="77777777" w:rsidR="005B58FE" w:rsidRDefault="001C2275" w:rsidP="005B58FE">
      <w:pPr>
        <w:pStyle w:val="ListParagraph"/>
        <w:numPr>
          <w:ilvl w:val="0"/>
          <w:numId w:val="66"/>
        </w:numPr>
      </w:pPr>
      <w:r>
        <w:t xml:space="preserve">More rapid progress than anticipated in </w:t>
      </w:r>
      <w:r w:rsidR="00811C15" w:rsidRPr="009901FA">
        <w:t>battery</w:t>
      </w:r>
      <w:r>
        <w:t xml:space="preserve"> and other</w:t>
      </w:r>
      <w:r w:rsidR="00811C15" w:rsidRPr="009901FA">
        <w:t xml:space="preserve"> technologies</w:t>
      </w:r>
      <w:r w:rsidR="00CB3F58">
        <w:t xml:space="preserve"> which enable direct ele</w:t>
      </w:r>
      <w:r w:rsidR="00811C15" w:rsidRPr="009901FA">
        <w:t>ctrification</w:t>
      </w:r>
    </w:p>
    <w:p w14:paraId="66D03747" w14:textId="12CE121C" w:rsidR="005B58FE" w:rsidRDefault="00811C15" w:rsidP="005B58FE">
      <w:pPr>
        <w:pStyle w:val="ListParagraph"/>
        <w:numPr>
          <w:ilvl w:val="0"/>
          <w:numId w:val="66"/>
        </w:numPr>
      </w:pPr>
      <w:r w:rsidRPr="009901FA">
        <w:t>Slower</w:t>
      </w:r>
      <w:r w:rsidR="00CB3F58">
        <w:t xml:space="preserve"> progress than anticipated in reducing the cost of green hydrogen, primarily because of higher than predicted </w:t>
      </w:r>
      <w:r w:rsidRPr="009901FA">
        <w:t>electrolyser capital costs</w:t>
      </w:r>
    </w:p>
    <w:p w14:paraId="7C55694D" w14:textId="58CB022C" w:rsidR="005B58FE" w:rsidRPr="00801951" w:rsidRDefault="00583D54" w:rsidP="005B58FE">
      <w:pPr>
        <w:pStyle w:val="ListParagraph"/>
        <w:numPr>
          <w:ilvl w:val="0"/>
          <w:numId w:val="66"/>
        </w:numPr>
      </w:pPr>
      <w:r>
        <w:t>Improved understanding and</w:t>
      </w:r>
      <w:r w:rsidR="00A2023C">
        <w:t xml:space="preserve"> recategorization of sectoral end-use</w:t>
      </w:r>
    </w:p>
    <w:p w14:paraId="5AC86ACD" w14:textId="1A3E04F8" w:rsidR="0023151C" w:rsidRDefault="00811C15" w:rsidP="00624462">
      <w:r w:rsidRPr="0023151C">
        <w:t xml:space="preserve">In the </w:t>
      </w:r>
      <w:r w:rsidR="00CA6F6D" w:rsidRPr="0023151C">
        <w:rPr>
          <w:i/>
        </w:rPr>
        <w:t xml:space="preserve">Unconstrained </w:t>
      </w:r>
      <w:r w:rsidRPr="0023151C">
        <w:rPr>
          <w:i/>
        </w:rPr>
        <w:t>Electrification</w:t>
      </w:r>
      <w:r w:rsidRPr="0023151C">
        <w:t xml:space="preserve"> scenario shown in </w:t>
      </w:r>
      <w:r w:rsidR="004B0BD6" w:rsidRPr="0023151C">
        <w:fldChar w:fldCharType="begin"/>
      </w:r>
      <w:r w:rsidR="004B0BD6" w:rsidRPr="0023151C">
        <w:instrText xml:space="preserve"> REF _Ref205389074 \h </w:instrText>
      </w:r>
      <w:r w:rsidR="00A247A6" w:rsidRPr="0023151C">
        <w:instrText xml:space="preserve"> \* MERGEFORMAT </w:instrText>
      </w:r>
      <w:r w:rsidR="004B0BD6" w:rsidRPr="0023151C">
        <w:fldChar w:fldCharType="separate"/>
      </w:r>
      <w:r w:rsidR="00DE378F" w:rsidRPr="0023151C">
        <w:t xml:space="preserve">Exhibit </w:t>
      </w:r>
      <w:r w:rsidR="00E61394" w:rsidRPr="0023151C">
        <w:rPr>
          <w:noProof/>
        </w:rPr>
        <w:t>1</w:t>
      </w:r>
      <w:r w:rsidR="00DE378F" w:rsidRPr="0023151C">
        <w:t>.</w:t>
      </w:r>
      <w:r w:rsidR="00DE378F" w:rsidRPr="0023151C">
        <w:rPr>
          <w:noProof/>
        </w:rPr>
        <w:t>8</w:t>
      </w:r>
      <w:r w:rsidR="004B0BD6" w:rsidRPr="0023151C">
        <w:fldChar w:fldCharType="end"/>
      </w:r>
      <w:r w:rsidRPr="0023151C">
        <w:t xml:space="preserve">, the </w:t>
      </w:r>
      <w:r w:rsidR="00C23029" w:rsidRPr="0023151C">
        <w:t xml:space="preserve">use of hydrogen, either directly or embedded in </w:t>
      </w:r>
      <w:r w:rsidR="00A71CB6" w:rsidRPr="0023151C">
        <w:t xml:space="preserve">e-ammonia </w:t>
      </w:r>
      <w:r w:rsidRPr="0023151C">
        <w:t>could</w:t>
      </w:r>
      <w:r w:rsidR="00A71CB6" w:rsidRPr="0023151C">
        <w:t xml:space="preserve"> be reduced</w:t>
      </w:r>
      <w:r w:rsidRPr="0023151C">
        <w:t xml:space="preserve"> from 8% to 6%</w:t>
      </w:r>
      <w:r w:rsidR="00A71CB6" w:rsidRPr="0023151C">
        <w:t xml:space="preserve"> of 2050 final energy demand</w:t>
      </w:r>
      <w:r w:rsidRPr="0023151C">
        <w:t xml:space="preserve">. </w:t>
      </w:r>
      <w:r w:rsidR="009A22EC">
        <w:t>T</w:t>
      </w:r>
      <w:r w:rsidR="0023151C" w:rsidRPr="0023151C">
        <w:t xml:space="preserve">his would imply around 150 </w:t>
      </w:r>
      <w:r w:rsidR="009A22EC">
        <w:t xml:space="preserve">Mt </w:t>
      </w:r>
      <w:r w:rsidR="0023151C" w:rsidRPr="0023151C">
        <w:t xml:space="preserve">of hydrogen </w:t>
      </w:r>
      <w:r w:rsidR="0023151C" w:rsidRPr="00784A7E">
        <w:t xml:space="preserve">used per annum in 2050, with the largest uses seen in ammonia production for fertiliser, ammonia for shipping, and iron making </w:t>
      </w:r>
      <w:r w:rsidR="00E3348C" w:rsidRPr="00784A7E">
        <w:t>(</w:t>
      </w:r>
      <w:r w:rsidR="00E3348C" w:rsidRPr="00784A7E">
        <w:fldChar w:fldCharType="begin"/>
      </w:r>
      <w:r w:rsidR="00E3348C" w:rsidRPr="00784A7E">
        <w:instrText xml:space="preserve"> REF _Ref205389295 \h </w:instrText>
      </w:r>
      <w:r w:rsidR="00784A7E" w:rsidRPr="00784A7E">
        <w:instrText xml:space="preserve"> \* MERGEFORMAT </w:instrText>
      </w:r>
      <w:r w:rsidR="00E3348C" w:rsidRPr="00784A7E">
        <w:fldChar w:fldCharType="separate"/>
      </w:r>
      <w:r w:rsidR="00E3348C" w:rsidRPr="00784A7E">
        <w:t>Exhibit 2.</w:t>
      </w:r>
      <w:r w:rsidR="00E3348C" w:rsidRPr="00784A7E">
        <w:rPr>
          <w:noProof/>
        </w:rPr>
        <w:t>1</w:t>
      </w:r>
      <w:r w:rsidR="00E3348C" w:rsidRPr="00784A7E">
        <w:fldChar w:fldCharType="end"/>
      </w:r>
      <w:r w:rsidR="00E3348C" w:rsidRPr="00784A7E">
        <w:t>)</w:t>
      </w:r>
      <w:r w:rsidR="0023151C" w:rsidRPr="00784A7E">
        <w:t>.</w:t>
      </w:r>
      <w:r w:rsidR="002A4780" w:rsidRPr="00784A7E">
        <w:t xml:space="preserve"> There would in addition be hydrogen used as an input to hydro carbon fuels, petrochemicals and as a storage mechanism with the power system.</w:t>
      </w:r>
    </w:p>
    <w:p w14:paraId="32B934C9" w14:textId="504881A2" w:rsidR="00624462" w:rsidRDefault="00811C15" w:rsidP="00624462">
      <w:r w:rsidRPr="009901FA">
        <w:t xml:space="preserve">In this chapter, we assess whether </w:t>
      </w:r>
      <w:r w:rsidR="00476B0E">
        <w:t xml:space="preserve">two categories of technological and cost development might imply higher use </w:t>
      </w:r>
      <w:r w:rsidR="003B32B3">
        <w:t xml:space="preserve">of hydrogen shown in </w:t>
      </w:r>
      <w:r w:rsidR="0060393E" w:rsidRPr="009901FA">
        <w:fldChar w:fldCharType="begin"/>
      </w:r>
      <w:r w:rsidR="0060393E" w:rsidRPr="009901FA">
        <w:instrText xml:space="preserve"> REF _Ref205389295 \h  \* MERGEFORMAT </w:instrText>
      </w:r>
      <w:r w:rsidR="0060393E" w:rsidRPr="009901FA">
        <w:fldChar w:fldCharType="separate"/>
      </w:r>
      <w:r w:rsidR="00DE378F" w:rsidRPr="009901FA">
        <w:t xml:space="preserve">Exhibit </w:t>
      </w:r>
      <w:r w:rsidR="00E61394">
        <w:rPr>
          <w:noProof/>
        </w:rPr>
        <w:t>2</w:t>
      </w:r>
      <w:r w:rsidR="00DE378F" w:rsidRPr="009901FA">
        <w:rPr>
          <w:noProof/>
        </w:rPr>
        <w:t>.1</w:t>
      </w:r>
      <w:r w:rsidR="0060393E" w:rsidRPr="009901FA">
        <w:fldChar w:fldCharType="end"/>
      </w:r>
      <w:r w:rsidRPr="009901FA">
        <w:t>:</w:t>
      </w:r>
    </w:p>
    <w:p w14:paraId="224CD96F" w14:textId="025C968D" w:rsidR="00624462" w:rsidRDefault="00624462" w:rsidP="00624462">
      <w:pPr>
        <w:pStyle w:val="ListParagraph"/>
        <w:numPr>
          <w:ilvl w:val="0"/>
          <w:numId w:val="69"/>
        </w:numPr>
      </w:pPr>
      <w:r w:rsidRPr="00624462">
        <w:t xml:space="preserve">The exploitation of geological or “white hydrogen“ </w:t>
      </w:r>
    </w:p>
    <w:p w14:paraId="793E409A" w14:textId="77777777" w:rsidR="00624462" w:rsidRDefault="00624462" w:rsidP="00624462">
      <w:pPr>
        <w:pStyle w:val="ListParagraph"/>
        <w:numPr>
          <w:ilvl w:val="0"/>
          <w:numId w:val="68"/>
        </w:numPr>
      </w:pPr>
      <w:r>
        <w:t>M</w:t>
      </w:r>
      <w:r w:rsidRPr="00624462">
        <w:t>ore rapid progress in electrol</w:t>
      </w:r>
      <w:r>
        <w:t xml:space="preserve">yser </w:t>
      </w:r>
      <w:r w:rsidRPr="00624462">
        <w:t>technology and cost reductions, including reflecting developments in China.</w:t>
      </w:r>
    </w:p>
    <w:p w14:paraId="1552FDEF" w14:textId="64414682" w:rsidR="00811C15" w:rsidRPr="009901FA" w:rsidRDefault="00811C15" w:rsidP="00D35981"/>
    <w:p w14:paraId="3AE57849" w14:textId="0E8EAE75" w:rsidR="005C5E92" w:rsidRPr="009901FA" w:rsidRDefault="005C5E92" w:rsidP="005C5E92">
      <w:pPr>
        <w:pStyle w:val="Caption"/>
        <w:keepNext/>
      </w:pPr>
      <w:bookmarkStart w:id="35" w:name="_Ref205389295"/>
      <w:r w:rsidRPr="009901FA">
        <w:lastRenderedPageBreak/>
        <w:t xml:space="preserve">Exhibit </w:t>
      </w:r>
      <w:r w:rsidR="00E61394">
        <w:t>2</w:t>
      </w:r>
      <w:r w:rsidRPr="009901FA">
        <w:t>.</w:t>
      </w:r>
      <w:fldSimple w:instr=" SEQ Exhibit \* ARABIC \s 2 ">
        <w:r w:rsidR="00DE378F" w:rsidRPr="009901FA">
          <w:rPr>
            <w:noProof/>
          </w:rPr>
          <w:t>1</w:t>
        </w:r>
      </w:fldSimple>
      <w:bookmarkEnd w:id="35"/>
      <w:r w:rsidRPr="009901FA">
        <w:t xml:space="preserve">: </w:t>
      </w:r>
    </w:p>
    <w:p w14:paraId="6307142F" w14:textId="6A831808" w:rsidR="00811C15" w:rsidRPr="009901FA" w:rsidRDefault="00316B62" w:rsidP="001C5E81">
      <w:r>
        <w:rPr>
          <w:noProof/>
        </w:rPr>
        <w:drawing>
          <wp:inline distT="0" distB="0" distL="0" distR="0" wp14:anchorId="423DE317" wp14:editId="02A5F73A">
            <wp:extent cx="6263640" cy="3523615"/>
            <wp:effectExtent l="0" t="0" r="3810" b="635"/>
            <wp:docPr id="176847705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477053"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6263640" cy="3523615"/>
                    </a:xfrm>
                    <a:prstGeom prst="rect">
                      <a:avLst/>
                    </a:prstGeom>
                  </pic:spPr>
                </pic:pic>
              </a:graphicData>
            </a:graphic>
          </wp:inline>
        </w:drawing>
      </w:r>
    </w:p>
    <w:p w14:paraId="2C2DE75A" w14:textId="77777777" w:rsidR="005C5E92" w:rsidRPr="009901FA" w:rsidRDefault="005C5E92" w:rsidP="001C5E81"/>
    <w:p w14:paraId="07F0EF41" w14:textId="05ACBA36" w:rsidR="00397CCD" w:rsidRPr="009901FA" w:rsidRDefault="005C4C40" w:rsidP="00397CCD">
      <w:pPr>
        <w:pStyle w:val="Heading3"/>
      </w:pPr>
      <w:bookmarkStart w:id="36" w:name="_Toc205392450"/>
      <w:bookmarkStart w:id="37" w:name="_Toc205554219"/>
      <w:r>
        <w:t>2</w:t>
      </w:r>
      <w:r w:rsidR="00397CCD" w:rsidRPr="009901FA">
        <w:t>.1 Geological hydrogen</w:t>
      </w:r>
      <w:bookmarkEnd w:id="36"/>
      <w:bookmarkEnd w:id="37"/>
    </w:p>
    <w:p w14:paraId="2FE0248B" w14:textId="27044E27" w:rsidR="00DB4DE9" w:rsidRPr="009901FA" w:rsidRDefault="00827DEB" w:rsidP="00E83FCD">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Overview and costs</w:t>
      </w:r>
    </w:p>
    <w:p w14:paraId="1A901417" w14:textId="45E35866" w:rsidR="00BF624E" w:rsidRPr="00205917" w:rsidRDefault="00BF624E" w:rsidP="00BF624E">
      <w:r w:rsidRPr="00E76F1A">
        <w:rPr>
          <w:b/>
        </w:rPr>
        <w:t>The Earth contains very large resources of naturally occurring geological hydrogen , also known as “white hydrogen”; but the range of estimates is very wide</w:t>
      </w:r>
      <w:r w:rsidRPr="00205917">
        <w:t>.</w:t>
      </w:r>
      <w:r w:rsidR="009026AE" w:rsidRPr="00205917">
        <w:t xml:space="preserve"> </w:t>
      </w:r>
      <w:r w:rsidRPr="00205917">
        <w:t>A recent review of available data and studies suggests a most probable value of 5.6 trillion ton</w:t>
      </w:r>
      <w:r w:rsidR="009A244D" w:rsidRPr="00205917">
        <w:t>nes</w:t>
      </w:r>
      <w:r w:rsidRPr="00205917">
        <w:t xml:space="preserve"> but with a lowest estimate of just 1 billion and an upper estimate of</w:t>
      </w:r>
      <w:r w:rsidR="00205917">
        <w:t xml:space="preserve"> </w:t>
      </w:r>
      <w:r w:rsidRPr="00205917">
        <w:t>10 billion trillion</w:t>
      </w:r>
      <w:r w:rsidRPr="00205917">
        <w:rPr>
          <w:rStyle w:val="FootnoteReference"/>
        </w:rPr>
        <w:footnoteReference w:id="26"/>
      </w:r>
      <w:r w:rsidR="00205917" w:rsidRPr="00205917">
        <w:t>.</w:t>
      </w:r>
    </w:p>
    <w:p w14:paraId="245F6C75" w14:textId="02435263" w:rsidR="00BF624E" w:rsidRPr="00BF624E" w:rsidRDefault="00BF624E" w:rsidP="00BF624E">
      <w:r w:rsidRPr="00E76F1A">
        <w:rPr>
          <w:b/>
        </w:rPr>
        <w:t>This resource is however widely dispersed and only a small fraction of it is likely to be economically recoverable.</w:t>
      </w:r>
      <w:r w:rsidRPr="00205917">
        <w:t xml:space="preserve"> The same study suggests that feasible global generation of natural hydrogen might be 15-30 m</w:t>
      </w:r>
      <w:r w:rsidR="00205917" w:rsidRPr="00205917">
        <w:t>illion</w:t>
      </w:r>
      <w:r w:rsidRPr="00205917">
        <w:t xml:space="preserve"> tonnes per annum: versus our ETC projection of total 2050 hydrogen demand of </w:t>
      </w:r>
      <w:r w:rsidRPr="007571A2">
        <w:t>~</w:t>
      </w:r>
      <w:r w:rsidR="007571A2" w:rsidRPr="007571A2">
        <w:t>400-500</w:t>
      </w:r>
      <w:r w:rsidRPr="007571A2">
        <w:t xml:space="preserve"> m</w:t>
      </w:r>
      <w:r w:rsidR="007571A2" w:rsidRPr="007571A2">
        <w:t>illion</w:t>
      </w:r>
      <w:r w:rsidRPr="007571A2">
        <w:t xml:space="preserve"> tonnes. If this volume were available at a competitive cost</w:t>
      </w:r>
      <w:r w:rsidRPr="003F5161">
        <w:t>, it would increase the likelihood that hydrogen would be competitive versus other decarbonisation options in several of the applications assumed in that scenario</w:t>
      </w:r>
      <w:r w:rsidR="009026AE" w:rsidRPr="003F5161">
        <w:t>.</w:t>
      </w:r>
    </w:p>
    <w:p w14:paraId="6716FDC7" w14:textId="6D22B944" w:rsidR="006678CE" w:rsidRPr="009901FA" w:rsidRDefault="00C4492E" w:rsidP="006678CE">
      <w:r w:rsidRPr="009901FA">
        <w:t>White hydrogen</w:t>
      </w:r>
      <w:r w:rsidR="00397CCD" w:rsidRPr="009901FA">
        <w:t xml:space="preserve"> </w:t>
      </w:r>
      <w:r w:rsidR="00111BA4" w:rsidRPr="009901FA">
        <w:t xml:space="preserve">involves drilling through geological layers and injecting a mixture of water, sand and chemicals under high pressure to release the gas from rocks. Currently it is at a technology readiness level of 3-4, with a number of explorations project ongoing for the resource, however no commercial scale production is </w:t>
      </w:r>
      <w:r w:rsidR="00111BA4" w:rsidRPr="009901FA">
        <w:lastRenderedPageBreak/>
        <w:t xml:space="preserve">expected until 2030. Only one white hydrogen resource has been developed to date, which is a small volume in Mali since 2023, which </w:t>
      </w:r>
      <w:r w:rsidR="0075690F" w:rsidRPr="009901FA">
        <w:t xml:space="preserve">is </w:t>
      </w:r>
      <w:r w:rsidR="00111BA4" w:rsidRPr="009901FA">
        <w:t>used for power in a nearby village</w:t>
      </w:r>
      <w:r w:rsidR="002A0B44" w:rsidRPr="009901FA">
        <w:rPr>
          <w:rStyle w:val="FootnoteReference"/>
        </w:rPr>
        <w:footnoteReference w:id="27"/>
      </w:r>
      <w:r w:rsidR="00E45E90" w:rsidRPr="009901FA">
        <w:t>.</w:t>
      </w:r>
      <w:r w:rsidR="005E3C18" w:rsidRPr="009901FA">
        <w:t xml:space="preserve"> </w:t>
      </w:r>
      <w:r w:rsidR="006678CE" w:rsidRPr="009901FA">
        <w:t>The targeted costs of white hydrogen for the few companies that are looking to become commercial are in the range of 0.5-</w:t>
      </w:r>
      <w:r w:rsidR="004B22E8" w:rsidRPr="009901FA">
        <w:t>1</w:t>
      </w:r>
      <w:r w:rsidR="006678CE" w:rsidRPr="009901FA">
        <w:t xml:space="preserve"> USD/kg H2 by 2030</w:t>
      </w:r>
      <w:r w:rsidR="00964E02" w:rsidRPr="009901FA">
        <w:rPr>
          <w:rStyle w:val="FootnoteReference"/>
        </w:rPr>
        <w:footnoteReference w:id="28"/>
      </w:r>
      <w:r w:rsidR="006678CE" w:rsidRPr="009901FA">
        <w:t>. However, little is known about detailed breakdowns of these costs and how achievable they are.</w:t>
      </w:r>
    </w:p>
    <w:p w14:paraId="080E75A8" w14:textId="0776F5EF" w:rsidR="00DB4DE9" w:rsidRPr="009901FA" w:rsidRDefault="00827DEB" w:rsidP="00E83FCD">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Barriers</w:t>
      </w:r>
    </w:p>
    <w:p w14:paraId="2C6EEBED" w14:textId="1871B5CE" w:rsidR="00827DEB" w:rsidRPr="009901FA" w:rsidRDefault="00126344" w:rsidP="00E63584">
      <w:r w:rsidRPr="009901FA">
        <w:rPr>
          <w:b/>
        </w:rPr>
        <w:t>White hydrogen costs are relatively unknown, but there could be challenges with high exploration and capital costs challenges in drilling for the resource</w:t>
      </w:r>
      <w:r w:rsidR="00384B81" w:rsidRPr="009901FA">
        <w:t xml:space="preserve">. </w:t>
      </w:r>
      <w:r w:rsidR="00E63584" w:rsidRPr="009901FA">
        <w:t xml:space="preserve">Key technical challenges include determining optimal drilling depths, accurately measuring subsurface hydrogen concentrations, and identifying viable extraction methods. These factors could drive up the cost of early-stage projects. In addition, white hydrogen may face unique logistical hurdles compared to other forms of low-carbon hydrogen. Because natural hydrogen deposits are geologically constrained, they may be located far from demand </w:t>
      </w:r>
      <w:r w:rsidR="00A64413" w:rsidRPr="009901FA">
        <w:t>centres</w:t>
      </w:r>
      <w:r w:rsidR="00E63584" w:rsidRPr="009901FA">
        <w:t>, potentially incurring high transportation costs. This geographic inflexibility could limit its competitiveness relative to green or blue hydrogen, which can often be produced closer to end-use sites by design.</w:t>
      </w:r>
    </w:p>
    <w:p w14:paraId="130E9EE5" w14:textId="0AFB4D1C" w:rsidR="00CF19E1" w:rsidRPr="009901FA" w:rsidRDefault="005C4C40" w:rsidP="00CF19E1">
      <w:pPr>
        <w:pStyle w:val="Heading3"/>
      </w:pPr>
      <w:bookmarkStart w:id="38" w:name="_Toc205392451"/>
      <w:bookmarkStart w:id="39" w:name="_Toc205554220"/>
      <w:r>
        <w:t>2</w:t>
      </w:r>
      <w:r w:rsidR="00CF19E1" w:rsidRPr="009901FA">
        <w:t xml:space="preserve">.2 </w:t>
      </w:r>
      <w:r w:rsidR="00642181" w:rsidRPr="009901FA">
        <w:t>Electroly</w:t>
      </w:r>
      <w:r>
        <w:t>s</w:t>
      </w:r>
      <w:r w:rsidR="00642181" w:rsidRPr="009901FA">
        <w:t xml:space="preserve">er </w:t>
      </w:r>
      <w:r w:rsidR="006F2DF5" w:rsidRPr="009901FA">
        <w:t>system and balance of plant costs</w:t>
      </w:r>
      <w:bookmarkEnd w:id="38"/>
      <w:bookmarkEnd w:id="39"/>
    </w:p>
    <w:p w14:paraId="6F7B864B" w14:textId="446902DC" w:rsidR="00530F94" w:rsidRPr="009901FA" w:rsidRDefault="00F22130" w:rsidP="00E83FCD">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Overview and costs</w:t>
      </w:r>
    </w:p>
    <w:p w14:paraId="47B3C139" w14:textId="2DD8B088" w:rsidR="00940FCC" w:rsidRPr="009901FA" w:rsidRDefault="00940FCC" w:rsidP="00940FCC">
      <w:r w:rsidRPr="009901FA">
        <w:rPr>
          <w:b/>
          <w:bCs/>
        </w:rPr>
        <w:t>Advances in electrolyzer technology and manufacturing, along with improvements in the balance of plant and design optimization, are expected to reduce capital costs of green hydrogen over time.</w:t>
      </w:r>
      <w:r w:rsidRPr="009901FA">
        <w:t xml:space="preserve"> There are four primary electrolyzer technologies in the market today. Alkaline and PEM (polymer electrolyte membrane) based technology are already at technology readiness level 9. Less developed technologies AEM (Anion Exchange membrane and SOEC (solid oxide electrolyzer cell) are at TRL 7 and 8 respectively</w:t>
      </w:r>
      <w:r w:rsidRPr="009901FA">
        <w:rPr>
          <w:rStyle w:val="FootnoteReference"/>
        </w:rPr>
        <w:footnoteReference w:id="29"/>
      </w:r>
      <w:r w:rsidRPr="009901FA">
        <w:t>. Advancements continue to be made in higher efficiency electrolyzers (such as SOEC), and trade</w:t>
      </w:r>
      <w:r w:rsidR="005A082D" w:rsidRPr="009901FA">
        <w:t>-</w:t>
      </w:r>
      <w:r w:rsidRPr="009901FA">
        <w:t>offs explored between costs and other dimensions (e.g. efficiency, stack lifetimes) to develop electrolyzers with less reliance on expensive materials such as Anion Exchange Membrane (AEM) technology.</w:t>
      </w:r>
    </w:p>
    <w:p w14:paraId="3528499E" w14:textId="08893A91" w:rsidR="004855A1" w:rsidRPr="009901FA" w:rsidRDefault="00663E85" w:rsidP="004855A1">
      <w:r w:rsidRPr="009901FA">
        <w:rPr>
          <w:b/>
          <w:bCs/>
        </w:rPr>
        <w:t>In the near term at least, the levelized cost of electrolysis based hydrogen will be driven by the capital costs of electrolyzer systems.</w:t>
      </w:r>
      <w:r w:rsidRPr="009901FA">
        <w:t xml:space="preserve"> The capital costs vary according to the types of electrolysers and are expected to reduce over time (</w:t>
      </w:r>
      <w:r w:rsidR="004855A1" w:rsidRPr="009901FA">
        <w:fldChar w:fldCharType="begin"/>
      </w:r>
      <w:r w:rsidR="004855A1" w:rsidRPr="009901FA">
        <w:instrText xml:space="preserve"> REF _Ref205389638 \h </w:instrText>
      </w:r>
      <w:r w:rsidR="00A247A6">
        <w:instrText xml:space="preserve"> \* MERGEFORMAT </w:instrText>
      </w:r>
      <w:r w:rsidR="004855A1" w:rsidRPr="009901FA">
        <w:fldChar w:fldCharType="separate"/>
      </w:r>
      <w:r w:rsidR="00DE378F" w:rsidRPr="009901FA">
        <w:t xml:space="preserve">Exhibit </w:t>
      </w:r>
      <w:r w:rsidR="00E61394">
        <w:rPr>
          <w:noProof/>
        </w:rPr>
        <w:t>2</w:t>
      </w:r>
      <w:r w:rsidR="00DE378F" w:rsidRPr="009901FA">
        <w:t>.</w:t>
      </w:r>
      <w:r w:rsidR="00DE378F" w:rsidRPr="009901FA">
        <w:rPr>
          <w:noProof/>
        </w:rPr>
        <w:t>2</w:t>
      </w:r>
      <w:r w:rsidR="004855A1" w:rsidRPr="009901FA">
        <w:fldChar w:fldCharType="end"/>
      </w:r>
      <w:r w:rsidRPr="009901FA">
        <w:t xml:space="preserve">). Costs are expected by 2030 to fall in the range of 30-45%, just based off of </w:t>
      </w:r>
      <w:r w:rsidRPr="009901FA">
        <w:lastRenderedPageBreak/>
        <w:t xml:space="preserve">advancements in </w:t>
      </w:r>
      <w:r w:rsidR="002E48F6" w:rsidRPr="009901FA">
        <w:t>manufacturing</w:t>
      </w:r>
      <w:r w:rsidRPr="009901FA">
        <w:t xml:space="preserve"> technology, learning rates and balance of plant improvements. </w:t>
      </w:r>
      <w:r w:rsidR="00394079" w:rsidRPr="009901FA">
        <w:t>I</w:t>
      </w:r>
      <w:r w:rsidRPr="009901FA">
        <w:t>f fully optimized, a further 10-25% cost reduction is reported to be possible</w:t>
      </w:r>
      <w:r w:rsidRPr="009901FA">
        <w:rPr>
          <w:rStyle w:val="FootnoteReference"/>
        </w:rPr>
        <w:footnoteReference w:id="30"/>
      </w:r>
      <w:r w:rsidRPr="009901FA">
        <w:t xml:space="preserve">, driven by maximizing learning rates through successive project build outs, procuring at large volumes, and rigorous design simplification. </w:t>
      </w:r>
      <w:r w:rsidR="00394079" w:rsidRPr="009901FA">
        <w:t>However, a large portion of total installed cost comes from EPC-related expenses—such as civil works, installation, and permitting—which have historically shown low learning rates. As a result, even if electrolyzer equipment costs decline significantly, the overall system CAPEX is likely to fall more modestly unless full project delivery is also optimized.</w:t>
      </w:r>
    </w:p>
    <w:p w14:paraId="0F1A7B35" w14:textId="5BFAAF87" w:rsidR="00D33742" w:rsidRPr="009901FA" w:rsidRDefault="00D33742" w:rsidP="00D33742">
      <w:pPr>
        <w:pStyle w:val="Caption"/>
        <w:keepNext/>
      </w:pPr>
      <w:bookmarkStart w:id="40" w:name="_Ref205389638"/>
      <w:r w:rsidRPr="009901FA">
        <w:t xml:space="preserve">Exhibit </w:t>
      </w:r>
      <w:r w:rsidR="00E61394">
        <w:t>2</w:t>
      </w:r>
      <w:r w:rsidR="008725B4" w:rsidRPr="009901FA">
        <w:t>.</w:t>
      </w:r>
      <w:fldSimple w:instr=" SEQ Exhibit \* ARABIC \s 2 ">
        <w:r w:rsidR="00DE378F" w:rsidRPr="009901FA">
          <w:rPr>
            <w:noProof/>
          </w:rPr>
          <w:t>2</w:t>
        </w:r>
      </w:fldSimple>
      <w:bookmarkEnd w:id="40"/>
    </w:p>
    <w:p w14:paraId="33893F42" w14:textId="56B33C97" w:rsidR="00E17C31" w:rsidRPr="009901FA" w:rsidRDefault="00E17C31" w:rsidP="00421CDD">
      <w:pPr>
        <w:spacing w:after="200"/>
      </w:pPr>
      <w:r w:rsidRPr="009901FA">
        <w:rPr>
          <w:noProof/>
        </w:rPr>
        <w:drawing>
          <wp:inline distT="0" distB="0" distL="0" distR="0" wp14:anchorId="74447B21" wp14:editId="02349B46">
            <wp:extent cx="6263640" cy="3523615"/>
            <wp:effectExtent l="0" t="0" r="0" b="635"/>
            <wp:docPr id="43351401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51401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6263640" cy="3523615"/>
                    </a:xfrm>
                    <a:prstGeom prst="rect">
                      <a:avLst/>
                    </a:prstGeom>
                  </pic:spPr>
                </pic:pic>
              </a:graphicData>
            </a:graphic>
          </wp:inline>
        </w:drawing>
      </w:r>
    </w:p>
    <w:p w14:paraId="1439A78E" w14:textId="77777777" w:rsidR="008770E4" w:rsidRPr="009901FA" w:rsidRDefault="008770E4" w:rsidP="00663E85"/>
    <w:p w14:paraId="5D76110F" w14:textId="61E1ADF4" w:rsidR="009678C6" w:rsidRPr="009901FA" w:rsidRDefault="009678C6" w:rsidP="009678C6">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Barriers</w:t>
      </w:r>
    </w:p>
    <w:p w14:paraId="5361A787" w14:textId="2562FDB6" w:rsidR="002D41A7" w:rsidRPr="009901FA" w:rsidRDefault="002D41A7" w:rsidP="002D41A7">
      <w:pPr>
        <w:tabs>
          <w:tab w:val="num" w:pos="720"/>
        </w:tabs>
      </w:pPr>
      <w:r w:rsidRPr="009901FA">
        <w:rPr>
          <w:b/>
          <w:bCs/>
        </w:rPr>
        <w:t>Electrolyzer systems face challenges with reaching cost competitiveness with fossil based technologies (with and without CCS).</w:t>
      </w:r>
      <w:r w:rsidRPr="009901FA">
        <w:t xml:space="preserve"> </w:t>
      </w:r>
      <w:r w:rsidR="00161C47" w:rsidRPr="009901FA">
        <w:t>While capital costs of electrolyzers are expected to decline, the cost of electricity remains the most significant factor in the levelised cost of hydrogen. This makes access to low-cost renewable power essential. In addition, the intermittency of renewable energy poses a major challenge for green hydrogen. It affects not only the design and sizing of electrolyzer systems but also increases the required capacity for renewable generation and storage to maintain a steady hydrogen output. This adds to overall system costs and complexity.</w:t>
      </w:r>
    </w:p>
    <w:p w14:paraId="157CFF7D" w14:textId="20460EC2" w:rsidR="00E83FCD" w:rsidRPr="009901FA" w:rsidRDefault="00BA67CD" w:rsidP="00E83FCD">
      <w:r w:rsidRPr="009901FA">
        <w:rPr>
          <w:b/>
          <w:bCs/>
        </w:rPr>
        <w:lastRenderedPageBreak/>
        <w:t xml:space="preserve">Technical barriers also persist. </w:t>
      </w:r>
      <w:r w:rsidRPr="009901FA">
        <w:t>Stack degradation and replacement remain cost drivers, particularly for high-efficiency systems like solid oxide electrolyser cells (SOECs), which operate at high temperatures. Extending stack lifetimes is still a key technical hurdle</w:t>
      </w:r>
      <w:r w:rsidRPr="009901FA">
        <w:rPr>
          <w:b/>
          <w:bCs/>
        </w:rPr>
        <w:t>.</w:t>
      </w:r>
      <w:r w:rsidR="00E83FCD" w:rsidRPr="009901FA">
        <w:rPr>
          <w:rStyle w:val="FootnoteReference"/>
        </w:rPr>
        <w:footnoteReference w:id="31"/>
      </w:r>
      <w:r w:rsidR="006A08E1" w:rsidRPr="009901FA">
        <w:rPr>
          <w:b/>
          <w:bCs/>
        </w:rPr>
        <w:t xml:space="preserve"> </w:t>
      </w:r>
      <w:r w:rsidR="006A08E1" w:rsidRPr="009901FA">
        <w:t>Proton exchange membrane (PEM) electrolyzers also face cost barriers due to their reliance on scarce materials, more so than technologies like alkaline or anion exchange membrane (AEM) systems.</w:t>
      </w:r>
      <w:r w:rsidR="00E83FCD" w:rsidRPr="009901FA">
        <w:rPr>
          <w:rStyle w:val="FootnoteReference"/>
        </w:rPr>
        <w:footnoteReference w:id="32"/>
      </w:r>
      <w:r w:rsidR="00E83FCD" w:rsidRPr="009901FA">
        <w:t xml:space="preserve"> </w:t>
      </w:r>
      <w:r w:rsidR="006A08E1" w:rsidRPr="009901FA">
        <w:t>Finally, infrastructure requirements for hydrogen production at scale, such as storage, pipelines, and transport, mirror those of current hydrogen routes and will require significant investment and planning.</w:t>
      </w:r>
    </w:p>
    <w:p w14:paraId="3FC4CDDF" w14:textId="0D2D0F72" w:rsidR="00530F94" w:rsidRPr="009901FA" w:rsidRDefault="005C4C40" w:rsidP="00587FC1">
      <w:pPr>
        <w:pStyle w:val="Heading3"/>
      </w:pPr>
      <w:bookmarkStart w:id="41" w:name="_Toc205392452"/>
      <w:bookmarkStart w:id="42" w:name="_Toc205554221"/>
      <w:r>
        <w:t>2</w:t>
      </w:r>
      <w:r w:rsidR="001546CD" w:rsidRPr="009901FA">
        <w:t>.</w:t>
      </w:r>
      <w:r w:rsidR="003F75A9" w:rsidRPr="009901FA">
        <w:t>3</w:t>
      </w:r>
      <w:r w:rsidR="001546CD" w:rsidRPr="009901FA">
        <w:t xml:space="preserve"> </w:t>
      </w:r>
      <w:r w:rsidR="00F50061" w:rsidRPr="009901FA">
        <w:t xml:space="preserve">Possible future </w:t>
      </w:r>
      <w:r w:rsidR="000D1887" w:rsidRPr="009901FA">
        <w:t>costs of  zero carbon hydrogen</w:t>
      </w:r>
      <w:bookmarkEnd w:id="41"/>
      <w:bookmarkEnd w:id="42"/>
    </w:p>
    <w:p w14:paraId="2DE76DA6" w14:textId="77777777" w:rsidR="004E7486" w:rsidRPr="004E7486" w:rsidRDefault="004E7486" w:rsidP="004E7486">
      <w:pPr>
        <w:spacing w:after="200"/>
      </w:pPr>
      <w:r w:rsidRPr="004E7486">
        <w:rPr>
          <w:b/>
          <w:bCs/>
        </w:rPr>
        <w:t>Over the last five years, and in the major developed countries in particular, the cost of green hydrogen production has not fallen as fast as was initially projected.</w:t>
      </w:r>
      <w:r w:rsidRPr="004E7486">
        <w:t xml:space="preserve"> This reflects a far slower pace of reduction of electrolyser capex costs than anticipated. But hydrogen developers in China and India continue to be confident of achieving low cost green hydrogen production – e.g. below $2 per kilogram sometime in the 2030s. This reflects both very low renewable electricity costs in India and low electrolyser capex costs  in China.</w:t>
      </w:r>
    </w:p>
    <w:p w14:paraId="2266413D" w14:textId="0A37740D" w:rsidR="004E7486" w:rsidRPr="004E7486" w:rsidRDefault="004E7486" w:rsidP="004E7486">
      <w:pPr>
        <w:spacing w:after="200"/>
      </w:pPr>
      <w:r w:rsidRPr="004E7486">
        <w:t>As a result, latest IEA estimates of the cost of producing green hydrogen suggest very wide ranges, with the estimated 2030 of green H2 produced with solar PV ranging from 2 to $11 per kilogram</w:t>
      </w:r>
      <w:r w:rsidR="00E94298">
        <w:t xml:space="preserve"> (</w:t>
      </w:r>
      <w:r w:rsidR="00E94298">
        <w:fldChar w:fldCharType="begin"/>
      </w:r>
      <w:r w:rsidR="00E94298">
        <w:instrText xml:space="preserve"> REF _Ref205535496 \h </w:instrText>
      </w:r>
      <w:r w:rsidR="00E94298">
        <w:fldChar w:fldCharType="separate"/>
      </w:r>
      <w:r w:rsidR="00E94298" w:rsidRPr="009901FA">
        <w:t xml:space="preserve">Exhibit </w:t>
      </w:r>
      <w:r w:rsidR="00E94298">
        <w:t>2</w:t>
      </w:r>
      <w:r w:rsidR="00E94298" w:rsidRPr="009901FA">
        <w:t>.</w:t>
      </w:r>
      <w:r w:rsidR="00E94298" w:rsidRPr="009901FA">
        <w:rPr>
          <w:noProof/>
        </w:rPr>
        <w:t>3</w:t>
      </w:r>
      <w:r w:rsidR="00E94298">
        <w:fldChar w:fldCharType="end"/>
      </w:r>
      <w:r w:rsidR="00E94298">
        <w:t>)</w:t>
      </w:r>
      <w:r w:rsidRPr="004E7486">
        <w:t>.</w:t>
      </w:r>
    </w:p>
    <w:p w14:paraId="47E18306" w14:textId="51D2CB18" w:rsidR="004E7486" w:rsidRPr="004E7486" w:rsidRDefault="004E7486" w:rsidP="004E7486">
      <w:pPr>
        <w:spacing w:after="200"/>
      </w:pPr>
      <w:r w:rsidRPr="004E7486">
        <w:t>Costs of producing grey hydrogen from natural gas, or blue hydrogen with CC</w:t>
      </w:r>
      <w:r w:rsidR="00ED5D6A">
        <w:t>S</w:t>
      </w:r>
      <w:r w:rsidRPr="004E7486">
        <w:t xml:space="preserve">  added, also show a very large range due to large regional variations in the price of gas.</w:t>
      </w:r>
    </w:p>
    <w:p w14:paraId="316C4A0F" w14:textId="77777777" w:rsidR="004E7486" w:rsidRPr="004E7486" w:rsidRDefault="004E7486" w:rsidP="004E7486">
      <w:pPr>
        <w:spacing w:after="200"/>
      </w:pPr>
      <w:r w:rsidRPr="004E7486">
        <w:t>Overall however  the IEA analysis suggests that  up to 2030, green hydrogen will only be cost competitive versus grey or even blue in the most favourable locations. But developments discussed above are likely to improve the cost competitiveness of both natural and green hydrogen over time. In particular</w:t>
      </w:r>
    </w:p>
    <w:p w14:paraId="2261E2DD" w14:textId="265BAA6E" w:rsidR="004E7486" w:rsidRPr="004E7486" w:rsidRDefault="004E7486" w:rsidP="004E7486">
      <w:pPr>
        <w:numPr>
          <w:ilvl w:val="0"/>
          <w:numId w:val="70"/>
        </w:numPr>
        <w:spacing w:after="200"/>
      </w:pPr>
      <w:r w:rsidRPr="004E7486">
        <w:t xml:space="preserve">It seems likely that in </w:t>
      </w:r>
      <w:r w:rsidR="001E419B" w:rsidRPr="004E7486">
        <w:t>favourable</w:t>
      </w:r>
      <w:r w:rsidRPr="004E7486">
        <w:t xml:space="preserve"> locations natural “white“ hydrogen will be available at $0.5-1 per kilogram, which will be competitive with grey hydrogen in most locations: The crucial issue is what volume is likely to be available at that cost.</w:t>
      </w:r>
    </w:p>
    <w:p w14:paraId="204901B8" w14:textId="77777777" w:rsidR="004E7486" w:rsidRPr="004E7486" w:rsidRDefault="004E7486" w:rsidP="004E7486">
      <w:pPr>
        <w:numPr>
          <w:ilvl w:val="0"/>
          <w:numId w:val="70"/>
        </w:numPr>
        <w:spacing w:after="200"/>
      </w:pPr>
      <w:r w:rsidRPr="004E7486">
        <w:t xml:space="preserve">Green hydrogen production will eventually fall significantly below $2 per kilogram in favourable locations such as China or India, given future trends in both electrolyser  and renewable electricity costs. This is in line with initial estimates but at a later date than initially anticipated. </w:t>
      </w:r>
    </w:p>
    <w:p w14:paraId="21602E86" w14:textId="403110C2" w:rsidR="00F70A4F" w:rsidRPr="009901FA" w:rsidRDefault="00F70A4F" w:rsidP="00A55419">
      <w:pPr>
        <w:spacing w:after="200"/>
      </w:pPr>
    </w:p>
    <w:p w14:paraId="3963FC7C" w14:textId="3F4D6B71" w:rsidR="00D33742" w:rsidRPr="009901FA" w:rsidRDefault="00D33742" w:rsidP="00D33742">
      <w:pPr>
        <w:pStyle w:val="Caption"/>
        <w:keepNext/>
      </w:pPr>
      <w:bookmarkStart w:id="43" w:name="_Ref205535496"/>
      <w:r w:rsidRPr="009901FA">
        <w:t xml:space="preserve">Exhibit </w:t>
      </w:r>
      <w:r w:rsidR="00E61394">
        <w:t>2</w:t>
      </w:r>
      <w:r w:rsidR="008725B4" w:rsidRPr="009901FA">
        <w:t>.</w:t>
      </w:r>
      <w:fldSimple w:instr=" SEQ Exhibit \* ARABIC \s 2 ">
        <w:r w:rsidR="00DE378F" w:rsidRPr="009901FA">
          <w:rPr>
            <w:noProof/>
          </w:rPr>
          <w:t>3</w:t>
        </w:r>
      </w:fldSimple>
      <w:bookmarkEnd w:id="43"/>
    </w:p>
    <w:p w14:paraId="4AB9CFDE" w14:textId="40C736D0" w:rsidR="008B57AD" w:rsidRPr="009901FA" w:rsidRDefault="006C5691" w:rsidP="008B57AD">
      <w:pPr>
        <w:spacing w:after="200"/>
      </w:pPr>
      <w:r>
        <w:rPr>
          <w:noProof/>
        </w:rPr>
        <w:drawing>
          <wp:inline distT="0" distB="0" distL="0" distR="0" wp14:anchorId="358EAB32" wp14:editId="0EA92AF6">
            <wp:extent cx="6263640" cy="3523615"/>
            <wp:effectExtent l="0" t="0" r="3810" b="635"/>
            <wp:docPr id="141445791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457918"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6263640" cy="3523615"/>
                    </a:xfrm>
                    <a:prstGeom prst="rect">
                      <a:avLst/>
                    </a:prstGeom>
                  </pic:spPr>
                </pic:pic>
              </a:graphicData>
            </a:graphic>
          </wp:inline>
        </w:drawing>
      </w:r>
    </w:p>
    <w:p w14:paraId="3956DBDE" w14:textId="2D8EF23A" w:rsidR="000D1887" w:rsidRPr="009901FA" w:rsidRDefault="005C4C40" w:rsidP="000D1887">
      <w:pPr>
        <w:pStyle w:val="Heading3"/>
      </w:pPr>
      <w:bookmarkStart w:id="44" w:name="_Toc205392453"/>
      <w:bookmarkStart w:id="45" w:name="_Toc205554222"/>
      <w:r>
        <w:t>2</w:t>
      </w:r>
      <w:r w:rsidR="000D1887" w:rsidRPr="009901FA">
        <w:t>.</w:t>
      </w:r>
      <w:r w:rsidR="00604A30" w:rsidRPr="009901FA">
        <w:t>4</w:t>
      </w:r>
      <w:r w:rsidR="000D1887" w:rsidRPr="009901FA">
        <w:t xml:space="preserve"> </w:t>
      </w:r>
      <w:r w:rsidR="00604A30" w:rsidRPr="009901FA">
        <w:t>Conclusions about the role of hydrogen</w:t>
      </w:r>
      <w:bookmarkEnd w:id="44"/>
      <w:bookmarkEnd w:id="45"/>
    </w:p>
    <w:p w14:paraId="426C662F" w14:textId="0A2A2372" w:rsidR="00C97E55" w:rsidRPr="00E770CF" w:rsidRDefault="00C97E55" w:rsidP="005113A5">
      <w:pPr>
        <w:spacing w:after="200"/>
        <w:rPr>
          <w:highlight w:val="yellow"/>
        </w:rPr>
      </w:pPr>
      <w:r w:rsidRPr="00563653">
        <w:t xml:space="preserve">The two possible technologies/cost trends considered above, seem likely to deliver significant reductions in the cost of zero carbon hydrogen over the long-term, supporting the economic application of hydrogen and ammonia in several of the sectors </w:t>
      </w:r>
      <w:r w:rsidRPr="008A54C4">
        <w:t xml:space="preserve">shown in </w:t>
      </w:r>
      <w:r w:rsidR="008A54C4" w:rsidRPr="008A54C4">
        <w:fldChar w:fldCharType="begin"/>
      </w:r>
      <w:r w:rsidR="008A54C4" w:rsidRPr="008A54C4">
        <w:instrText xml:space="preserve"> REF _Ref205389295 \h  \* MERGEFORMAT </w:instrText>
      </w:r>
      <w:r w:rsidR="008A54C4" w:rsidRPr="008A54C4">
        <w:fldChar w:fldCharType="separate"/>
      </w:r>
      <w:r w:rsidR="008A54C4" w:rsidRPr="008A54C4">
        <w:t xml:space="preserve">Exhibit </w:t>
      </w:r>
      <w:r w:rsidR="008A54C4" w:rsidRPr="008A54C4">
        <w:rPr>
          <w:noProof/>
        </w:rPr>
        <w:t>2.1</w:t>
      </w:r>
      <w:r w:rsidR="008A54C4" w:rsidRPr="008A54C4">
        <w:fldChar w:fldCharType="end"/>
      </w:r>
      <w:r w:rsidRPr="008A54C4">
        <w:t>, including</w:t>
      </w:r>
      <w:r w:rsidRPr="00C501AF">
        <w:t xml:space="preserve"> for instance shipping and iron making as well as the main existing use in fertiliser production</w:t>
      </w:r>
      <w:r w:rsidR="00CA446C">
        <w:t>.</w:t>
      </w:r>
      <w:r w:rsidRPr="00C501AF">
        <w:t xml:space="preserve"> </w:t>
      </w:r>
    </w:p>
    <w:p w14:paraId="056292D3" w14:textId="0D9E7D6C" w:rsidR="00CB4D18" w:rsidRPr="00CA446C" w:rsidRDefault="00CB4D18" w:rsidP="008B57AD">
      <w:pPr>
        <w:spacing w:after="200"/>
      </w:pPr>
      <w:r w:rsidRPr="00CA446C">
        <w:t>But progress in direct electrification technologies will likely continue to squeeze hydrogen out of some applications where a significant role was previously assumed e.g. heavy goods vehicle road transport: and we have not identified major opportunities to extend the role of pure hydrogen or ammonia  at the expense of  hydrocarbon fuel uses (e.g. in aviation)</w:t>
      </w:r>
      <w:r w:rsidR="00CA446C" w:rsidRPr="00CA446C">
        <w:t>.</w:t>
      </w:r>
    </w:p>
    <w:p w14:paraId="05A1F23A" w14:textId="7EDED2EC" w:rsidR="001A79C7" w:rsidRDefault="001A79C7" w:rsidP="008B57AD">
      <w:pPr>
        <w:spacing w:after="200"/>
      </w:pPr>
      <w:r w:rsidRPr="008921F0">
        <w:t xml:space="preserve">As a result, while hydrogen will play a significant role in some sectors, including iron making and shipping, we do not assess it likely that further progress in the economics of hydrogen production or use will reduce the requirements for carbon molecules below the absolute minimum of 17% of total energy supply shown in </w:t>
      </w:r>
      <w:r w:rsidR="003251FD" w:rsidRPr="003251FD">
        <w:fldChar w:fldCharType="begin"/>
      </w:r>
      <w:r w:rsidR="003251FD" w:rsidRPr="003251FD">
        <w:instrText xml:space="preserve"> REF _Ref205389074 \h  \* MERGEFORMAT </w:instrText>
      </w:r>
      <w:r w:rsidR="003251FD" w:rsidRPr="003251FD">
        <w:fldChar w:fldCharType="separate"/>
      </w:r>
      <w:r w:rsidR="003251FD" w:rsidRPr="003251FD">
        <w:t xml:space="preserve">Exhibit </w:t>
      </w:r>
      <w:r w:rsidR="003251FD" w:rsidRPr="003251FD">
        <w:rPr>
          <w:noProof/>
        </w:rPr>
        <w:t>1</w:t>
      </w:r>
      <w:r w:rsidR="003251FD" w:rsidRPr="003251FD">
        <w:t>.</w:t>
      </w:r>
      <w:r w:rsidR="003251FD" w:rsidRPr="003251FD">
        <w:rPr>
          <w:noProof/>
        </w:rPr>
        <w:t>8</w:t>
      </w:r>
      <w:r w:rsidR="003251FD" w:rsidRPr="003251FD">
        <w:fldChar w:fldCharType="end"/>
      </w:r>
      <w:r w:rsidR="00E770CF" w:rsidRPr="003251FD">
        <w:t>.</w:t>
      </w:r>
    </w:p>
    <w:p w14:paraId="6078A777" w14:textId="375CE57C" w:rsidR="00AB332D" w:rsidRPr="000E0EB1" w:rsidRDefault="005C4C40" w:rsidP="005C1436">
      <w:pPr>
        <w:pStyle w:val="Heading2"/>
        <w:numPr>
          <w:ilvl w:val="0"/>
          <w:numId w:val="6"/>
        </w:numPr>
        <w:spacing w:before="60" w:line="259" w:lineRule="auto"/>
        <w:ind w:left="907" w:hanging="510"/>
        <w:rPr>
          <w:b/>
          <w:bCs/>
          <w:smallCaps/>
          <w:color w:val="00146D" w:themeColor="text2"/>
          <w:szCs w:val="40"/>
        </w:rPr>
      </w:pPr>
      <w:bookmarkStart w:id="46" w:name="_Toc205392454"/>
      <w:bookmarkStart w:id="47" w:name="_Toc205554223"/>
      <w:r w:rsidRPr="000E0EB1">
        <w:rPr>
          <w:b/>
          <w:bCs/>
          <w:smallCaps/>
          <w:color w:val="00146D" w:themeColor="text2"/>
          <w:szCs w:val="40"/>
        </w:rPr>
        <w:lastRenderedPageBreak/>
        <w:t>r</w:t>
      </w:r>
      <w:r w:rsidR="003C5880" w:rsidRPr="000E0EB1">
        <w:rPr>
          <w:b/>
          <w:bCs/>
          <w:smallCaps/>
          <w:color w:val="00146D" w:themeColor="text2"/>
          <w:szCs w:val="40"/>
        </w:rPr>
        <w:t>educing the amount of ‘primary’ carbon in the system – carbon circularity lever</w:t>
      </w:r>
      <w:r w:rsidR="00045B06" w:rsidRPr="000E0EB1">
        <w:rPr>
          <w:b/>
          <w:bCs/>
          <w:smallCaps/>
          <w:color w:val="00146D" w:themeColor="text2"/>
          <w:szCs w:val="40"/>
        </w:rPr>
        <w:t>s</w:t>
      </w:r>
      <w:r w:rsidR="009D1E1A" w:rsidRPr="000E0EB1">
        <w:rPr>
          <w:b/>
          <w:bCs/>
          <w:smallCaps/>
          <w:color w:val="00146D" w:themeColor="text2"/>
          <w:szCs w:val="40"/>
        </w:rPr>
        <w:t xml:space="preserve"> that reuse, reallocating or recycle carbon</w:t>
      </w:r>
      <w:bookmarkEnd w:id="46"/>
      <w:bookmarkEnd w:id="47"/>
    </w:p>
    <w:p w14:paraId="186DACF6" w14:textId="352C8671" w:rsidR="00B461E8" w:rsidRPr="009901FA" w:rsidRDefault="00317BBD" w:rsidP="009A5880">
      <w:pPr>
        <w:rPr>
          <w:color w:val="000000" w:themeColor="text1"/>
        </w:rPr>
      </w:pPr>
      <w:r w:rsidRPr="009901FA">
        <w:rPr>
          <w:color w:val="000000" w:themeColor="text1"/>
        </w:rPr>
        <w:t xml:space="preserve">Chapters  </w:t>
      </w:r>
      <w:r w:rsidR="0035070F">
        <w:rPr>
          <w:color w:val="000000" w:themeColor="text1"/>
        </w:rPr>
        <w:t>1</w:t>
      </w:r>
      <w:r w:rsidRPr="009901FA">
        <w:rPr>
          <w:color w:val="000000" w:themeColor="text1"/>
        </w:rPr>
        <w:t xml:space="preserve"> and </w:t>
      </w:r>
      <w:r w:rsidR="0035070F">
        <w:rPr>
          <w:color w:val="000000" w:themeColor="text1"/>
        </w:rPr>
        <w:t>2</w:t>
      </w:r>
      <w:r w:rsidRPr="009901FA">
        <w:rPr>
          <w:color w:val="000000" w:themeColor="text1"/>
        </w:rPr>
        <w:t xml:space="preserve"> assessed the maximum potential to reduce the need for carbon inputs via the direct use of electricity and the use of hydrogen and non-carbon hydrogen derivatives. This demand for carbon could be met either with carbon reused and recycled within the economy, or with “primary“ carbon sourced from fossil fuels, bio sources, the atmosphere or the oceans. Chapters </w:t>
      </w:r>
      <w:r w:rsidR="0035070F">
        <w:rPr>
          <w:color w:val="000000" w:themeColor="text1"/>
        </w:rPr>
        <w:t>4</w:t>
      </w:r>
      <w:r w:rsidRPr="009901FA">
        <w:rPr>
          <w:color w:val="000000" w:themeColor="text1"/>
        </w:rPr>
        <w:t xml:space="preserve"> analyse</w:t>
      </w:r>
      <w:r w:rsidR="00B25851">
        <w:rPr>
          <w:color w:val="000000" w:themeColor="text1"/>
        </w:rPr>
        <w:t>s</w:t>
      </w:r>
      <w:r w:rsidRPr="009901FA">
        <w:rPr>
          <w:color w:val="000000" w:themeColor="text1"/>
        </w:rPr>
        <w:t xml:space="preserve"> the potential to source primary carbon in a truly sustainable fashion. This chapter that analyses the maximum potential to reduce primary carbon demand by reuse and recycling within the economy.</w:t>
      </w:r>
      <w:r w:rsidR="00E8701B" w:rsidRPr="009901FA">
        <w:rPr>
          <w:color w:val="000000" w:themeColor="text1"/>
        </w:rPr>
        <w:t xml:space="preserve"> </w:t>
      </w:r>
      <w:r w:rsidR="00B461E8" w:rsidRPr="009901FA">
        <w:rPr>
          <w:color w:val="000000" w:themeColor="text1"/>
        </w:rPr>
        <w:t>As outlined in</w:t>
      </w:r>
      <w:r w:rsidR="00B461E8" w:rsidRPr="009901FA">
        <w:rPr>
          <w:b/>
          <w:bCs/>
          <w:color w:val="000000" w:themeColor="text1"/>
        </w:rPr>
        <w:t xml:space="preserve"> </w:t>
      </w:r>
      <w:r w:rsidR="00B461E8" w:rsidRPr="009901FA">
        <w:rPr>
          <w:b/>
          <w:bCs/>
          <w:color w:val="000000" w:themeColor="text1"/>
        </w:rPr>
        <w:fldChar w:fldCharType="begin"/>
      </w:r>
      <w:r w:rsidR="00B461E8" w:rsidRPr="009901FA">
        <w:rPr>
          <w:b/>
          <w:bCs/>
          <w:color w:val="000000" w:themeColor="text1"/>
        </w:rPr>
        <w:instrText xml:space="preserve"> REF _Ref203747977 \h </w:instrText>
      </w:r>
      <w:r w:rsidR="00A247A6">
        <w:rPr>
          <w:b/>
          <w:bCs/>
          <w:color w:val="000000" w:themeColor="text1"/>
        </w:rPr>
        <w:instrText xml:space="preserve"> \* MERGEFORMAT </w:instrText>
      </w:r>
      <w:r w:rsidR="00B461E8" w:rsidRPr="009901FA">
        <w:rPr>
          <w:b/>
          <w:bCs/>
          <w:color w:val="000000" w:themeColor="text1"/>
        </w:rPr>
      </w:r>
      <w:r w:rsidR="00B461E8" w:rsidRPr="009901FA">
        <w:rPr>
          <w:b/>
          <w:bCs/>
          <w:color w:val="000000" w:themeColor="text1"/>
        </w:rPr>
        <w:fldChar w:fldCharType="separate"/>
      </w:r>
      <w:r w:rsidR="00DE378F" w:rsidRPr="009901FA">
        <w:t xml:space="preserve">Exhibit </w:t>
      </w:r>
      <w:r w:rsidR="00E61394">
        <w:rPr>
          <w:noProof/>
        </w:rPr>
        <w:t>3</w:t>
      </w:r>
      <w:r w:rsidR="00DE378F" w:rsidRPr="009901FA">
        <w:t>.</w:t>
      </w:r>
      <w:r w:rsidR="00DE378F" w:rsidRPr="009901FA">
        <w:rPr>
          <w:noProof/>
        </w:rPr>
        <w:t>1</w:t>
      </w:r>
      <w:r w:rsidR="00B461E8" w:rsidRPr="009901FA">
        <w:rPr>
          <w:b/>
          <w:bCs/>
          <w:color w:val="000000" w:themeColor="text1"/>
        </w:rPr>
        <w:fldChar w:fldCharType="end"/>
      </w:r>
      <w:r w:rsidR="00B461E8" w:rsidRPr="009901FA">
        <w:rPr>
          <w:color w:val="000000" w:themeColor="text1"/>
        </w:rPr>
        <w:t>, th</w:t>
      </w:r>
      <w:r w:rsidR="00E8701B" w:rsidRPr="009901FA">
        <w:rPr>
          <w:color w:val="000000" w:themeColor="text1"/>
        </w:rPr>
        <w:t>is</w:t>
      </w:r>
      <w:r w:rsidR="00B461E8" w:rsidRPr="009901FA">
        <w:rPr>
          <w:color w:val="000000" w:themeColor="text1"/>
        </w:rPr>
        <w:t xml:space="preserve"> chapter covers:</w:t>
      </w:r>
    </w:p>
    <w:p w14:paraId="54D0CED7" w14:textId="49CF1E21" w:rsidR="00BC3E2F" w:rsidRPr="009901FA" w:rsidRDefault="00BC3E2F" w:rsidP="00BC3E2F">
      <w:pPr>
        <w:pStyle w:val="ListParagraph"/>
        <w:numPr>
          <w:ilvl w:val="0"/>
          <w:numId w:val="48"/>
        </w:numPr>
        <w:rPr>
          <w:color w:val="000000" w:themeColor="text1"/>
        </w:rPr>
      </w:pPr>
      <w:r w:rsidRPr="009901FA">
        <w:rPr>
          <w:b/>
          <w:bCs/>
          <w:color w:val="000000" w:themeColor="text1"/>
        </w:rPr>
        <w:t>The potential to reduce demand via elimination, reuse and substitution.</w:t>
      </w:r>
      <w:r w:rsidRPr="009901FA">
        <w:rPr>
          <w:color w:val="000000" w:themeColor="text1"/>
        </w:rPr>
        <w:t xml:space="preserve"> We focus primarily on the potential in plastics but also assess the more limited potential for other materials</w:t>
      </w:r>
    </w:p>
    <w:p w14:paraId="699BE04D" w14:textId="77777777" w:rsidR="00BC3E2F" w:rsidRPr="009901FA" w:rsidRDefault="00BC3E2F" w:rsidP="00BC3E2F">
      <w:pPr>
        <w:pStyle w:val="ListParagraph"/>
        <w:numPr>
          <w:ilvl w:val="0"/>
          <w:numId w:val="48"/>
        </w:numPr>
        <w:rPr>
          <w:color w:val="000000" w:themeColor="text1"/>
        </w:rPr>
      </w:pPr>
      <w:r w:rsidRPr="009901FA">
        <w:rPr>
          <w:b/>
          <w:bCs/>
          <w:color w:val="000000" w:themeColor="text1"/>
        </w:rPr>
        <w:t>The role of advanced sortation technology.</w:t>
      </w:r>
      <w:r w:rsidRPr="009901FA">
        <w:rPr>
          <w:color w:val="000000" w:themeColor="text1"/>
        </w:rPr>
        <w:t xml:space="preserve"> This is not in itself a  recycling technology but a key enabler of both mechanical and chemical recycling </w:t>
      </w:r>
    </w:p>
    <w:p w14:paraId="1BF8CDC8" w14:textId="5311291E" w:rsidR="00BC3E2F" w:rsidRPr="009901FA" w:rsidRDefault="00BC3E2F" w:rsidP="00BC3E2F">
      <w:pPr>
        <w:pStyle w:val="ListParagraph"/>
        <w:numPr>
          <w:ilvl w:val="0"/>
          <w:numId w:val="48"/>
        </w:numPr>
        <w:rPr>
          <w:color w:val="000000" w:themeColor="text1"/>
        </w:rPr>
      </w:pPr>
      <w:r w:rsidRPr="009901FA">
        <w:rPr>
          <w:b/>
          <w:bCs/>
          <w:color w:val="000000" w:themeColor="text1"/>
        </w:rPr>
        <w:t>The maximum potential for mechanical recycling of plastics</w:t>
      </w:r>
      <w:r w:rsidRPr="009901FA">
        <w:rPr>
          <w:color w:val="000000" w:themeColor="text1"/>
        </w:rPr>
        <w:t>, which involves physically processing waste materials into new products without altering their chemical structure.</w:t>
      </w:r>
    </w:p>
    <w:p w14:paraId="32FB2309" w14:textId="77777777" w:rsidR="00BC3E2F" w:rsidRPr="009901FA" w:rsidRDefault="00BC3E2F" w:rsidP="00BC3E2F">
      <w:pPr>
        <w:pStyle w:val="ListParagraph"/>
        <w:numPr>
          <w:ilvl w:val="0"/>
          <w:numId w:val="48"/>
        </w:numPr>
        <w:rPr>
          <w:color w:val="000000" w:themeColor="text1"/>
        </w:rPr>
      </w:pPr>
      <w:r w:rsidRPr="009901FA">
        <w:rPr>
          <w:b/>
          <w:bCs/>
          <w:color w:val="000000" w:themeColor="text1"/>
        </w:rPr>
        <w:t>The potential for increased chemical recycling and thermo conversion</w:t>
      </w:r>
      <w:r w:rsidRPr="009901FA">
        <w:rPr>
          <w:color w:val="000000" w:themeColor="text1"/>
        </w:rPr>
        <w:t xml:space="preserve"> which converts waste (in particular plastics) into chemical building blocks.</w:t>
      </w:r>
    </w:p>
    <w:p w14:paraId="7ADEC703" w14:textId="23F923FD" w:rsidR="00F77D9E" w:rsidRPr="009901FA" w:rsidRDefault="00F77D9E" w:rsidP="00F77D9E">
      <w:pPr>
        <w:pStyle w:val="ListParagraph"/>
        <w:numPr>
          <w:ilvl w:val="0"/>
          <w:numId w:val="48"/>
        </w:numPr>
        <w:rPr>
          <w:color w:val="000000" w:themeColor="text1"/>
        </w:rPr>
      </w:pPr>
      <w:r w:rsidRPr="009901FA">
        <w:rPr>
          <w:b/>
          <w:bCs/>
          <w:color w:val="000000" w:themeColor="text1"/>
        </w:rPr>
        <w:t>The potential role for various forms of carbon capture and utilisation</w:t>
      </w:r>
      <w:r w:rsidRPr="009901FA">
        <w:rPr>
          <w:color w:val="000000" w:themeColor="text1"/>
        </w:rPr>
        <w:t>, which can reduce the demand for primary carbon by using the same carbon molecules for more than one economic activity.</w:t>
      </w:r>
    </w:p>
    <w:p w14:paraId="3985C584" w14:textId="20FE8FDD" w:rsidR="00C41D6F" w:rsidRPr="009901FA" w:rsidRDefault="00F77D9E" w:rsidP="00570BEF">
      <w:pPr>
        <w:rPr>
          <w:color w:val="000000" w:themeColor="text1"/>
        </w:rPr>
      </w:pPr>
      <w:r w:rsidRPr="009901FA">
        <w:rPr>
          <w:color w:val="000000" w:themeColor="text1"/>
        </w:rPr>
        <w:t>A</w:t>
      </w:r>
      <w:r w:rsidR="00254F83" w:rsidRPr="009901FA">
        <w:rPr>
          <w:color w:val="000000" w:themeColor="text1"/>
        </w:rPr>
        <w:t xml:space="preserve"> </w:t>
      </w:r>
      <w:r w:rsidR="00C41D6F" w:rsidRPr="009901FA">
        <w:rPr>
          <w:color w:val="000000" w:themeColor="text1"/>
        </w:rPr>
        <w:t xml:space="preserve">“maximum circularity” </w:t>
      </w:r>
      <w:r w:rsidR="00254F83" w:rsidRPr="009901FA">
        <w:rPr>
          <w:color w:val="000000" w:themeColor="text1"/>
        </w:rPr>
        <w:t xml:space="preserve">scenario is generated </w:t>
      </w:r>
      <w:r w:rsidR="00F05A6E" w:rsidRPr="009901FA">
        <w:rPr>
          <w:color w:val="000000" w:themeColor="text1"/>
        </w:rPr>
        <w:t xml:space="preserve">and </w:t>
      </w:r>
      <w:r w:rsidR="00B95C51" w:rsidRPr="009901FA">
        <w:rPr>
          <w:color w:val="000000" w:themeColor="text1"/>
        </w:rPr>
        <w:t>its</w:t>
      </w:r>
      <w:r w:rsidR="00C41D6F" w:rsidRPr="009901FA">
        <w:rPr>
          <w:color w:val="000000" w:themeColor="text1"/>
        </w:rPr>
        <w:t xml:space="preserve"> implications </w:t>
      </w:r>
      <w:r w:rsidR="003C105A" w:rsidRPr="009901FA">
        <w:rPr>
          <w:color w:val="000000" w:themeColor="text1"/>
        </w:rPr>
        <w:t xml:space="preserve">and potential impact </w:t>
      </w:r>
      <w:r w:rsidR="00C41D6F" w:rsidRPr="009901FA">
        <w:rPr>
          <w:color w:val="000000" w:themeColor="text1"/>
        </w:rPr>
        <w:t>for total primary carbon demand</w:t>
      </w:r>
      <w:r w:rsidR="00521045" w:rsidRPr="009901FA">
        <w:rPr>
          <w:color w:val="000000" w:themeColor="text1"/>
        </w:rPr>
        <w:t xml:space="preserve"> are assessed</w:t>
      </w:r>
      <w:r w:rsidR="00C41D6F" w:rsidRPr="009901FA">
        <w:rPr>
          <w:color w:val="000000" w:themeColor="text1"/>
        </w:rPr>
        <w:t>.</w:t>
      </w:r>
    </w:p>
    <w:p w14:paraId="344D5EEC" w14:textId="0D36040C" w:rsidR="00D33742" w:rsidRPr="009901FA" w:rsidRDefault="00D33742" w:rsidP="00D33742">
      <w:pPr>
        <w:pStyle w:val="Caption"/>
        <w:keepNext/>
      </w:pPr>
      <w:bookmarkStart w:id="48" w:name="_Ref203747977"/>
      <w:r w:rsidRPr="009901FA">
        <w:lastRenderedPageBreak/>
        <w:t xml:space="preserve">Exhibit </w:t>
      </w:r>
      <w:r w:rsidR="00E61394">
        <w:t>3</w:t>
      </w:r>
      <w:r w:rsidR="008725B4" w:rsidRPr="009901FA">
        <w:t>.</w:t>
      </w:r>
      <w:fldSimple w:instr=" SEQ Exhibit \* ARABIC \s 2 ">
        <w:r w:rsidR="00DE378F" w:rsidRPr="009901FA">
          <w:rPr>
            <w:noProof/>
          </w:rPr>
          <w:t>1</w:t>
        </w:r>
      </w:fldSimple>
      <w:bookmarkEnd w:id="48"/>
    </w:p>
    <w:p w14:paraId="1591D8D4" w14:textId="77777777" w:rsidR="009A7C07" w:rsidRPr="009901FA" w:rsidRDefault="00F15A21" w:rsidP="009A7C07">
      <w:pPr>
        <w:keepNext/>
      </w:pPr>
      <w:r w:rsidRPr="009901FA">
        <w:rPr>
          <w:noProof/>
        </w:rPr>
        <w:drawing>
          <wp:inline distT="0" distB="0" distL="0" distR="0" wp14:anchorId="2497B7E4" wp14:editId="000497C4">
            <wp:extent cx="6263640" cy="3523615"/>
            <wp:effectExtent l="0" t="0" r="3810" b="0"/>
            <wp:docPr id="122107246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072462"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6263640" cy="3523615"/>
                    </a:xfrm>
                    <a:prstGeom prst="rect">
                      <a:avLst/>
                    </a:prstGeom>
                  </pic:spPr>
                </pic:pic>
              </a:graphicData>
            </a:graphic>
          </wp:inline>
        </w:drawing>
      </w:r>
    </w:p>
    <w:p w14:paraId="3635EC23" w14:textId="745254F3" w:rsidR="00B42D2C" w:rsidRPr="009901FA" w:rsidRDefault="00B42D2C" w:rsidP="007917AE"/>
    <w:p w14:paraId="12D468E6" w14:textId="423F4006" w:rsidR="00B42D2C" w:rsidRPr="009901FA" w:rsidRDefault="005C4C40" w:rsidP="00B42D2C">
      <w:pPr>
        <w:pStyle w:val="Heading3"/>
      </w:pPr>
      <w:bookmarkStart w:id="49" w:name="_Toc205392455"/>
      <w:bookmarkStart w:id="50" w:name="_Toc205554224"/>
      <w:r>
        <w:t>3</w:t>
      </w:r>
      <w:r w:rsidR="00B42D2C" w:rsidRPr="009901FA">
        <w:t xml:space="preserve">.1 </w:t>
      </w:r>
      <w:r w:rsidR="00CF4F3B" w:rsidRPr="009901FA">
        <w:t>Demand Reduction: Elimination, Reuse and Substitution</w:t>
      </w:r>
      <w:bookmarkEnd w:id="49"/>
      <w:bookmarkEnd w:id="50"/>
    </w:p>
    <w:p w14:paraId="1EDBA37E" w14:textId="77777777" w:rsidR="00FA5D66" w:rsidRPr="009901FA" w:rsidRDefault="00FA5D66" w:rsidP="00FA5D66">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Overview</w:t>
      </w:r>
    </w:p>
    <w:p w14:paraId="6B1BDB15" w14:textId="51BB5430" w:rsidR="00FA5D66" w:rsidRPr="009901FA" w:rsidRDefault="00FA5D66" w:rsidP="00FA5D66">
      <w:pPr>
        <w:spacing w:after="160" w:line="279" w:lineRule="auto"/>
        <w:rPr>
          <w:rFonts w:eastAsiaTheme="majorEastAsia"/>
        </w:rPr>
      </w:pPr>
      <w:r w:rsidRPr="009901FA">
        <w:rPr>
          <w:rFonts w:eastAsiaTheme="majorEastAsia"/>
          <w:b/>
          <w:bCs/>
        </w:rPr>
        <w:t>Before recycling, demand reduction measures can directly reduce the volumes of carbon-intensive materials needed to deliver the same functions.</w:t>
      </w:r>
      <w:r w:rsidRPr="009901FA">
        <w:rPr>
          <w:rFonts w:eastAsiaTheme="majorEastAsia"/>
        </w:rPr>
        <w:t xml:space="preserve"> These are upstream circularity strategies, targeting the design and consumption phases of products rather than post-consumer waste management.</w:t>
      </w:r>
    </w:p>
    <w:p w14:paraId="26B0AB51" w14:textId="77777777" w:rsidR="00FA5D66" w:rsidRPr="009901FA" w:rsidRDefault="00FA5D66" w:rsidP="00FA5D66">
      <w:pPr>
        <w:spacing w:after="160" w:line="279" w:lineRule="auto"/>
        <w:rPr>
          <w:rFonts w:eastAsiaTheme="majorEastAsia"/>
        </w:rPr>
      </w:pPr>
      <w:r w:rsidRPr="009901FA">
        <w:rPr>
          <w:rFonts w:eastAsiaTheme="majorEastAsia"/>
        </w:rPr>
        <w:t>Demand reduction can be categorized into three levers:</w:t>
      </w:r>
    </w:p>
    <w:p w14:paraId="62A91179" w14:textId="06670969" w:rsidR="00FA5D66" w:rsidRPr="009901FA" w:rsidRDefault="00FA5D66" w:rsidP="002C2B3F">
      <w:pPr>
        <w:pStyle w:val="ListParagraph"/>
        <w:numPr>
          <w:ilvl w:val="1"/>
          <w:numId w:val="29"/>
        </w:numPr>
        <w:spacing w:after="160" w:line="279" w:lineRule="auto"/>
        <w:rPr>
          <w:rFonts w:eastAsiaTheme="majorEastAsia"/>
        </w:rPr>
      </w:pPr>
      <w:r w:rsidRPr="009901FA">
        <w:rPr>
          <w:rFonts w:eastAsiaTheme="majorEastAsia"/>
          <w:b/>
          <w:bCs/>
        </w:rPr>
        <w:t>Elimination</w:t>
      </w:r>
      <w:r w:rsidRPr="009901FA">
        <w:rPr>
          <w:rFonts w:eastAsiaTheme="majorEastAsia"/>
        </w:rPr>
        <w:t xml:space="preserve"> : removing excess</w:t>
      </w:r>
      <w:r w:rsidR="00F44B4E" w:rsidRPr="009901FA">
        <w:rPr>
          <w:rFonts w:eastAsiaTheme="majorEastAsia"/>
        </w:rPr>
        <w:t xml:space="preserve"> materials or resources in</w:t>
      </w:r>
      <w:r w:rsidRPr="009901FA">
        <w:rPr>
          <w:rFonts w:eastAsiaTheme="majorEastAsia"/>
        </w:rPr>
        <w:t xml:space="preserve"> products when they are unnecessary (e.g., in automotive and construction, where safety margins often lead to overuse).</w:t>
      </w:r>
    </w:p>
    <w:p w14:paraId="0B104100" w14:textId="29DB485A" w:rsidR="00FA5D66" w:rsidRPr="009901FA" w:rsidRDefault="00FA5D66" w:rsidP="002C2B3F">
      <w:pPr>
        <w:pStyle w:val="ListParagraph"/>
        <w:numPr>
          <w:ilvl w:val="1"/>
          <w:numId w:val="29"/>
        </w:numPr>
        <w:spacing w:after="160" w:line="279" w:lineRule="auto"/>
        <w:rPr>
          <w:rFonts w:eastAsiaTheme="majorEastAsia"/>
        </w:rPr>
      </w:pPr>
      <w:r w:rsidRPr="009901FA">
        <w:rPr>
          <w:rFonts w:eastAsiaTheme="majorEastAsia"/>
          <w:b/>
          <w:bCs/>
        </w:rPr>
        <w:t>Substitution</w:t>
      </w:r>
      <w:r w:rsidRPr="009901FA">
        <w:rPr>
          <w:rFonts w:eastAsiaTheme="majorEastAsia"/>
        </w:rPr>
        <w:t>: Replacing single-use materials with either lower-carbon density alternatives (e.g., cardboard) or more durable materials (e.g., changing single use plastic cutlery to stainless steel).</w:t>
      </w:r>
    </w:p>
    <w:p w14:paraId="099A6203" w14:textId="71320F77" w:rsidR="00FA5D66" w:rsidRPr="009901FA" w:rsidRDefault="00FA5D66" w:rsidP="002C2B3F">
      <w:pPr>
        <w:pStyle w:val="ListParagraph"/>
        <w:numPr>
          <w:ilvl w:val="1"/>
          <w:numId w:val="29"/>
        </w:numPr>
        <w:spacing w:after="160" w:line="279" w:lineRule="auto"/>
        <w:rPr>
          <w:rFonts w:eastAsiaTheme="majorEastAsia"/>
        </w:rPr>
      </w:pPr>
      <w:r w:rsidRPr="009901FA">
        <w:rPr>
          <w:rFonts w:eastAsiaTheme="majorEastAsia"/>
          <w:b/>
          <w:bCs/>
        </w:rPr>
        <w:t>Reuse</w:t>
      </w:r>
      <w:r w:rsidRPr="009901FA">
        <w:rPr>
          <w:rFonts w:eastAsiaTheme="majorEastAsia"/>
        </w:rPr>
        <w:t>: Extending the lifespan of materials without changing their composition</w:t>
      </w:r>
      <w:r w:rsidR="00FA7231" w:rsidRPr="009901FA">
        <w:rPr>
          <w:rFonts w:eastAsiaTheme="majorEastAsia"/>
        </w:rPr>
        <w:t xml:space="preserve"> (e.g. replacing single use items with more durable products)</w:t>
      </w:r>
    </w:p>
    <w:p w14:paraId="06CA9915" w14:textId="5240AF12" w:rsidR="00FA5D66" w:rsidRPr="009901FA" w:rsidRDefault="00FA5D66" w:rsidP="00FA5D66">
      <w:pPr>
        <w:spacing w:after="160" w:line="279" w:lineRule="auto"/>
        <w:rPr>
          <w:rFonts w:eastAsiaTheme="majorEastAsia"/>
        </w:rPr>
      </w:pPr>
      <w:r w:rsidRPr="009901FA">
        <w:rPr>
          <w:rFonts w:eastAsiaTheme="majorEastAsia"/>
          <w:b/>
          <w:bCs/>
        </w:rPr>
        <w:t xml:space="preserve">Together, these measures have the potential reduce demand for primary carbon molecules in the </w:t>
      </w:r>
      <w:r w:rsidR="00013371" w:rsidRPr="009901FA">
        <w:rPr>
          <w:rFonts w:eastAsiaTheme="majorEastAsia"/>
          <w:b/>
          <w:bCs/>
        </w:rPr>
        <w:t xml:space="preserve">materials </w:t>
      </w:r>
      <w:r w:rsidRPr="009901FA">
        <w:rPr>
          <w:rFonts w:eastAsiaTheme="majorEastAsia"/>
          <w:b/>
          <w:bCs/>
        </w:rPr>
        <w:t>sector.</w:t>
      </w:r>
      <w:r w:rsidRPr="009901FA">
        <w:rPr>
          <w:rFonts w:eastAsiaTheme="majorEastAsia"/>
        </w:rPr>
        <w:t xml:space="preserve"> Among them, as shown in </w:t>
      </w:r>
      <w:r w:rsidR="00D33742" w:rsidRPr="009901FA">
        <w:rPr>
          <w:rFonts w:eastAsiaTheme="majorEastAsia"/>
        </w:rPr>
        <w:fldChar w:fldCharType="begin"/>
      </w:r>
      <w:r w:rsidR="00D33742" w:rsidRPr="009901FA">
        <w:rPr>
          <w:rFonts w:eastAsiaTheme="majorEastAsia"/>
        </w:rPr>
        <w:instrText xml:space="preserve"> REF _Ref203747992 \h </w:instrText>
      </w:r>
      <w:r w:rsidR="00A247A6">
        <w:rPr>
          <w:rFonts w:eastAsiaTheme="majorEastAsia"/>
        </w:rPr>
        <w:instrText xml:space="preserve"> \* MERGEFORMAT </w:instrText>
      </w:r>
      <w:r w:rsidR="00D33742" w:rsidRPr="009901FA">
        <w:rPr>
          <w:rFonts w:eastAsiaTheme="majorEastAsia"/>
        </w:rPr>
      </w:r>
      <w:r w:rsidR="00D33742" w:rsidRPr="009901FA">
        <w:rPr>
          <w:rFonts w:eastAsiaTheme="majorEastAsia"/>
        </w:rPr>
        <w:fldChar w:fldCharType="separate"/>
      </w:r>
      <w:r w:rsidR="00DE378F" w:rsidRPr="009901FA">
        <w:t xml:space="preserve">Exhibit </w:t>
      </w:r>
      <w:r w:rsidR="00E61394">
        <w:rPr>
          <w:noProof/>
        </w:rPr>
        <w:t>3</w:t>
      </w:r>
      <w:r w:rsidR="00DE378F" w:rsidRPr="009901FA">
        <w:t>.</w:t>
      </w:r>
      <w:r w:rsidR="00DE378F" w:rsidRPr="009901FA">
        <w:rPr>
          <w:noProof/>
        </w:rPr>
        <w:t>2</w:t>
      </w:r>
      <w:r w:rsidR="00D33742" w:rsidRPr="009901FA">
        <w:rPr>
          <w:rFonts w:eastAsiaTheme="majorEastAsia"/>
        </w:rPr>
        <w:fldChar w:fldCharType="end"/>
      </w:r>
      <w:r w:rsidR="00D33742" w:rsidRPr="009901FA">
        <w:rPr>
          <w:rFonts w:eastAsiaTheme="majorEastAsia"/>
        </w:rPr>
        <w:t>,</w:t>
      </w:r>
      <w:r w:rsidRPr="009901FA">
        <w:rPr>
          <w:rFonts w:eastAsiaTheme="majorEastAsia"/>
        </w:rPr>
        <w:t xml:space="preserve"> reuse is likely </w:t>
      </w:r>
      <w:r w:rsidRPr="009901FA">
        <w:rPr>
          <w:rFonts w:eastAsiaTheme="majorEastAsia"/>
        </w:rPr>
        <w:lastRenderedPageBreak/>
        <w:t>to be the most significant demand reduction lever. This is especially true in the packaging sector, which is the largest driver of demand for chemicals.</w:t>
      </w:r>
      <w:r w:rsidRPr="009901FA">
        <w:rPr>
          <w:rStyle w:val="FootnoteReference"/>
          <w:rFonts w:eastAsiaTheme="majorEastAsia"/>
        </w:rPr>
        <w:footnoteReference w:id="33"/>
      </w:r>
      <w:r w:rsidRPr="009901FA">
        <w:rPr>
          <w:rFonts w:eastAsiaTheme="majorEastAsia"/>
        </w:rPr>
        <w:t xml:space="preserve"> </w:t>
      </w:r>
    </w:p>
    <w:p w14:paraId="1AE0FF5B" w14:textId="24B6A739" w:rsidR="00D33742" w:rsidRPr="009901FA" w:rsidRDefault="00D33742" w:rsidP="00D33742">
      <w:pPr>
        <w:pStyle w:val="Caption"/>
        <w:keepNext/>
      </w:pPr>
      <w:bookmarkStart w:id="51" w:name="_Ref203747992"/>
      <w:r w:rsidRPr="009901FA">
        <w:t xml:space="preserve">Exhibit </w:t>
      </w:r>
      <w:r w:rsidR="00E61394">
        <w:t>3</w:t>
      </w:r>
      <w:r w:rsidR="008725B4" w:rsidRPr="009901FA">
        <w:t>.</w:t>
      </w:r>
      <w:fldSimple w:instr=" SEQ Exhibit \* ARABIC \s 2 ">
        <w:r w:rsidR="00DE378F" w:rsidRPr="009901FA">
          <w:rPr>
            <w:noProof/>
          </w:rPr>
          <w:t>2</w:t>
        </w:r>
      </w:fldSimple>
      <w:bookmarkEnd w:id="51"/>
    </w:p>
    <w:p w14:paraId="6A5FBCF2" w14:textId="5A9CA3BE" w:rsidR="00CF4F3B" w:rsidRPr="009901FA" w:rsidRDefault="00E62B84" w:rsidP="00CF4F3B">
      <w:r w:rsidRPr="009901FA">
        <w:rPr>
          <w:noProof/>
        </w:rPr>
        <w:drawing>
          <wp:inline distT="0" distB="0" distL="0" distR="0" wp14:anchorId="46428D9C" wp14:editId="75BFA636">
            <wp:extent cx="6263640" cy="3558540"/>
            <wp:effectExtent l="0" t="0" r="3810" b="3810"/>
            <wp:docPr id="1930478853" name="Picture 1" descr="A graph of a number of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478853" name="Picture 1" descr="A graph of a number of different colored squares&#10;&#10;Description automatically generated with medium confidence"/>
                    <pic:cNvPicPr/>
                  </pic:nvPicPr>
                  <pic:blipFill>
                    <a:blip r:embed="rId44"/>
                    <a:stretch>
                      <a:fillRect/>
                    </a:stretch>
                  </pic:blipFill>
                  <pic:spPr>
                    <a:xfrm>
                      <a:off x="0" y="0"/>
                      <a:ext cx="6263640" cy="3558540"/>
                    </a:xfrm>
                    <a:prstGeom prst="rect">
                      <a:avLst/>
                    </a:prstGeom>
                  </pic:spPr>
                </pic:pic>
              </a:graphicData>
            </a:graphic>
          </wp:inline>
        </w:drawing>
      </w:r>
    </w:p>
    <w:p w14:paraId="5EFB020B" w14:textId="77777777" w:rsidR="003B5E72" w:rsidRPr="009901FA" w:rsidRDefault="003B5E72" w:rsidP="003B5E72">
      <w:pPr>
        <w:spacing w:after="160" w:line="279" w:lineRule="auto"/>
        <w:rPr>
          <w:rFonts w:eastAsiaTheme="majorEastAsia"/>
        </w:rPr>
      </w:pPr>
      <w:r w:rsidRPr="009901FA">
        <w:rPr>
          <w:rFonts w:eastAsiaTheme="majorEastAsia"/>
        </w:rPr>
        <w:t xml:space="preserve">Reuse of materials can be classified into three broad modalities: </w:t>
      </w:r>
    </w:p>
    <w:p w14:paraId="5E8A5A5A" w14:textId="77777777" w:rsidR="003B5E72" w:rsidRPr="009901FA" w:rsidRDefault="003B5E72" w:rsidP="002C2B3F">
      <w:pPr>
        <w:pStyle w:val="ListParagraph"/>
        <w:numPr>
          <w:ilvl w:val="1"/>
          <w:numId w:val="29"/>
        </w:numPr>
        <w:spacing w:after="160" w:line="279" w:lineRule="auto"/>
        <w:rPr>
          <w:rFonts w:eastAsiaTheme="majorEastAsia"/>
        </w:rPr>
      </w:pPr>
      <w:r w:rsidRPr="009901FA">
        <w:rPr>
          <w:rFonts w:eastAsiaTheme="majorEastAsia"/>
          <w:b/>
        </w:rPr>
        <w:t>Recommerce:</w:t>
      </w:r>
      <w:r w:rsidRPr="009901FA">
        <w:rPr>
          <w:rFonts w:eastAsiaTheme="majorEastAsia"/>
        </w:rPr>
        <w:t xml:space="preserve"> Extending product lifespans by enabling multiple ownership cycles (e.g., second-hand markets). This model is expected to scale most notably in textiles, reaching up to 25% market share of the fashion industry by mid-century</w:t>
      </w:r>
      <w:r w:rsidRPr="009901FA">
        <w:rPr>
          <w:rStyle w:val="FootnoteReference"/>
          <w:rFonts w:eastAsiaTheme="majorEastAsia"/>
        </w:rPr>
        <w:footnoteReference w:id="34"/>
      </w:r>
      <w:r w:rsidRPr="009901FA">
        <w:rPr>
          <w:rFonts w:eastAsiaTheme="majorEastAsia"/>
        </w:rPr>
        <w:t>. This only represents a small proportion of total demand.</w:t>
      </w:r>
    </w:p>
    <w:p w14:paraId="7CB92049" w14:textId="77777777" w:rsidR="003B5E72" w:rsidRPr="009901FA" w:rsidRDefault="003B5E72" w:rsidP="003B5E72">
      <w:pPr>
        <w:pStyle w:val="ListParagraph"/>
        <w:spacing w:after="160" w:line="279" w:lineRule="auto"/>
        <w:ind w:left="1440"/>
        <w:rPr>
          <w:rFonts w:eastAsiaTheme="majorEastAsia"/>
        </w:rPr>
      </w:pPr>
    </w:p>
    <w:p w14:paraId="65187871" w14:textId="01A935F4" w:rsidR="003B5E72" w:rsidRPr="009901FA" w:rsidRDefault="003B5E72" w:rsidP="002C2B3F">
      <w:pPr>
        <w:pStyle w:val="ListParagraph"/>
        <w:numPr>
          <w:ilvl w:val="1"/>
          <w:numId w:val="29"/>
        </w:numPr>
        <w:spacing w:after="160" w:line="279" w:lineRule="auto"/>
        <w:rPr>
          <w:rFonts w:eastAsiaTheme="majorEastAsia"/>
        </w:rPr>
      </w:pPr>
      <w:r w:rsidRPr="009901FA">
        <w:rPr>
          <w:rFonts w:eastAsiaTheme="majorEastAsia"/>
          <w:b/>
          <w:bCs/>
        </w:rPr>
        <w:t>X-as-a-Service (XaaS):</w:t>
      </w:r>
      <w:r w:rsidRPr="009901FA">
        <w:rPr>
          <w:rFonts w:eastAsiaTheme="majorEastAsia"/>
        </w:rPr>
        <w:t xml:space="preserve"> Shared-use business models that replace individual ownerships(e.g., Uber for cars, WeWork for buildings, laundromats for white goods). XaaS has a large potential coverage, as it is applicable across most industries. Although we are seeing shifts to rental and sharing economies, notably in the transport sector, it is assumed that XaaS faces a scalability ‘ceiling’ due </w:t>
      </w:r>
      <w:r w:rsidR="00207A12" w:rsidRPr="009901FA">
        <w:rPr>
          <w:rFonts w:eastAsiaTheme="majorEastAsia"/>
        </w:rPr>
        <w:t>to</w:t>
      </w:r>
      <w:r w:rsidRPr="009901FA">
        <w:rPr>
          <w:rFonts w:eastAsiaTheme="majorEastAsia"/>
        </w:rPr>
        <w:t xml:space="preserve"> </w:t>
      </w:r>
      <w:r w:rsidR="00197F0C" w:rsidRPr="009901FA">
        <w:rPr>
          <w:rFonts w:eastAsiaTheme="majorEastAsia"/>
        </w:rPr>
        <w:t>behavioural</w:t>
      </w:r>
      <w:r w:rsidRPr="009901FA">
        <w:rPr>
          <w:rFonts w:eastAsiaTheme="majorEastAsia"/>
        </w:rPr>
        <w:t xml:space="preserve"> inertia</w:t>
      </w:r>
      <w:r w:rsidR="00756644" w:rsidRPr="009901FA">
        <w:rPr>
          <w:rFonts w:eastAsiaTheme="majorEastAsia"/>
        </w:rPr>
        <w:t xml:space="preserve"> in the short to mid-term</w:t>
      </w:r>
      <w:r w:rsidRPr="009901FA">
        <w:rPr>
          <w:rFonts w:eastAsiaTheme="majorEastAsia"/>
        </w:rPr>
        <w:t>. Consumers are likely to replace single-use plastic bags more readily than giving up ownership of homes, clothes, or cars.</w:t>
      </w:r>
    </w:p>
    <w:p w14:paraId="76D184DA" w14:textId="77777777" w:rsidR="003B5E72" w:rsidRPr="009901FA" w:rsidRDefault="003B5E72" w:rsidP="003B5E72">
      <w:pPr>
        <w:pStyle w:val="ListParagraph"/>
        <w:rPr>
          <w:rFonts w:eastAsiaTheme="majorEastAsia"/>
          <w:b/>
          <w:bCs/>
        </w:rPr>
      </w:pPr>
    </w:p>
    <w:p w14:paraId="5EE29E6C" w14:textId="77777777" w:rsidR="003B5E72" w:rsidRPr="009901FA" w:rsidRDefault="003B5E72" w:rsidP="002C2B3F">
      <w:pPr>
        <w:pStyle w:val="ListParagraph"/>
        <w:numPr>
          <w:ilvl w:val="1"/>
          <w:numId w:val="29"/>
        </w:numPr>
        <w:spacing w:after="160" w:line="279" w:lineRule="auto"/>
        <w:rPr>
          <w:rFonts w:eastAsiaTheme="majorEastAsia"/>
        </w:rPr>
      </w:pPr>
      <w:r w:rsidRPr="009901FA">
        <w:rPr>
          <w:rFonts w:eastAsiaTheme="majorEastAsia"/>
          <w:b/>
        </w:rPr>
        <w:t>Reuse of packaging:</w:t>
      </w:r>
      <w:r w:rsidRPr="009901FA">
        <w:rPr>
          <w:rFonts w:eastAsiaTheme="majorEastAsia"/>
        </w:rPr>
        <w:t xml:space="preserve"> Services and business which provide the utilities previously furnished by single-use items, while using the same materials. This includes refill and return systems in the consumer and business-to-business sectors. </w:t>
      </w:r>
    </w:p>
    <w:p w14:paraId="000F7358" w14:textId="2022C284" w:rsidR="007917AE" w:rsidRPr="009901FA" w:rsidRDefault="003B5E72" w:rsidP="00EC5443">
      <w:pPr>
        <w:spacing w:after="160" w:line="279" w:lineRule="auto"/>
        <w:rPr>
          <w:rFonts w:eastAsiaTheme="majorEastAsia"/>
        </w:rPr>
      </w:pPr>
      <w:r w:rsidRPr="009901FA">
        <w:rPr>
          <w:rFonts w:eastAsiaTheme="majorEastAsia"/>
          <w:b/>
          <w:bCs/>
        </w:rPr>
        <w:t>While reuse covers a wide range of use models, the reuse and refill of packaging has the largest potential for demand reduction.</w:t>
      </w:r>
      <w:r w:rsidRPr="009901FA">
        <w:rPr>
          <w:rFonts w:eastAsiaTheme="majorEastAsia"/>
        </w:rPr>
        <w:t xml:space="preserve"> Packaging reuse is not new. Many examples, such as refilling pantry items from a dispensary, have only been displaced by single-use packaging in the last 50 years. In general, reuse models have been (re) emerging across consumer goods sectors.</w:t>
      </w:r>
    </w:p>
    <w:p w14:paraId="72A8D2D7" w14:textId="77777777" w:rsidR="00183295" w:rsidRPr="009901FA" w:rsidRDefault="00183295" w:rsidP="00183295">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Costs</w:t>
      </w:r>
    </w:p>
    <w:p w14:paraId="702BE8F8" w14:textId="62DB11E5" w:rsidR="00183295" w:rsidRPr="009901FA" w:rsidRDefault="00183295" w:rsidP="00183295">
      <w:pPr>
        <w:spacing w:after="160" w:line="279" w:lineRule="auto"/>
        <w:rPr>
          <w:rFonts w:eastAsiaTheme="majorEastAsia"/>
        </w:rPr>
      </w:pPr>
      <w:r w:rsidRPr="009901FA">
        <w:rPr>
          <w:rFonts w:eastAsiaTheme="majorEastAsia"/>
          <w:b/>
          <w:bCs/>
        </w:rPr>
        <w:t>Brands are beginning to experiment with new ‘reuse’ business models.</w:t>
      </w:r>
      <w:r w:rsidRPr="009901FA">
        <w:rPr>
          <w:rFonts w:eastAsiaTheme="majorEastAsia"/>
        </w:rPr>
        <w:t xml:space="preserve"> These require rethinking, adding complexity to supply chains and additional operational expenses for the collection, transport, cleaning and refill of packaging. Reuse also implies changes for the specifications for the packaging itself, which must be able to withstand and facilitate multiple refill and return cycles while remaining visually and chemically unaltered. </w:t>
      </w:r>
      <w:r w:rsidR="00D33742" w:rsidRPr="009901FA">
        <w:rPr>
          <w:rFonts w:eastAsiaTheme="majorEastAsia"/>
        </w:rPr>
        <w:fldChar w:fldCharType="begin"/>
      </w:r>
      <w:r w:rsidR="00D33742" w:rsidRPr="009901FA">
        <w:rPr>
          <w:rFonts w:eastAsiaTheme="majorEastAsia"/>
        </w:rPr>
        <w:instrText xml:space="preserve"> REF _Ref203748012 \h </w:instrText>
      </w:r>
      <w:r w:rsidR="00A247A6">
        <w:rPr>
          <w:rFonts w:eastAsiaTheme="majorEastAsia"/>
        </w:rPr>
        <w:instrText xml:space="preserve"> \* MERGEFORMAT </w:instrText>
      </w:r>
      <w:r w:rsidR="00D33742" w:rsidRPr="009901FA">
        <w:rPr>
          <w:rFonts w:eastAsiaTheme="majorEastAsia"/>
        </w:rPr>
      </w:r>
      <w:r w:rsidR="00D33742" w:rsidRPr="009901FA">
        <w:rPr>
          <w:rFonts w:eastAsiaTheme="majorEastAsia"/>
        </w:rPr>
        <w:fldChar w:fldCharType="separate"/>
      </w:r>
      <w:r w:rsidR="00DE378F" w:rsidRPr="009901FA">
        <w:t xml:space="preserve">Exhibit </w:t>
      </w:r>
      <w:r w:rsidR="00E61394">
        <w:rPr>
          <w:noProof/>
        </w:rPr>
        <w:t>3</w:t>
      </w:r>
      <w:r w:rsidR="00DE378F" w:rsidRPr="009901FA">
        <w:t>.</w:t>
      </w:r>
      <w:r w:rsidR="00DE378F" w:rsidRPr="009901FA">
        <w:rPr>
          <w:noProof/>
        </w:rPr>
        <w:t>3</w:t>
      </w:r>
      <w:r w:rsidR="00D33742" w:rsidRPr="009901FA">
        <w:rPr>
          <w:rFonts w:eastAsiaTheme="majorEastAsia"/>
        </w:rPr>
        <w:fldChar w:fldCharType="end"/>
      </w:r>
      <w:r w:rsidRPr="009901FA">
        <w:rPr>
          <w:rFonts w:eastAsiaTheme="majorEastAsia"/>
        </w:rPr>
        <w:t xml:space="preserve"> shows a total system cost-per-use analysis of the economic impact of shifting from single-use to reusable packaging. Despite the averaging of production and disposal costs across successive uses, the additional operations trigger cost increases ranging from 55- 137%.</w:t>
      </w:r>
      <w:r w:rsidR="0001238D" w:rsidRPr="009901FA">
        <w:rPr>
          <w:rFonts w:eastAsiaTheme="majorEastAsia"/>
        </w:rPr>
        <w:t xml:space="preserve"> </w:t>
      </w:r>
      <w:r w:rsidRPr="009901FA">
        <w:rPr>
          <w:rFonts w:eastAsiaTheme="majorEastAsia"/>
        </w:rPr>
        <w:t>The difference in cost deltas across sectors is driven primarily by the new requirements for durability and washability of packaging.</w:t>
      </w:r>
      <w:r w:rsidRPr="009901FA">
        <w:rPr>
          <w:rStyle w:val="FootnoteReference"/>
          <w:rFonts w:eastAsiaTheme="majorEastAsia"/>
        </w:rPr>
        <w:footnoteReference w:id="35"/>
      </w:r>
      <w:r w:rsidRPr="009901FA">
        <w:rPr>
          <w:rFonts w:eastAsiaTheme="majorEastAsia"/>
        </w:rPr>
        <w:t xml:space="preserve"> The cost increase is greater for heavier materials (e.g., food packaging vs. personal care), with extreme cases like switching from plastic to glass showing a significant cost rise. </w:t>
      </w:r>
    </w:p>
    <w:p w14:paraId="51AB522E" w14:textId="05846C8C" w:rsidR="00D33742" w:rsidRPr="009901FA" w:rsidRDefault="00D33742" w:rsidP="00D33742">
      <w:pPr>
        <w:pStyle w:val="Caption"/>
        <w:keepNext/>
      </w:pPr>
      <w:bookmarkStart w:id="52" w:name="_Ref203748012"/>
      <w:r w:rsidRPr="009901FA">
        <w:lastRenderedPageBreak/>
        <w:t xml:space="preserve">Exhibit </w:t>
      </w:r>
      <w:r w:rsidR="00E61394">
        <w:t>3</w:t>
      </w:r>
      <w:r w:rsidR="008725B4" w:rsidRPr="009901FA">
        <w:t>.</w:t>
      </w:r>
      <w:fldSimple w:instr=" SEQ Exhibit \* ARABIC \s 2 ">
        <w:r w:rsidR="00DE378F" w:rsidRPr="009901FA">
          <w:rPr>
            <w:noProof/>
          </w:rPr>
          <w:t>3</w:t>
        </w:r>
      </w:fldSimple>
      <w:bookmarkEnd w:id="52"/>
    </w:p>
    <w:p w14:paraId="70BA9D8F" w14:textId="41DC4334" w:rsidR="00CB02C2" w:rsidRPr="009901FA" w:rsidRDefault="000C597B">
      <w:pPr>
        <w:rPr>
          <w:rFonts w:eastAsiaTheme="majorEastAsia"/>
        </w:rPr>
      </w:pPr>
      <w:r w:rsidRPr="009901FA">
        <w:rPr>
          <w:rFonts w:eastAsiaTheme="majorEastAsia"/>
          <w:noProof/>
        </w:rPr>
        <w:drawing>
          <wp:inline distT="0" distB="0" distL="0" distR="0" wp14:anchorId="3A0AE7F3" wp14:editId="6863C002">
            <wp:extent cx="6263640" cy="3495675"/>
            <wp:effectExtent l="0" t="0" r="3810" b="9525"/>
            <wp:docPr id="2020828453" name="Picture 1" descr="A graph of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828453" name="Picture 1" descr="A graph of different colored bars&#10;&#10;AI-generated content may be incorrect."/>
                    <pic:cNvPicPr/>
                  </pic:nvPicPr>
                  <pic:blipFill>
                    <a:blip r:embed="rId45"/>
                    <a:stretch>
                      <a:fillRect/>
                    </a:stretch>
                  </pic:blipFill>
                  <pic:spPr>
                    <a:xfrm>
                      <a:off x="0" y="0"/>
                      <a:ext cx="6263640" cy="3495675"/>
                    </a:xfrm>
                    <a:prstGeom prst="rect">
                      <a:avLst/>
                    </a:prstGeom>
                  </pic:spPr>
                </pic:pic>
              </a:graphicData>
            </a:graphic>
          </wp:inline>
        </w:drawing>
      </w:r>
    </w:p>
    <w:p w14:paraId="72C5FAF5" w14:textId="0074E9E1" w:rsidR="00747169" w:rsidRPr="009901FA" w:rsidRDefault="00747169" w:rsidP="00747169">
      <w:pPr>
        <w:rPr>
          <w:rFonts w:eastAsiaTheme="majorEastAsia"/>
        </w:rPr>
      </w:pPr>
      <w:r w:rsidRPr="009901FA">
        <w:rPr>
          <w:rFonts w:eastAsiaTheme="majorEastAsia"/>
          <w:b/>
          <w:bCs/>
        </w:rPr>
        <w:t>Despite initial cost challenges, economies of scale can drive significant cost reductions</w:t>
      </w:r>
      <w:r w:rsidR="00A41D62" w:rsidRPr="009901FA">
        <w:rPr>
          <w:rFonts w:eastAsiaTheme="majorEastAsia"/>
          <w:b/>
          <w:bCs/>
        </w:rPr>
        <w:t>.</w:t>
      </w:r>
      <w:r w:rsidRPr="009901FA">
        <w:rPr>
          <w:rFonts w:eastAsiaTheme="majorEastAsia"/>
        </w:rPr>
        <w:t xml:space="preserve"> The high barriers to entry – needed to establish new supply chains, cleaning and refill technologies – could be mitigated via economies of scale. This includes:</w:t>
      </w:r>
    </w:p>
    <w:p w14:paraId="30397653" w14:textId="77777777" w:rsidR="00747169" w:rsidRPr="009901FA" w:rsidRDefault="00747169" w:rsidP="002C2B3F">
      <w:pPr>
        <w:numPr>
          <w:ilvl w:val="1"/>
          <w:numId w:val="29"/>
        </w:numPr>
        <w:rPr>
          <w:rFonts w:eastAsiaTheme="majorEastAsia"/>
        </w:rPr>
      </w:pPr>
      <w:r w:rsidRPr="009901FA">
        <w:rPr>
          <w:rFonts w:eastAsiaTheme="majorEastAsia"/>
          <w:b/>
        </w:rPr>
        <w:t>Market share expansion</w:t>
      </w:r>
      <w:r w:rsidRPr="009901FA">
        <w:rPr>
          <w:rFonts w:eastAsiaTheme="majorEastAsia"/>
          <w:b/>
          <w:bCs/>
        </w:rPr>
        <w:t>:</w:t>
      </w:r>
      <w:r w:rsidRPr="009901FA">
        <w:rPr>
          <w:rFonts w:eastAsiaTheme="majorEastAsia"/>
        </w:rPr>
        <w:t xml:space="preserve"> More companies participating in reuse increases efficiencies. </w:t>
      </w:r>
    </w:p>
    <w:p w14:paraId="277D2898" w14:textId="77777777" w:rsidR="00747169" w:rsidRPr="009901FA" w:rsidRDefault="00747169" w:rsidP="002C2B3F">
      <w:pPr>
        <w:numPr>
          <w:ilvl w:val="1"/>
          <w:numId w:val="29"/>
        </w:numPr>
        <w:rPr>
          <w:rFonts w:eastAsiaTheme="majorEastAsia"/>
        </w:rPr>
      </w:pPr>
      <w:r w:rsidRPr="009901FA">
        <w:rPr>
          <w:rFonts w:eastAsiaTheme="majorEastAsia"/>
          <w:b/>
        </w:rPr>
        <w:t>Shared infrastructure:</w:t>
      </w:r>
      <w:r w:rsidRPr="009901FA">
        <w:rPr>
          <w:rFonts w:eastAsiaTheme="majorEastAsia"/>
        </w:rPr>
        <w:t xml:space="preserve"> Shifting from company-specific supply chains and cleaning and refill infrastructure to collectivized infrastructure shortens supply chains, as trucks are able to travel to the nearest available processing plant.</w:t>
      </w:r>
    </w:p>
    <w:p w14:paraId="078B0BEA" w14:textId="77777777" w:rsidR="00747169" w:rsidRPr="009901FA" w:rsidRDefault="00747169" w:rsidP="002C2B3F">
      <w:pPr>
        <w:numPr>
          <w:ilvl w:val="1"/>
          <w:numId w:val="29"/>
        </w:numPr>
        <w:rPr>
          <w:rFonts w:eastAsiaTheme="majorEastAsia"/>
        </w:rPr>
      </w:pPr>
      <w:r w:rsidRPr="009901FA">
        <w:rPr>
          <w:rFonts w:eastAsiaTheme="majorEastAsia"/>
          <w:b/>
        </w:rPr>
        <w:t>Standardized packaging:</w:t>
      </w:r>
      <w:r w:rsidRPr="009901FA">
        <w:rPr>
          <w:rFonts w:eastAsiaTheme="majorEastAsia"/>
        </w:rPr>
        <w:t xml:space="preserve"> Using common formats for beverage bottles or food packaging enables centralized cleaning and refilling across brands, optimizing operational costs. While this may seem like an ambitious measure, there is precedent: for example, all beverage bottles have the same size of neck opening to be able to use standardized refill equipment. </w:t>
      </w:r>
    </w:p>
    <w:p w14:paraId="2D814A0F" w14:textId="20F60CE7" w:rsidR="00D33742" w:rsidRPr="009901FA" w:rsidRDefault="00D33742" w:rsidP="00D33742">
      <w:pPr>
        <w:pStyle w:val="Caption"/>
        <w:keepNext/>
      </w:pPr>
      <w:r w:rsidRPr="009901FA">
        <w:lastRenderedPageBreak/>
        <w:t xml:space="preserve">Exhibit </w:t>
      </w:r>
      <w:r w:rsidR="00E61394">
        <w:t>3</w:t>
      </w:r>
      <w:r w:rsidR="008725B4" w:rsidRPr="009901FA">
        <w:t>.</w:t>
      </w:r>
      <w:fldSimple w:instr=" SEQ Exhibit \* ARABIC \s 2 ">
        <w:r w:rsidR="00DE378F" w:rsidRPr="009901FA">
          <w:rPr>
            <w:noProof/>
          </w:rPr>
          <w:t>4</w:t>
        </w:r>
      </w:fldSimple>
    </w:p>
    <w:p w14:paraId="76FD286A" w14:textId="5C736EF3" w:rsidR="004C57F2" w:rsidRPr="009901FA" w:rsidRDefault="004C57F2">
      <w:pPr>
        <w:rPr>
          <w:rFonts w:eastAsiaTheme="majorEastAsia"/>
        </w:rPr>
      </w:pPr>
      <w:r w:rsidRPr="009901FA">
        <w:rPr>
          <w:noProof/>
        </w:rPr>
        <w:drawing>
          <wp:inline distT="0" distB="0" distL="0" distR="0" wp14:anchorId="21464503" wp14:editId="0807B90C">
            <wp:extent cx="6263640" cy="3523615"/>
            <wp:effectExtent l="0" t="0" r="0" b="0"/>
            <wp:docPr id="114411912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119123"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6263640" cy="3523615"/>
                    </a:xfrm>
                    <a:prstGeom prst="rect">
                      <a:avLst/>
                    </a:prstGeom>
                  </pic:spPr>
                </pic:pic>
              </a:graphicData>
            </a:graphic>
          </wp:inline>
        </w:drawing>
      </w:r>
    </w:p>
    <w:p w14:paraId="3C31359A" w14:textId="77777777" w:rsidR="00CC3F83" w:rsidRPr="009901FA" w:rsidRDefault="00CC3F83" w:rsidP="00CC3F83">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Impact</w:t>
      </w:r>
    </w:p>
    <w:p w14:paraId="768AF95B" w14:textId="7ECDBCCE" w:rsidR="00CC3F83" w:rsidRPr="009901FA" w:rsidRDefault="00CC3F83" w:rsidP="00CC3F83">
      <w:pPr>
        <w:rPr>
          <w:rFonts w:eastAsiaTheme="majorEastAsia"/>
        </w:rPr>
      </w:pPr>
      <w:r w:rsidRPr="009901FA">
        <w:rPr>
          <w:rFonts w:eastAsiaTheme="majorEastAsia"/>
          <w:b/>
          <w:bCs/>
        </w:rPr>
        <w:t>Similarly to costs, the carbon-reduction potential of reuse models also depends on the scaling of the system.</w:t>
      </w:r>
      <w:r w:rsidRPr="009901FA">
        <w:rPr>
          <w:rFonts w:eastAsiaTheme="majorEastAsia"/>
        </w:rPr>
        <w:t xml:space="preserve"> </w:t>
      </w:r>
      <w:r w:rsidR="00D33742" w:rsidRPr="009901FA">
        <w:rPr>
          <w:rFonts w:eastAsiaTheme="majorEastAsia"/>
        </w:rPr>
        <w:fldChar w:fldCharType="begin"/>
      </w:r>
      <w:r w:rsidR="00D33742" w:rsidRPr="009901FA">
        <w:rPr>
          <w:rFonts w:eastAsiaTheme="majorEastAsia"/>
        </w:rPr>
        <w:instrText xml:space="preserve"> REF _Ref203748067 \h </w:instrText>
      </w:r>
      <w:r w:rsidR="00A247A6">
        <w:rPr>
          <w:rFonts w:eastAsiaTheme="majorEastAsia"/>
        </w:rPr>
        <w:instrText xml:space="preserve"> \* MERGEFORMAT </w:instrText>
      </w:r>
      <w:r w:rsidR="00D33742" w:rsidRPr="009901FA">
        <w:rPr>
          <w:rFonts w:eastAsiaTheme="majorEastAsia"/>
        </w:rPr>
      </w:r>
      <w:r w:rsidR="00D33742" w:rsidRPr="009901FA">
        <w:rPr>
          <w:rFonts w:eastAsiaTheme="majorEastAsia"/>
        </w:rPr>
        <w:fldChar w:fldCharType="separate"/>
      </w:r>
      <w:r w:rsidR="00DE378F" w:rsidRPr="009901FA">
        <w:t xml:space="preserve">Exhibit </w:t>
      </w:r>
      <w:r w:rsidR="00E61394">
        <w:rPr>
          <w:noProof/>
        </w:rPr>
        <w:t>3</w:t>
      </w:r>
      <w:r w:rsidR="00DE378F" w:rsidRPr="009901FA">
        <w:t>.</w:t>
      </w:r>
      <w:r w:rsidR="00DE378F" w:rsidRPr="009901FA">
        <w:rPr>
          <w:noProof/>
        </w:rPr>
        <w:t>5</w:t>
      </w:r>
      <w:r w:rsidR="00D33742" w:rsidRPr="009901FA">
        <w:rPr>
          <w:rFonts w:eastAsiaTheme="majorEastAsia"/>
        </w:rPr>
        <w:fldChar w:fldCharType="end"/>
      </w:r>
      <w:r w:rsidRPr="009901FA">
        <w:rPr>
          <w:rFonts w:eastAsiaTheme="majorEastAsia"/>
        </w:rPr>
        <w:t xml:space="preserve"> shows that reuse has a substantial impact on emissions reduction and material demand; when it is done at scale, this is true across all sectors. However, fragmented adoption limits impact—especially in food packaging.</w:t>
      </w:r>
      <w:r w:rsidR="002B5B80" w:rsidRPr="009901FA">
        <w:rPr>
          <w:rFonts w:eastAsiaTheme="majorEastAsia"/>
        </w:rPr>
        <w:t xml:space="preserve"> </w:t>
      </w:r>
      <w:r w:rsidRPr="009901FA">
        <w:rPr>
          <w:rFonts w:eastAsiaTheme="majorEastAsia"/>
        </w:rPr>
        <w:t>Reuse systems reduce emissions from both production and end-of-life disposal, as these are spread across several uses. Additional emissions from increased transportation, cleaning and refill are minimal, and could be close to zero in a clean grid, electrified mid-century future.</w:t>
      </w:r>
      <w:r w:rsidRPr="009901FA">
        <w:rPr>
          <w:rFonts w:eastAsiaTheme="majorEastAsia"/>
          <w:vertAlign w:val="superscript"/>
        </w:rPr>
        <w:footnoteReference w:id="36"/>
      </w:r>
      <w:r w:rsidR="002B5B80" w:rsidRPr="009901FA">
        <w:rPr>
          <w:rFonts w:eastAsiaTheme="majorEastAsia"/>
        </w:rPr>
        <w:t xml:space="preserve"> </w:t>
      </w:r>
      <w:r w:rsidRPr="009901FA">
        <w:rPr>
          <w:rFonts w:eastAsiaTheme="majorEastAsia"/>
        </w:rPr>
        <w:t>Taken together, scaled reuse offers a dual benefit: it cuts emissions and reduces overall costs, making it a compelling option for sustainable, cost-effective systems change.</w:t>
      </w:r>
    </w:p>
    <w:p w14:paraId="67426575" w14:textId="35CBA09A" w:rsidR="00D33742" w:rsidRPr="009901FA" w:rsidRDefault="00D33742" w:rsidP="00D33742">
      <w:pPr>
        <w:pStyle w:val="Caption"/>
        <w:keepNext/>
      </w:pPr>
      <w:bookmarkStart w:id="53" w:name="_Ref203748067"/>
      <w:r w:rsidRPr="009901FA">
        <w:lastRenderedPageBreak/>
        <w:t xml:space="preserve">Exhibit </w:t>
      </w:r>
      <w:r w:rsidR="00E61394">
        <w:t>3</w:t>
      </w:r>
      <w:r w:rsidR="008725B4" w:rsidRPr="009901FA">
        <w:t>.</w:t>
      </w:r>
      <w:fldSimple w:instr=" SEQ Exhibit \* ARABIC \s 2 ">
        <w:r w:rsidR="00DE378F" w:rsidRPr="009901FA">
          <w:rPr>
            <w:noProof/>
          </w:rPr>
          <w:t>5</w:t>
        </w:r>
      </w:fldSimple>
      <w:bookmarkEnd w:id="53"/>
    </w:p>
    <w:p w14:paraId="7D84B7DA" w14:textId="3F0BA1DA" w:rsidR="00B438FA" w:rsidRPr="009901FA" w:rsidRDefault="00B75C00">
      <w:pPr>
        <w:rPr>
          <w:rFonts w:eastAsiaTheme="majorEastAsia"/>
        </w:rPr>
      </w:pPr>
      <w:r w:rsidRPr="009901FA">
        <w:rPr>
          <w:noProof/>
        </w:rPr>
        <w:drawing>
          <wp:inline distT="0" distB="0" distL="0" distR="0" wp14:anchorId="3C4D0A6D" wp14:editId="1574EBD3">
            <wp:extent cx="6146358" cy="3457638"/>
            <wp:effectExtent l="0" t="0" r="0" b="0"/>
            <wp:docPr id="83532589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325893"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6146358" cy="3457638"/>
                    </a:xfrm>
                    <a:prstGeom prst="rect">
                      <a:avLst/>
                    </a:prstGeom>
                  </pic:spPr>
                </pic:pic>
              </a:graphicData>
            </a:graphic>
          </wp:inline>
        </w:drawing>
      </w:r>
    </w:p>
    <w:p w14:paraId="678E2B6A" w14:textId="77777777" w:rsidR="00B438FA" w:rsidRPr="009901FA" w:rsidRDefault="00B438FA" w:rsidP="00B438FA">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Barriers and Enablers</w:t>
      </w:r>
    </w:p>
    <w:p w14:paraId="17577761" w14:textId="1BB60BED" w:rsidR="00B438FA" w:rsidRPr="009901FA" w:rsidRDefault="00B438FA" w:rsidP="00B438FA">
      <w:pPr>
        <w:spacing w:after="160" w:line="279" w:lineRule="auto"/>
        <w:rPr>
          <w:rFonts w:eastAsiaTheme="majorEastAsia"/>
        </w:rPr>
      </w:pPr>
      <w:r w:rsidRPr="009901FA">
        <w:rPr>
          <w:rFonts w:eastAsiaTheme="majorEastAsia"/>
          <w:b/>
          <w:bCs/>
        </w:rPr>
        <w:t xml:space="preserve">Despite promising economics and emissions reduction potential, regulatory and </w:t>
      </w:r>
      <w:r w:rsidR="00DC3EE1" w:rsidRPr="009901FA">
        <w:rPr>
          <w:rFonts w:eastAsiaTheme="majorEastAsia"/>
          <w:b/>
          <w:bCs/>
        </w:rPr>
        <w:t>behavioural</w:t>
      </w:r>
      <w:r w:rsidRPr="009901FA">
        <w:rPr>
          <w:rFonts w:eastAsiaTheme="majorEastAsia"/>
          <w:b/>
          <w:bCs/>
        </w:rPr>
        <w:t xml:space="preserve"> inertia remains a significant barrier to scaling reuse</w:t>
      </w:r>
      <w:r w:rsidRPr="009901FA">
        <w:rPr>
          <w:rFonts w:eastAsiaTheme="majorEastAsia"/>
        </w:rPr>
        <w:t>. Reuse models are not unattractive to business: subscription models offer businesses a captive consumer base and valuable data insights on product usage.</w:t>
      </w:r>
      <w:r w:rsidRPr="009901FA">
        <w:rPr>
          <w:rStyle w:val="FootnoteReference"/>
          <w:rFonts w:eastAsiaTheme="majorEastAsia"/>
        </w:rPr>
        <w:footnoteReference w:id="37"/>
      </w:r>
      <w:r w:rsidR="00E402A3" w:rsidRPr="009901FA">
        <w:rPr>
          <w:rFonts w:eastAsiaTheme="majorEastAsia"/>
        </w:rPr>
        <w:t xml:space="preserve"> </w:t>
      </w:r>
      <w:r w:rsidRPr="009901FA">
        <w:rPr>
          <w:rFonts w:eastAsiaTheme="majorEastAsia"/>
        </w:rPr>
        <w:t>However, being a first mover in a fragmented system, is costly and requires betting on customer buy-in and long-term revenue models, rather than immediate returns on investment.</w:t>
      </w:r>
      <w:r w:rsidR="00440377" w:rsidRPr="009901FA">
        <w:rPr>
          <w:rFonts w:eastAsiaTheme="majorEastAsia"/>
        </w:rPr>
        <w:t xml:space="preserve"> </w:t>
      </w:r>
      <w:r w:rsidRPr="009901FA">
        <w:rPr>
          <w:rFonts w:eastAsiaTheme="majorEastAsia"/>
        </w:rPr>
        <w:t>Without coordinated policy, action from Fast Moving Consumer Goods, and brands and retailers, consumer-driven change will be slow and incremental. However, implementing these changes for businesses are not operationally simple.</w:t>
      </w:r>
    </w:p>
    <w:p w14:paraId="2F45B01A" w14:textId="37964E9A" w:rsidR="00B438FA" w:rsidRPr="009901FA" w:rsidRDefault="00B438FA" w:rsidP="00B438FA">
      <w:pPr>
        <w:spacing w:after="160" w:line="279" w:lineRule="auto"/>
        <w:rPr>
          <w:rFonts w:eastAsiaTheme="majorEastAsia"/>
        </w:rPr>
      </w:pPr>
      <w:r w:rsidRPr="009901FA">
        <w:rPr>
          <w:rFonts w:eastAsiaTheme="majorEastAsia"/>
          <w:b/>
          <w:bCs/>
        </w:rPr>
        <w:t>Some policy efforts to encourage reuse exist</w:t>
      </w:r>
      <w:r w:rsidR="00DB74C0" w:rsidRPr="009901FA">
        <w:rPr>
          <w:rFonts w:eastAsiaTheme="majorEastAsia"/>
          <w:b/>
          <w:bCs/>
        </w:rPr>
        <w:t xml:space="preserve"> such as the EU </w:t>
      </w:r>
      <w:r w:rsidRPr="009901FA">
        <w:rPr>
          <w:rFonts w:eastAsiaTheme="majorEastAsia"/>
          <w:b/>
          <w:bCs/>
        </w:rPr>
        <w:t xml:space="preserve">Packaging and Packaging Waste </w:t>
      </w:r>
      <w:r w:rsidR="0062370A" w:rsidRPr="009901FA">
        <w:rPr>
          <w:rFonts w:eastAsiaTheme="majorEastAsia"/>
          <w:b/>
          <w:bCs/>
        </w:rPr>
        <w:t>Regulation</w:t>
      </w:r>
      <w:r w:rsidRPr="009901FA">
        <w:rPr>
          <w:rFonts w:eastAsiaTheme="majorEastAsia"/>
          <w:b/>
          <w:bCs/>
        </w:rPr>
        <w:t>,</w:t>
      </w:r>
      <w:r w:rsidR="00DB74C0" w:rsidRPr="009901FA">
        <w:rPr>
          <w:rFonts w:eastAsiaTheme="majorEastAsia"/>
          <w:b/>
          <w:bCs/>
        </w:rPr>
        <w:t xml:space="preserve"> </w:t>
      </w:r>
      <w:r w:rsidRPr="009901FA">
        <w:rPr>
          <w:rFonts w:eastAsiaTheme="majorEastAsia"/>
          <w:b/>
          <w:bCs/>
        </w:rPr>
        <w:t>set</w:t>
      </w:r>
      <w:r w:rsidR="00DB74C0" w:rsidRPr="009901FA">
        <w:rPr>
          <w:rFonts w:eastAsiaTheme="majorEastAsia"/>
          <w:b/>
          <w:bCs/>
        </w:rPr>
        <w:t>ting</w:t>
      </w:r>
      <w:r w:rsidRPr="009901FA">
        <w:rPr>
          <w:rFonts w:eastAsiaTheme="majorEastAsia"/>
          <w:b/>
          <w:bCs/>
        </w:rPr>
        <w:t xml:space="preserve"> mandatory reuse targets for specific sectors.</w:t>
      </w:r>
      <w:r w:rsidRPr="009901FA">
        <w:rPr>
          <w:rFonts w:eastAsiaTheme="majorEastAsia"/>
        </w:rPr>
        <w:t xml:space="preserve"> Some countries, like Germany and the Netherlands, have implemented sector-wide deposit return schemes for beverage containers - with great success. The UK has implemented charges for single-use carrier bags in supermarkets.</w:t>
      </w:r>
      <w:r w:rsidR="00DB74C0" w:rsidRPr="009901FA">
        <w:rPr>
          <w:rFonts w:eastAsiaTheme="majorEastAsia"/>
        </w:rPr>
        <w:t xml:space="preserve"> </w:t>
      </w:r>
      <w:r w:rsidRPr="009901FA">
        <w:rPr>
          <w:rFonts w:eastAsiaTheme="majorEastAsia"/>
        </w:rPr>
        <w:t xml:space="preserve">These policies are very localized, mostly in the EU, and limited in scope. Despite this, they may remain best-in-class examples: consumer-facing policies tend to be unpopular with voters. Scaling reuse therefore presents a system-change quandary: without behaviour change and direct consumer demand, it relies on ambitious policy. Passing more </w:t>
      </w:r>
      <w:r w:rsidRPr="009901FA">
        <w:rPr>
          <w:rFonts w:eastAsiaTheme="majorEastAsia"/>
        </w:rPr>
        <w:lastRenderedPageBreak/>
        <w:t>ambitious reuse policy, however, may require both political and social will to shift over time.</w:t>
      </w:r>
    </w:p>
    <w:p w14:paraId="364EBB99" w14:textId="6E75BCFF" w:rsidR="00140393" w:rsidRPr="009901FA" w:rsidRDefault="005C4C40" w:rsidP="00140393">
      <w:pPr>
        <w:pStyle w:val="Heading3"/>
      </w:pPr>
      <w:bookmarkStart w:id="54" w:name="_Toc205392456"/>
      <w:bookmarkStart w:id="55" w:name="_Toc205554225"/>
      <w:r>
        <w:t>3</w:t>
      </w:r>
      <w:r w:rsidR="00140393" w:rsidRPr="009901FA">
        <w:t xml:space="preserve">.2 </w:t>
      </w:r>
      <w:r w:rsidR="00822275" w:rsidRPr="009901FA">
        <w:t>Advanced sortation</w:t>
      </w:r>
      <w:bookmarkEnd w:id="54"/>
      <w:bookmarkEnd w:id="55"/>
    </w:p>
    <w:p w14:paraId="6022EFD1" w14:textId="77777777" w:rsidR="00BC1F50" w:rsidRPr="009901FA" w:rsidRDefault="00BC1F50" w:rsidP="00BC1F50">
      <w:pPr>
        <w:pStyle w:val="Heading5"/>
        <w:rPr>
          <w:rFonts w:ascii="Century Gothic" w:eastAsia="MS Gothic" w:hAnsi="Century Gothic" w:cs="Times New Roman"/>
          <w:color w:val="585854"/>
          <w:sz w:val="26"/>
          <w:szCs w:val="24"/>
        </w:rPr>
      </w:pPr>
      <w:r w:rsidRPr="009901FA">
        <w:rPr>
          <w:rFonts w:ascii="Century Gothic" w:eastAsia="MS Gothic" w:hAnsi="Century Gothic" w:cs="Times New Roman"/>
          <w:color w:val="585854"/>
          <w:sz w:val="26"/>
          <w:szCs w:val="24"/>
        </w:rPr>
        <w:t>Overview</w:t>
      </w:r>
    </w:p>
    <w:p w14:paraId="277B6E61" w14:textId="3EC5856D" w:rsidR="00BC1F50" w:rsidRPr="009901FA" w:rsidRDefault="00BC1F50" w:rsidP="00BC1F50">
      <w:r w:rsidRPr="009901FA">
        <w:rPr>
          <w:b/>
          <w:bCs/>
        </w:rPr>
        <w:t xml:space="preserve">Currently, only 9% of plastic </w:t>
      </w:r>
      <w:r w:rsidR="00C73524" w:rsidRPr="009901FA">
        <w:rPr>
          <w:b/>
          <w:bCs/>
        </w:rPr>
        <w:t>waste even reaches</w:t>
      </w:r>
      <w:r w:rsidRPr="009901FA">
        <w:rPr>
          <w:b/>
          <w:bCs/>
        </w:rPr>
        <w:t xml:space="preserve"> a recycling facility</w:t>
      </w:r>
      <w:r w:rsidR="00C73524" w:rsidRPr="009901FA">
        <w:rPr>
          <w:b/>
          <w:bCs/>
        </w:rPr>
        <w:t xml:space="preserve">, and in </w:t>
      </w:r>
      <w:r w:rsidRPr="009901FA">
        <w:rPr>
          <w:b/>
          <w:bCs/>
        </w:rPr>
        <w:t>the best-performing countries</w:t>
      </w:r>
      <w:r w:rsidR="00C73524" w:rsidRPr="009901FA">
        <w:rPr>
          <w:b/>
          <w:bCs/>
        </w:rPr>
        <w:t>, this figure is still just</w:t>
      </w:r>
      <w:r w:rsidRPr="009901FA">
        <w:rPr>
          <w:b/>
          <w:bCs/>
        </w:rPr>
        <w:t xml:space="preserve"> 14</w:t>
      </w:r>
      <w:r w:rsidR="00C73524" w:rsidRPr="009901FA">
        <w:rPr>
          <w:b/>
          <w:bCs/>
        </w:rPr>
        <w:t>%.</w:t>
      </w:r>
      <w:r w:rsidRPr="009901FA">
        <w:rPr>
          <w:rStyle w:val="FootnoteReference"/>
          <w:b/>
          <w:bCs/>
        </w:rPr>
        <w:footnoteReference w:id="38"/>
      </w:r>
      <w:r w:rsidRPr="009901FA">
        <w:t xml:space="preserve"> As shown in </w:t>
      </w:r>
      <w:r w:rsidR="00536F68" w:rsidRPr="009901FA">
        <w:fldChar w:fldCharType="begin"/>
      </w:r>
      <w:r w:rsidR="00536F68" w:rsidRPr="009901FA">
        <w:instrText xml:space="preserve"> REF _Ref203748094 \h </w:instrText>
      </w:r>
      <w:r w:rsidR="00A247A6">
        <w:instrText xml:space="preserve"> \* MERGEFORMAT </w:instrText>
      </w:r>
      <w:r w:rsidR="00536F68" w:rsidRPr="009901FA">
        <w:fldChar w:fldCharType="separate"/>
      </w:r>
      <w:r w:rsidR="00DE378F" w:rsidRPr="009901FA">
        <w:t xml:space="preserve">Exhibit </w:t>
      </w:r>
      <w:r w:rsidR="00E61394">
        <w:rPr>
          <w:noProof/>
        </w:rPr>
        <w:t>3</w:t>
      </w:r>
      <w:r w:rsidR="00DE378F" w:rsidRPr="009901FA">
        <w:t>.</w:t>
      </w:r>
      <w:r w:rsidR="00DE378F" w:rsidRPr="009901FA">
        <w:rPr>
          <w:noProof/>
        </w:rPr>
        <w:t>6</w:t>
      </w:r>
      <w:r w:rsidR="00536F68" w:rsidRPr="009901FA">
        <w:fldChar w:fldCharType="end"/>
      </w:r>
      <w:r w:rsidRPr="009901FA">
        <w:t xml:space="preserve"> sortation is currently </w:t>
      </w:r>
      <w:r w:rsidR="00491CD4" w:rsidRPr="009901FA">
        <w:t>a</w:t>
      </w:r>
      <w:r w:rsidRPr="009901FA">
        <w:t xml:space="preserve"> system bottleneck in the plastics system. The biggest loss of material that could be recycled occurs after collection, primarily due to limited economic demand for sorted waste, </w:t>
      </w:r>
      <w:r w:rsidR="00D841B7" w:rsidRPr="009901FA">
        <w:t>limited segregation of waste at the collection stage, and insufficient sortation infrastructure</w:t>
      </w:r>
      <w:r w:rsidRPr="009901FA">
        <w:t>. Material Recovery Facilities (MRFs) are few, small-scale, and not operating at full capacity due to complex economics.</w:t>
      </w:r>
      <w:r w:rsidRPr="009901FA">
        <w:rPr>
          <w:rStyle w:val="FootnoteReference"/>
        </w:rPr>
        <w:footnoteReference w:id="39"/>
      </w:r>
    </w:p>
    <w:p w14:paraId="2ED07EA9" w14:textId="01638933" w:rsidR="007917AE" w:rsidRPr="003967E5" w:rsidRDefault="00536F68" w:rsidP="003967E5">
      <w:pPr>
        <w:pStyle w:val="Caption"/>
        <w:keepNext/>
      </w:pPr>
      <w:bookmarkStart w:id="56" w:name="_Ref203748094"/>
      <w:r w:rsidRPr="009901FA">
        <w:t xml:space="preserve">Exhibit </w:t>
      </w:r>
      <w:r w:rsidR="00E61394">
        <w:t>3</w:t>
      </w:r>
      <w:r w:rsidR="008725B4" w:rsidRPr="009901FA">
        <w:t>.</w:t>
      </w:r>
      <w:fldSimple w:instr=" SEQ Exhibit \* ARABIC \s 2 ">
        <w:r w:rsidR="00DE378F" w:rsidRPr="009901FA">
          <w:rPr>
            <w:noProof/>
          </w:rPr>
          <w:t>6</w:t>
        </w:r>
      </w:fldSimple>
      <w:bookmarkEnd w:id="56"/>
      <w:r w:rsidR="008A2642" w:rsidRPr="008A2642">
        <w:rPr>
          <w:noProof/>
        </w:rPr>
        <w:t xml:space="preserve"> </w:t>
      </w:r>
      <w:r w:rsidR="003967E5">
        <w:rPr>
          <w:noProof/>
        </w:rPr>
        <w:drawing>
          <wp:inline distT="0" distB="0" distL="0" distR="0" wp14:anchorId="30C74E29" wp14:editId="2018B5BE">
            <wp:extent cx="6263640" cy="3523615"/>
            <wp:effectExtent l="0" t="0" r="0" b="0"/>
            <wp:docPr id="38803167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031675"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6263640" cy="3523615"/>
                    </a:xfrm>
                    <a:prstGeom prst="rect">
                      <a:avLst/>
                    </a:prstGeom>
                  </pic:spPr>
                </pic:pic>
              </a:graphicData>
            </a:graphic>
          </wp:inline>
        </w:drawing>
      </w:r>
    </w:p>
    <w:p w14:paraId="7360471A" w14:textId="2FEDF400" w:rsidR="00697060" w:rsidRPr="009901FA" w:rsidRDefault="00697060" w:rsidP="00697060">
      <w:r w:rsidRPr="009901FA">
        <w:t xml:space="preserve">In a complex sector with ‘traditional’ MRF set-ups ranging from fully-manual sortation line to sensors able to identify clear plastic bottles, untangling the innovations that could transform the system is difficult. ‘Advanced sortation’ encompasses a range of technologies across the value chain, as shown in </w:t>
      </w:r>
      <w:r w:rsidR="00536F68" w:rsidRPr="009901FA">
        <w:fldChar w:fldCharType="begin"/>
      </w:r>
      <w:r w:rsidR="00536F68" w:rsidRPr="009901FA">
        <w:instrText xml:space="preserve"> REF _Ref203748108 \h </w:instrText>
      </w:r>
      <w:r w:rsidR="00A247A6">
        <w:instrText xml:space="preserve"> \* MERGEFORMAT </w:instrText>
      </w:r>
      <w:r w:rsidR="00536F68" w:rsidRPr="009901FA">
        <w:fldChar w:fldCharType="separate"/>
      </w:r>
      <w:r w:rsidR="00DE378F" w:rsidRPr="009901FA">
        <w:t xml:space="preserve">Exhibit </w:t>
      </w:r>
      <w:r w:rsidR="00E61394">
        <w:rPr>
          <w:noProof/>
        </w:rPr>
        <w:t>3</w:t>
      </w:r>
      <w:r w:rsidR="00DE378F" w:rsidRPr="009901FA">
        <w:t>.</w:t>
      </w:r>
      <w:r w:rsidR="00DE378F" w:rsidRPr="009901FA">
        <w:rPr>
          <w:noProof/>
        </w:rPr>
        <w:t>7</w:t>
      </w:r>
      <w:r w:rsidR="00536F68" w:rsidRPr="009901FA">
        <w:fldChar w:fldCharType="end"/>
      </w:r>
      <w:r w:rsidRPr="009901FA">
        <w:t xml:space="preserve">. </w:t>
      </w:r>
    </w:p>
    <w:p w14:paraId="700AD847" w14:textId="30D8A05C" w:rsidR="00536F68" w:rsidRPr="009901FA" w:rsidRDefault="00536F68" w:rsidP="00536F68">
      <w:pPr>
        <w:pStyle w:val="Caption"/>
        <w:keepNext/>
      </w:pPr>
      <w:bookmarkStart w:id="57" w:name="_Ref203748108"/>
      <w:r w:rsidRPr="009901FA">
        <w:lastRenderedPageBreak/>
        <w:t xml:space="preserve">Exhibit </w:t>
      </w:r>
      <w:r w:rsidR="00E61394">
        <w:t>3</w:t>
      </w:r>
      <w:r w:rsidR="008725B4" w:rsidRPr="009901FA">
        <w:t>.</w:t>
      </w:r>
      <w:fldSimple w:instr=" SEQ Exhibit \* ARABIC \s 2 ">
        <w:r w:rsidR="00DE378F" w:rsidRPr="009901FA">
          <w:rPr>
            <w:noProof/>
          </w:rPr>
          <w:t>7</w:t>
        </w:r>
      </w:fldSimple>
      <w:bookmarkEnd w:id="57"/>
    </w:p>
    <w:p w14:paraId="3FF6B715" w14:textId="4242F2EC" w:rsidR="00964964" w:rsidRPr="009901FA" w:rsidRDefault="00D6303F" w:rsidP="003B5E72">
      <w:pPr>
        <w:rPr>
          <w:b/>
          <w:bCs/>
          <w:sz w:val="36"/>
          <w:szCs w:val="36"/>
          <w:u w:val="single"/>
        </w:rPr>
      </w:pPr>
      <w:r w:rsidRPr="009901FA">
        <w:rPr>
          <w:noProof/>
        </w:rPr>
        <w:drawing>
          <wp:inline distT="0" distB="0" distL="0" distR="0" wp14:anchorId="1D6E16B6" wp14:editId="1C838466">
            <wp:extent cx="6263640" cy="3523615"/>
            <wp:effectExtent l="0" t="0" r="0" b="635"/>
            <wp:docPr id="422323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3236"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6263640" cy="3523615"/>
                    </a:xfrm>
                    <a:prstGeom prst="rect">
                      <a:avLst/>
                    </a:prstGeom>
                  </pic:spPr>
                </pic:pic>
              </a:graphicData>
            </a:graphic>
          </wp:inline>
        </w:drawing>
      </w:r>
    </w:p>
    <w:p w14:paraId="3E993A2D" w14:textId="40BBFFA5" w:rsidR="0032466E" w:rsidRPr="009901FA" w:rsidRDefault="00451C1C" w:rsidP="0032466E">
      <w:pPr>
        <w:pStyle w:val="Heading5"/>
        <w:rPr>
          <w:rFonts w:ascii="Century Gothic" w:eastAsia="MS Gothic" w:hAnsi="Century Gothic" w:cs="Times New Roman"/>
          <w:color w:val="585854"/>
          <w:sz w:val="26"/>
          <w:szCs w:val="24"/>
        </w:rPr>
      </w:pPr>
      <w:r w:rsidRPr="009901FA">
        <w:rPr>
          <w:rFonts w:ascii="Century Gothic" w:eastAsia="MS Gothic" w:hAnsi="Century Gothic" w:cs="Times New Roman"/>
          <w:color w:val="585854"/>
          <w:sz w:val="26"/>
          <w:szCs w:val="24"/>
        </w:rPr>
        <w:t xml:space="preserve">Costs and </w:t>
      </w:r>
      <w:r w:rsidR="0032466E" w:rsidRPr="009901FA">
        <w:rPr>
          <w:rFonts w:ascii="Century Gothic" w:eastAsia="MS Gothic" w:hAnsi="Century Gothic" w:cs="Times New Roman"/>
          <w:color w:val="585854"/>
          <w:sz w:val="26"/>
          <w:szCs w:val="24"/>
        </w:rPr>
        <w:t xml:space="preserve">Impact </w:t>
      </w:r>
    </w:p>
    <w:p w14:paraId="175994AF" w14:textId="059BB69A" w:rsidR="0032466E" w:rsidRPr="009901FA" w:rsidRDefault="0032466E" w:rsidP="0032466E">
      <w:r w:rsidRPr="009901FA">
        <w:rPr>
          <w:b/>
          <w:bCs/>
        </w:rPr>
        <w:t>Reports</w:t>
      </w:r>
      <w:r w:rsidRPr="009901FA">
        <w:rPr>
          <w:rStyle w:val="FootnoteReference"/>
          <w:b/>
          <w:bCs/>
        </w:rPr>
        <w:footnoteReference w:id="40"/>
      </w:r>
      <w:r w:rsidRPr="009901FA">
        <w:rPr>
          <w:b/>
          <w:bCs/>
        </w:rPr>
        <w:t xml:space="preserve"> show that final yield of recyclable product can increase by 25% in advanced facilities versus an average existing facility.</w:t>
      </w:r>
      <w:r w:rsidRPr="009901FA">
        <w:t xml:space="preserve"> This increase in yield applies only to waste that already reaches sortation facilities. In today’s system—where relatively low volumes are collected and sorted—this would increase global recycling rates from around 9% to 12%</w:t>
      </w:r>
      <w:r w:rsidR="00987BA8" w:rsidRPr="009901FA">
        <w:t xml:space="preserve"> in the future</w:t>
      </w:r>
      <w:r w:rsidRPr="009901FA">
        <w:t>.</w:t>
      </w:r>
      <w:r w:rsidRPr="009901FA">
        <w:rPr>
          <w:rStyle w:val="FootnoteReference"/>
        </w:rPr>
        <w:footnoteReference w:id="41"/>
      </w:r>
      <w:r w:rsidRPr="009901FA">
        <w:t xml:space="preserve">However, in a future system where downstream infrastructure is scaled and a greater share of waste reaches advanced sorting, the impact </w:t>
      </w:r>
      <w:r w:rsidR="00A05A32" w:rsidRPr="009901FA">
        <w:t>could</w:t>
      </w:r>
      <w:r w:rsidRPr="009901FA">
        <w:t xml:space="preserve"> be significantly larger—both in absolute terms and as a share of total plastic waste.</w:t>
      </w:r>
    </w:p>
    <w:p w14:paraId="62A9CA39" w14:textId="77777777" w:rsidR="0032466E" w:rsidRPr="009901FA" w:rsidRDefault="0032466E" w:rsidP="0032466E">
      <w:r w:rsidRPr="009901FA">
        <w:t xml:space="preserve">This hypothetical increase in yield is driven by a series of small improvements: </w:t>
      </w:r>
    </w:p>
    <w:p w14:paraId="26BFE5F1" w14:textId="77777777" w:rsidR="0032466E" w:rsidRPr="009901FA" w:rsidRDefault="0032466E" w:rsidP="002C2B3F">
      <w:pPr>
        <w:pStyle w:val="ListParagraph"/>
        <w:numPr>
          <w:ilvl w:val="0"/>
          <w:numId w:val="31"/>
        </w:numPr>
        <w:spacing w:line="240" w:lineRule="atLeast"/>
      </w:pPr>
      <w:r w:rsidRPr="009901FA">
        <w:t>Fewer losses of valuable materials due to advanced sensors and rapid sortation technology</w:t>
      </w:r>
    </w:p>
    <w:p w14:paraId="2AE52458" w14:textId="2837853B" w:rsidR="0032466E" w:rsidRPr="009901FA" w:rsidRDefault="0032466E" w:rsidP="002C2B3F">
      <w:pPr>
        <w:pStyle w:val="ListParagraph"/>
        <w:numPr>
          <w:ilvl w:val="0"/>
          <w:numId w:val="31"/>
        </w:numPr>
        <w:spacing w:line="240" w:lineRule="atLeast"/>
      </w:pPr>
      <w:r w:rsidRPr="009901FA">
        <w:t xml:space="preserve">Better sortation of difficult plastics, including: </w:t>
      </w:r>
      <w:r w:rsidR="006F7EC8" w:rsidRPr="009901FA">
        <w:t>coloured</w:t>
      </w:r>
      <w:r w:rsidRPr="009901FA">
        <w:t xml:space="preserve"> plastics, flexible plastics, contact-sensitive plastics</w:t>
      </w:r>
    </w:p>
    <w:p w14:paraId="33B01CFC" w14:textId="77777777" w:rsidR="0032466E" w:rsidRPr="009901FA" w:rsidRDefault="0032466E" w:rsidP="002C2B3F">
      <w:pPr>
        <w:pStyle w:val="ListParagraph"/>
        <w:numPr>
          <w:ilvl w:val="0"/>
          <w:numId w:val="31"/>
        </w:numPr>
        <w:spacing w:line="240" w:lineRule="atLeast"/>
      </w:pPr>
      <w:r w:rsidRPr="009901FA">
        <w:t>Lower rates of contamination due to faster response rates (AI-enabled systems are capable of reaching speed of 140 picks/minute, 200% of current system speeds)</w:t>
      </w:r>
      <w:r w:rsidRPr="009901FA">
        <w:rPr>
          <w:rStyle w:val="FootnoteReference"/>
        </w:rPr>
        <w:footnoteReference w:id="42"/>
      </w:r>
    </w:p>
    <w:p w14:paraId="7C883A9A" w14:textId="4737F8C7" w:rsidR="0032466E" w:rsidRPr="009901FA" w:rsidRDefault="0032466E" w:rsidP="002C2B3F">
      <w:pPr>
        <w:pStyle w:val="ListParagraph"/>
        <w:numPr>
          <w:ilvl w:val="0"/>
          <w:numId w:val="31"/>
        </w:numPr>
        <w:spacing w:line="240" w:lineRule="atLeast"/>
      </w:pPr>
      <w:r w:rsidRPr="009901FA">
        <w:lastRenderedPageBreak/>
        <w:t xml:space="preserve">Higher purity and therefore grade of recyclate bales. This limits need for further sortation at recycling plants and is the largest potential yield increase. </w:t>
      </w:r>
    </w:p>
    <w:p w14:paraId="6F91ACB5" w14:textId="0BF5C383" w:rsidR="0032466E" w:rsidRPr="009901FA" w:rsidRDefault="0032466E" w:rsidP="0032466E">
      <w:r w:rsidRPr="009901FA">
        <w:rPr>
          <w:b/>
          <w:bCs/>
        </w:rPr>
        <w:t>Potentially more important than the incremental improvements in efficiency and accuracy of sortation, advanced sortation may improve the economic viability of the sortation sector.</w:t>
      </w:r>
      <w:r w:rsidR="00A423AB" w:rsidRPr="009901FA">
        <w:t xml:space="preserve"> </w:t>
      </w:r>
      <w:r w:rsidRPr="009901FA">
        <w:t>Currently, sortation facilities operate most often at a loss</w:t>
      </w:r>
      <w:r w:rsidRPr="009901FA">
        <w:rPr>
          <w:rStyle w:val="FootnoteReference"/>
        </w:rPr>
        <w:footnoteReference w:id="43"/>
      </w:r>
      <w:r w:rsidRPr="009901FA">
        <w:t xml:space="preserve">. The sector is heavily subsidized, and MRFs are often running below capacity due to the combined pressures of high labour costs and the low, fluctuating value of recyclate. As </w:t>
      </w:r>
      <w:r w:rsidR="00536F68" w:rsidRPr="009901FA">
        <w:fldChar w:fldCharType="begin"/>
      </w:r>
      <w:r w:rsidR="00536F68" w:rsidRPr="009901FA">
        <w:instrText xml:space="preserve"> REF _Ref203748126 \h </w:instrText>
      </w:r>
      <w:r w:rsidR="00A247A6">
        <w:instrText xml:space="preserve"> \* MERGEFORMAT </w:instrText>
      </w:r>
      <w:r w:rsidR="00536F68" w:rsidRPr="009901FA">
        <w:fldChar w:fldCharType="separate"/>
      </w:r>
      <w:r w:rsidR="00DE378F" w:rsidRPr="009901FA">
        <w:t xml:space="preserve">Exhibit </w:t>
      </w:r>
      <w:r w:rsidR="00E61394">
        <w:rPr>
          <w:noProof/>
        </w:rPr>
        <w:t>3</w:t>
      </w:r>
      <w:r w:rsidR="00DE378F" w:rsidRPr="009901FA">
        <w:t>.</w:t>
      </w:r>
      <w:r w:rsidR="00DE378F" w:rsidRPr="009901FA">
        <w:rPr>
          <w:noProof/>
        </w:rPr>
        <w:t>8</w:t>
      </w:r>
      <w:r w:rsidR="00536F68" w:rsidRPr="009901FA">
        <w:fldChar w:fldCharType="end"/>
      </w:r>
      <w:r w:rsidRPr="009901FA">
        <w:t xml:space="preserve"> shows, advanced sortation can improve the revenue of the sector with limited impact on costs. Although </w:t>
      </w:r>
      <w:r w:rsidR="008A4748" w:rsidRPr="009901FA">
        <w:t>these</w:t>
      </w:r>
      <w:r w:rsidRPr="009901FA">
        <w:t xml:space="preserve"> technologies </w:t>
      </w:r>
      <w:r w:rsidR="008A4748" w:rsidRPr="009901FA">
        <w:t>involve higher capital</w:t>
      </w:r>
      <w:r w:rsidRPr="009901FA">
        <w:t xml:space="preserve"> and energy </w:t>
      </w:r>
      <w:r w:rsidR="008A4748" w:rsidRPr="009901FA">
        <w:t xml:space="preserve">expenditure, such </w:t>
      </w:r>
      <w:r w:rsidRPr="009901FA">
        <w:t>costs</w:t>
      </w:r>
      <w:r w:rsidR="008A4748" w:rsidRPr="009901FA">
        <w:t xml:space="preserve"> </w:t>
      </w:r>
      <w:r w:rsidRPr="009901FA">
        <w:t xml:space="preserve">can be offset by decreased labour </w:t>
      </w:r>
      <w:r w:rsidR="008A4748" w:rsidRPr="009901FA">
        <w:t>requirements, improved</w:t>
      </w:r>
      <w:r w:rsidRPr="009901FA">
        <w:t xml:space="preserve"> efficiency, and savings </w:t>
      </w:r>
      <w:r w:rsidR="008A4748" w:rsidRPr="009901FA">
        <w:t>on</w:t>
      </w:r>
      <w:r w:rsidRPr="009901FA">
        <w:t xml:space="preserve"> disposal fees. </w:t>
      </w:r>
      <w:r w:rsidR="008A4748" w:rsidRPr="009901FA">
        <w:t>Additionally, improved</w:t>
      </w:r>
      <w:r w:rsidRPr="009901FA">
        <w:t xml:space="preserve"> recyclate quality and yield can </w:t>
      </w:r>
      <w:r w:rsidR="008A4748" w:rsidRPr="009901FA">
        <w:t>generate</w:t>
      </w:r>
      <w:r w:rsidRPr="009901FA">
        <w:t xml:space="preserve"> higher revenues </w:t>
      </w:r>
      <w:r w:rsidR="008A4748" w:rsidRPr="009901FA">
        <w:t>in</w:t>
      </w:r>
      <w:r w:rsidRPr="009901FA">
        <w:t xml:space="preserve"> the commodity market</w:t>
      </w:r>
      <w:r w:rsidR="008A4748" w:rsidRPr="009901FA">
        <w:t>. While these improvements can significantly strengthen the business case for</w:t>
      </w:r>
      <w:r w:rsidRPr="009901FA">
        <w:t xml:space="preserve"> MRFs</w:t>
      </w:r>
      <w:r w:rsidR="008A4748" w:rsidRPr="009901FA">
        <w:t>, some level of</w:t>
      </w:r>
      <w:r w:rsidRPr="009901FA">
        <w:t xml:space="preserve"> subsidy </w:t>
      </w:r>
      <w:r w:rsidR="008A4748" w:rsidRPr="009901FA">
        <w:t>is likely</w:t>
      </w:r>
      <w:r w:rsidRPr="009901FA">
        <w:t xml:space="preserve"> to </w:t>
      </w:r>
      <w:r w:rsidR="008A4748" w:rsidRPr="009901FA">
        <w:t>remain necessary elsewhere in the value chain ,such as during collection or recycling stages, as recognized in policies like Extended Producer Responsibility (EPR).</w:t>
      </w:r>
      <w:r w:rsidRPr="009901FA">
        <w:rPr>
          <w:rStyle w:val="FootnoteReference"/>
        </w:rPr>
        <w:t xml:space="preserve"> </w:t>
      </w:r>
      <w:r w:rsidRPr="009901FA">
        <w:rPr>
          <w:rStyle w:val="FootnoteReference"/>
        </w:rPr>
        <w:footnoteReference w:id="44"/>
      </w:r>
    </w:p>
    <w:p w14:paraId="705ED647" w14:textId="15E8F360" w:rsidR="00536F68" w:rsidRPr="009901FA" w:rsidRDefault="00536F68" w:rsidP="00536F68">
      <w:pPr>
        <w:pStyle w:val="Caption"/>
        <w:keepNext/>
      </w:pPr>
      <w:bookmarkStart w:id="58" w:name="_Ref203748126"/>
      <w:r w:rsidRPr="009901FA">
        <w:t xml:space="preserve">Exhibit </w:t>
      </w:r>
      <w:r w:rsidR="00E61394">
        <w:t>3</w:t>
      </w:r>
      <w:r w:rsidR="008725B4" w:rsidRPr="009901FA">
        <w:t>.</w:t>
      </w:r>
      <w:fldSimple w:instr=" SEQ Exhibit \* ARABIC \s 2 ">
        <w:r w:rsidR="00DE378F" w:rsidRPr="009901FA">
          <w:rPr>
            <w:noProof/>
          </w:rPr>
          <w:t>8</w:t>
        </w:r>
      </w:fldSimple>
      <w:bookmarkEnd w:id="58"/>
    </w:p>
    <w:p w14:paraId="6C4A0A0B" w14:textId="10970CBE" w:rsidR="0032466E" w:rsidRPr="009901FA" w:rsidRDefault="003C7E82" w:rsidP="003B5E72">
      <w:pPr>
        <w:rPr>
          <w:b/>
          <w:bCs/>
          <w:sz w:val="36"/>
          <w:szCs w:val="36"/>
          <w:u w:val="single"/>
        </w:rPr>
      </w:pPr>
      <w:r w:rsidRPr="009901FA">
        <w:rPr>
          <w:noProof/>
        </w:rPr>
        <w:drawing>
          <wp:inline distT="0" distB="0" distL="0" distR="0" wp14:anchorId="0DD08DD3" wp14:editId="27DC645C">
            <wp:extent cx="6263640" cy="3523615"/>
            <wp:effectExtent l="0" t="0" r="3810" b="0"/>
            <wp:docPr id="140340449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40449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6263640" cy="3523615"/>
                    </a:xfrm>
                    <a:prstGeom prst="rect">
                      <a:avLst/>
                    </a:prstGeom>
                  </pic:spPr>
                </pic:pic>
              </a:graphicData>
            </a:graphic>
          </wp:inline>
        </w:drawing>
      </w:r>
    </w:p>
    <w:p w14:paraId="06DC89F1" w14:textId="77777777" w:rsidR="005A6F5E" w:rsidRPr="009901FA" w:rsidRDefault="005A6F5E" w:rsidP="005A6F5E">
      <w:pPr>
        <w:pStyle w:val="Heading5"/>
        <w:rPr>
          <w:rFonts w:ascii="Century Gothic" w:eastAsia="MS Gothic" w:hAnsi="Century Gothic" w:cs="Times New Roman"/>
          <w:color w:val="585854"/>
          <w:sz w:val="26"/>
          <w:szCs w:val="24"/>
        </w:rPr>
      </w:pPr>
      <w:r w:rsidRPr="009901FA">
        <w:rPr>
          <w:rFonts w:ascii="Century Gothic" w:eastAsia="MS Gothic" w:hAnsi="Century Gothic" w:cs="Times New Roman"/>
          <w:color w:val="585854"/>
          <w:sz w:val="26"/>
          <w:szCs w:val="24"/>
        </w:rPr>
        <w:t>Barriers and Enablers</w:t>
      </w:r>
    </w:p>
    <w:p w14:paraId="580C3FCD" w14:textId="77777777" w:rsidR="00A46CE1" w:rsidRPr="009901FA" w:rsidRDefault="00A46CE1" w:rsidP="00A46CE1">
      <w:pPr>
        <w:rPr>
          <w:b/>
          <w:bCs/>
        </w:rPr>
      </w:pPr>
      <w:r w:rsidRPr="009901FA">
        <w:rPr>
          <w:b/>
          <w:bCs/>
        </w:rPr>
        <w:t xml:space="preserve">The main barrier to scaling advanced sortation is the widespread absence or underdevelopment of basic sortation infrastructure. </w:t>
      </w:r>
      <w:r w:rsidRPr="009901FA">
        <w:t xml:space="preserve">In many regions, recyclable waste is collected through co-mingled systems and often sent directly to disposal. In </w:t>
      </w:r>
      <w:r w:rsidRPr="009901FA">
        <w:lastRenderedPageBreak/>
        <w:t>these cases, there is limited value in applying advanced technologies when the foundational systems are missing or ineffective. Scaling sortation will require significant policy support, including direct investment in infrastructure and indirect measures such as mandates for separate collection and improved waste segregation.</w:t>
      </w:r>
    </w:p>
    <w:p w14:paraId="26FC9221" w14:textId="77777777" w:rsidR="005A6F5E" w:rsidRPr="009901FA" w:rsidRDefault="005A6F5E" w:rsidP="005A6F5E">
      <w:r w:rsidRPr="009901FA">
        <w:t>These include:</w:t>
      </w:r>
    </w:p>
    <w:p w14:paraId="427EC6D8" w14:textId="77777777" w:rsidR="005A6F5E" w:rsidRPr="009901FA" w:rsidRDefault="005A6F5E" w:rsidP="002C2B3F">
      <w:pPr>
        <w:numPr>
          <w:ilvl w:val="1"/>
          <w:numId w:val="30"/>
        </w:numPr>
        <w:spacing w:line="240" w:lineRule="atLeast"/>
      </w:pPr>
      <w:r w:rsidRPr="009901FA">
        <w:t>Direct policy interventions – setting clear targets and subsidizing the sector, mandating separate collection streams (e.g., plastic vs. organic waste), and providing capital grants or tax credits for facility upgrades.</w:t>
      </w:r>
    </w:p>
    <w:p w14:paraId="149F118E" w14:textId="53743A57" w:rsidR="005A6F5E" w:rsidRPr="009901FA" w:rsidRDefault="005A6F5E" w:rsidP="002C2B3F">
      <w:pPr>
        <w:numPr>
          <w:ilvl w:val="1"/>
          <w:numId w:val="30"/>
        </w:numPr>
        <w:spacing w:line="240" w:lineRule="atLeast"/>
      </w:pPr>
      <w:r w:rsidRPr="009901FA">
        <w:t>Indirect policy interventions to improve economics: Extended Producer Responsibility (EPR) – shifting financial and operational accountability for waste to producers, and carbon pricing mechanisms that internalize the climate cost of incineration and landfilling.</w:t>
      </w:r>
    </w:p>
    <w:p w14:paraId="35713A32" w14:textId="77777777" w:rsidR="005A6F5E" w:rsidRPr="009901FA" w:rsidRDefault="005A6F5E" w:rsidP="005A6F5E">
      <w:r w:rsidRPr="009901FA">
        <w:t>Advanced sortation may enable system change beyond costs as it fits into the broader waste management picture.</w:t>
      </w:r>
    </w:p>
    <w:p w14:paraId="53D26030" w14:textId="77777777" w:rsidR="005A6F5E" w:rsidRPr="009901FA" w:rsidRDefault="005A6F5E" w:rsidP="002C2B3F">
      <w:pPr>
        <w:numPr>
          <w:ilvl w:val="1"/>
          <w:numId w:val="30"/>
        </w:numPr>
        <w:spacing w:line="240" w:lineRule="atLeast"/>
      </w:pPr>
      <w:r w:rsidRPr="009901FA">
        <w:t>Provides greater system visibility – enabling better product design, infrastructure planning, and collection optimization.</w:t>
      </w:r>
    </w:p>
    <w:p w14:paraId="48C0EAFA" w14:textId="2CEF022F" w:rsidR="005A6F5E" w:rsidRPr="009901FA" w:rsidRDefault="005A6F5E" w:rsidP="002C2B3F">
      <w:pPr>
        <w:numPr>
          <w:ilvl w:val="1"/>
          <w:numId w:val="30"/>
        </w:numPr>
        <w:spacing w:line="240" w:lineRule="atLeast"/>
      </w:pPr>
      <w:r w:rsidRPr="009901FA">
        <w:t>Most importantly, supports policy and system changes needed to scale sortation in the first place.</w:t>
      </w:r>
    </w:p>
    <w:p w14:paraId="3A8BA51A" w14:textId="7E7041A6" w:rsidR="00E205EC" w:rsidRPr="009901FA" w:rsidRDefault="005C4C40" w:rsidP="00E205EC">
      <w:pPr>
        <w:pStyle w:val="Heading3"/>
      </w:pPr>
      <w:bookmarkStart w:id="59" w:name="_Toc205392457"/>
      <w:bookmarkStart w:id="60" w:name="_Toc205554226"/>
      <w:r>
        <w:t>3</w:t>
      </w:r>
      <w:r w:rsidR="00E205EC" w:rsidRPr="009901FA">
        <w:t>.</w:t>
      </w:r>
      <w:r w:rsidR="0058259A" w:rsidRPr="009901FA">
        <w:t>3</w:t>
      </w:r>
      <w:r w:rsidR="00E205EC" w:rsidRPr="009901FA">
        <w:t xml:space="preserve"> </w:t>
      </w:r>
      <w:r w:rsidR="0058259A" w:rsidRPr="009901FA">
        <w:t>Mechanical recycling</w:t>
      </w:r>
      <w:bookmarkEnd w:id="59"/>
      <w:bookmarkEnd w:id="60"/>
    </w:p>
    <w:p w14:paraId="51D8FBC2" w14:textId="77777777" w:rsidR="00C379EA" w:rsidRPr="009901FA" w:rsidRDefault="00C379EA" w:rsidP="00C379EA">
      <w:pPr>
        <w:pStyle w:val="Heading5"/>
        <w:rPr>
          <w:rFonts w:ascii="Century Gothic" w:eastAsia="MS Gothic" w:hAnsi="Century Gothic" w:cs="Times New Roman"/>
          <w:color w:val="585854"/>
          <w:sz w:val="26"/>
          <w:szCs w:val="24"/>
        </w:rPr>
      </w:pPr>
      <w:r w:rsidRPr="009901FA">
        <w:rPr>
          <w:rFonts w:ascii="Century Gothic" w:eastAsia="MS Gothic" w:hAnsi="Century Gothic" w:cs="Times New Roman"/>
          <w:color w:val="585854"/>
          <w:sz w:val="26"/>
          <w:szCs w:val="24"/>
        </w:rPr>
        <w:t>Overview</w:t>
      </w:r>
    </w:p>
    <w:p w14:paraId="0C3F15ED" w14:textId="780CBA23" w:rsidR="00C379EA" w:rsidRPr="009901FA" w:rsidRDefault="00C379EA" w:rsidP="00C379EA">
      <w:r w:rsidRPr="009901FA">
        <w:rPr>
          <w:b/>
          <w:bCs/>
        </w:rPr>
        <w:t>Physical and mechanical recycling encompasses two primary technologies: mechanical recycling and solvent-based recycling.</w:t>
      </w:r>
      <w:r w:rsidRPr="009901FA">
        <w:t xml:space="preserve"> Mechanical recycling involves physically processing waste materials into new products without altering their chemical structure. This process typically includes sorting, cleaning, shredding, and</w:t>
      </w:r>
      <w:r w:rsidR="00D43BB4" w:rsidRPr="009901FA">
        <w:t>/or</w:t>
      </w:r>
      <w:r w:rsidRPr="009901FA">
        <w:t xml:space="preserve"> melting the materials. Solvent-based recycling, on the other hand, uses chemical solvents to dissolve and separate the components of waste materials, allowing for the recovery of pure polymers that can be reprocessed into high-quality products. One practical example of this is the recycling of end-of-life vehicles, where shredded material is treated with solvents to separate plastic fractions from complex residue streams. This approach allows for the extraction of relatively pure polymers from otherwise hard-to-sort mixtures. Mechanical recycling</w:t>
      </w:r>
      <w:r w:rsidRPr="009901FA" w:rsidDel="00DE1594">
        <w:t xml:space="preserve"> </w:t>
      </w:r>
      <w:r w:rsidRPr="009901FA">
        <w:t>remains the most advanced technology in terms of maturity (</w:t>
      </w:r>
      <w:r w:rsidR="00B73F0B" w:rsidRPr="009901FA">
        <w:t>see</w:t>
      </w:r>
      <w:r w:rsidR="00EC4D23" w:rsidRPr="009901FA">
        <w:t xml:space="preserve"> </w:t>
      </w:r>
      <w:r w:rsidR="00536F68" w:rsidRPr="009901FA">
        <w:fldChar w:fldCharType="begin"/>
      </w:r>
      <w:r w:rsidR="00536F68" w:rsidRPr="009901FA">
        <w:instrText xml:space="preserve"> REF _Ref203748141 \h </w:instrText>
      </w:r>
      <w:r w:rsidR="00A247A6">
        <w:instrText xml:space="preserve"> \* MERGEFORMAT </w:instrText>
      </w:r>
      <w:r w:rsidR="00536F68" w:rsidRPr="009901FA">
        <w:fldChar w:fldCharType="separate"/>
      </w:r>
      <w:r w:rsidR="00DE378F" w:rsidRPr="009901FA">
        <w:t xml:space="preserve">Exhibit </w:t>
      </w:r>
      <w:r w:rsidR="00E61394">
        <w:rPr>
          <w:noProof/>
        </w:rPr>
        <w:t>3</w:t>
      </w:r>
      <w:r w:rsidR="00DE378F" w:rsidRPr="009901FA">
        <w:t>.</w:t>
      </w:r>
      <w:r w:rsidR="00DE378F" w:rsidRPr="009901FA">
        <w:rPr>
          <w:noProof/>
        </w:rPr>
        <w:t>9</w:t>
      </w:r>
      <w:r w:rsidR="00536F68" w:rsidRPr="009901FA">
        <w:fldChar w:fldCharType="end"/>
      </w:r>
      <w:r w:rsidRPr="009901FA">
        <w:t xml:space="preserve">), but only for a limited range of plastic feedstock types. </w:t>
      </w:r>
    </w:p>
    <w:p w14:paraId="4BDA86AC" w14:textId="11AB2C43" w:rsidR="00536F68" w:rsidRPr="009901FA" w:rsidRDefault="00536F68" w:rsidP="00536F68">
      <w:pPr>
        <w:pStyle w:val="Caption"/>
        <w:keepNext/>
      </w:pPr>
      <w:bookmarkStart w:id="61" w:name="_Ref203748141"/>
      <w:r w:rsidRPr="009901FA">
        <w:lastRenderedPageBreak/>
        <w:t xml:space="preserve">Exhibit </w:t>
      </w:r>
      <w:r w:rsidR="00E61394">
        <w:t>3</w:t>
      </w:r>
      <w:r w:rsidR="008725B4" w:rsidRPr="009901FA">
        <w:t>.</w:t>
      </w:r>
      <w:fldSimple w:instr=" SEQ Exhibit \* ARABIC \s 2 ">
        <w:r w:rsidR="00DE378F" w:rsidRPr="009901FA">
          <w:rPr>
            <w:noProof/>
          </w:rPr>
          <w:t>9</w:t>
        </w:r>
      </w:fldSimple>
      <w:bookmarkEnd w:id="61"/>
    </w:p>
    <w:p w14:paraId="48B7586A" w14:textId="112C8562" w:rsidR="0058259A" w:rsidRPr="009901FA" w:rsidRDefault="009A0E73" w:rsidP="0058259A">
      <w:r w:rsidRPr="009901FA">
        <w:rPr>
          <w:noProof/>
        </w:rPr>
        <w:drawing>
          <wp:inline distT="0" distB="0" distL="0" distR="0" wp14:anchorId="7405ADA1" wp14:editId="3B57023F">
            <wp:extent cx="6263640" cy="3523615"/>
            <wp:effectExtent l="0" t="0" r="0" b="0"/>
            <wp:docPr id="66417272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172724"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6263640" cy="3523615"/>
                    </a:xfrm>
                    <a:prstGeom prst="rect">
                      <a:avLst/>
                    </a:prstGeom>
                  </pic:spPr>
                </pic:pic>
              </a:graphicData>
            </a:graphic>
          </wp:inline>
        </w:drawing>
      </w:r>
    </w:p>
    <w:p w14:paraId="6CF68139" w14:textId="77777777" w:rsidR="000548C2" w:rsidRPr="009901FA" w:rsidRDefault="000548C2" w:rsidP="000548C2">
      <w:pPr>
        <w:pStyle w:val="Heading5"/>
        <w:rPr>
          <w:rFonts w:ascii="Century Gothic" w:eastAsia="MS Gothic" w:hAnsi="Century Gothic" w:cs="Times New Roman"/>
          <w:color w:val="585854"/>
          <w:sz w:val="26"/>
          <w:szCs w:val="24"/>
        </w:rPr>
      </w:pPr>
      <w:r w:rsidRPr="009901FA">
        <w:rPr>
          <w:rFonts w:ascii="Century Gothic" w:eastAsia="MS Gothic" w:hAnsi="Century Gothic" w:cs="Times New Roman"/>
          <w:color w:val="585854"/>
          <w:sz w:val="26"/>
          <w:szCs w:val="24"/>
        </w:rPr>
        <w:t>Barriers</w:t>
      </w:r>
    </w:p>
    <w:p w14:paraId="47C8528E" w14:textId="4D44C73E" w:rsidR="000548C2" w:rsidRPr="009901FA" w:rsidRDefault="000548C2" w:rsidP="000548C2">
      <w:r w:rsidRPr="009901FA">
        <w:rPr>
          <w:b/>
          <w:bCs/>
        </w:rPr>
        <w:t>Despite mechanical recycling being a well-established technology, it faces several challenges that limit its scalability.</w:t>
      </w:r>
      <w:r w:rsidRPr="009901FA">
        <w:rPr>
          <w:b/>
        </w:rPr>
        <w:t xml:space="preserve"> </w:t>
      </w:r>
      <w:r w:rsidRPr="009901FA">
        <w:t xml:space="preserve">One major issue is the degradation of polymer properties due to heat, mechanical stress, and oxidation during the recycling process. This degradation </w:t>
      </w:r>
      <w:r w:rsidR="00055A41" w:rsidRPr="009901FA">
        <w:t>can reduce material performance, making recycled plastic less suitable for certain applications. For food-grade mechanical</w:t>
      </w:r>
      <w:r w:rsidRPr="009901FA">
        <w:t xml:space="preserve"> recycling, the </w:t>
      </w:r>
      <w:r w:rsidR="00055A41" w:rsidRPr="009901FA">
        <w:t>primary barrier is contamination risk rather than polymer degradation. This is typically managed through strict input controls, as seen in PET beverage bottle recycling.</w:t>
      </w:r>
      <w:r w:rsidRPr="009901FA">
        <w:t xml:space="preserve"> Additionally, since most mechanical recycling </w:t>
      </w:r>
      <w:r w:rsidR="00055A41" w:rsidRPr="009901FA">
        <w:t>today involves only one cycle of previously</w:t>
      </w:r>
      <w:r w:rsidRPr="009901FA">
        <w:t xml:space="preserve"> virgin plastic, it </w:t>
      </w:r>
      <w:r w:rsidR="00055A41" w:rsidRPr="009901FA">
        <w:t>remains uncertain</w:t>
      </w:r>
      <w:r w:rsidRPr="009901FA">
        <w:t xml:space="preserve"> how many </w:t>
      </w:r>
      <w:r w:rsidR="00055A41" w:rsidRPr="009901FA">
        <w:t>times a material</w:t>
      </w:r>
      <w:r w:rsidRPr="009901FA">
        <w:t xml:space="preserve"> can </w:t>
      </w:r>
      <w:r w:rsidR="00055A41" w:rsidRPr="009901FA">
        <w:t>be recycled</w:t>
      </w:r>
      <w:r w:rsidRPr="009901FA">
        <w:t xml:space="preserve"> before losing its essential properties in real</w:t>
      </w:r>
      <w:r w:rsidR="00055A41" w:rsidRPr="009901FA">
        <w:t>-</w:t>
      </w:r>
      <w:r w:rsidRPr="009901FA">
        <w:t xml:space="preserve">world </w:t>
      </w:r>
      <w:r w:rsidR="00055A41" w:rsidRPr="009901FA">
        <w:t xml:space="preserve">conditions. </w:t>
      </w:r>
      <w:r w:rsidRPr="009901FA">
        <w:t xml:space="preserve">In controlled </w:t>
      </w:r>
      <w:r w:rsidR="00055A41" w:rsidRPr="009901FA">
        <w:t>laboratory settings</w:t>
      </w:r>
      <w:r w:rsidRPr="009901FA">
        <w:t xml:space="preserve">, scientists have </w:t>
      </w:r>
      <w:r w:rsidR="00055A41" w:rsidRPr="009901FA">
        <w:t>managed</w:t>
      </w:r>
      <w:r w:rsidRPr="009901FA">
        <w:t xml:space="preserve"> to recycle </w:t>
      </w:r>
      <w:r w:rsidR="00055A41" w:rsidRPr="009901FA">
        <w:t>an</w:t>
      </w:r>
      <w:r w:rsidRPr="009901FA">
        <w:t xml:space="preserve"> HDPE bottle </w:t>
      </w:r>
      <w:r w:rsidR="00055A41" w:rsidRPr="009901FA">
        <w:t xml:space="preserve">up to </w:t>
      </w:r>
      <w:r w:rsidRPr="009901FA">
        <w:t>10 times</w:t>
      </w:r>
      <w:r w:rsidR="00055A41" w:rsidRPr="009901FA">
        <w:t>.</w:t>
      </w:r>
      <w:r w:rsidRPr="009901FA">
        <w:rPr>
          <w:rStyle w:val="FootnoteReference"/>
        </w:rPr>
        <w:footnoteReference w:id="45"/>
      </w:r>
    </w:p>
    <w:p w14:paraId="6B13EC52" w14:textId="19A73B36" w:rsidR="000548C2" w:rsidRPr="009901FA" w:rsidRDefault="00B11331" w:rsidP="000548C2">
      <w:r w:rsidRPr="009901FA">
        <w:rPr>
          <w:b/>
          <w:bCs/>
        </w:rPr>
        <w:t xml:space="preserve">Another majority challenge for mechanical recycling </w:t>
      </w:r>
      <w:r w:rsidR="00B70084" w:rsidRPr="009901FA">
        <w:rPr>
          <w:b/>
          <w:bCs/>
        </w:rPr>
        <w:t xml:space="preserve">centres around </w:t>
      </w:r>
      <w:r w:rsidR="000548C2" w:rsidRPr="009901FA">
        <w:rPr>
          <w:b/>
          <w:bCs/>
        </w:rPr>
        <w:t>feedstock sensitivity.</w:t>
      </w:r>
      <w:r w:rsidR="000548C2" w:rsidRPr="009901FA">
        <w:t xml:space="preserve"> Mechanical recycling requires high levels of purity, and contaminated plastics either cannot be recycled or </w:t>
      </w:r>
      <w:r w:rsidR="00B97241" w:rsidRPr="009901FA">
        <w:t xml:space="preserve">are </w:t>
      </w:r>
      <w:r w:rsidR="000548C2" w:rsidRPr="009901FA">
        <w:t>recycled into lower-</w:t>
      </w:r>
      <w:r w:rsidR="00395A66" w:rsidRPr="009901FA">
        <w:t>grade</w:t>
      </w:r>
      <w:r w:rsidR="000548C2" w:rsidRPr="009901FA">
        <w:t xml:space="preserve"> applications. Consequently, the output of what is mechanically recycled, is often </w:t>
      </w:r>
      <w:r w:rsidR="00395A66" w:rsidRPr="009901FA">
        <w:t>converted</w:t>
      </w:r>
      <w:r w:rsidR="000548C2" w:rsidRPr="009901FA">
        <w:t xml:space="preserve"> into non-contact sensitive materials</w:t>
      </w:r>
      <w:r w:rsidR="000548C2" w:rsidRPr="009901FA">
        <w:rPr>
          <w:rStyle w:val="FootnoteReference"/>
        </w:rPr>
        <w:footnoteReference w:id="46"/>
      </w:r>
      <w:r w:rsidR="000548C2" w:rsidRPr="009901FA">
        <w:t xml:space="preserve">, such as polyester for textiles, plastics for furniture or </w:t>
      </w:r>
      <w:r w:rsidR="000548C2" w:rsidRPr="009901FA">
        <w:lastRenderedPageBreak/>
        <w:t>the built environment, or strapping and packaging, in a process known as 'open-loop' recycling</w:t>
      </w:r>
      <w:r w:rsidR="000548C2" w:rsidRPr="009901FA">
        <w:rPr>
          <w:rStyle w:val="FootnoteReference"/>
        </w:rPr>
        <w:footnoteReference w:id="47"/>
      </w:r>
      <w:r w:rsidR="000548C2" w:rsidRPr="009901FA">
        <w:t>.</w:t>
      </w:r>
    </w:p>
    <w:p w14:paraId="765E04B7" w14:textId="68339219" w:rsidR="000548C2" w:rsidRPr="009901FA" w:rsidRDefault="000548C2" w:rsidP="000548C2">
      <w:r w:rsidRPr="009901FA">
        <w:rPr>
          <w:b/>
          <w:bCs/>
        </w:rPr>
        <w:t>Several cycles of closed-loop recycling are technically feasible, but they require high levels of sorting and cleaning</w:t>
      </w:r>
      <w:r w:rsidRPr="009901FA">
        <w:t>. Design for recycling will also play a crucial role in scaling mechanical recycling. Bottles and rigid packaging are more easily recycled in a closed loop than flexible or easily contaminated plastics, such as household goods and construction materials. Multi-layer multi-material (MLMM) products are virtually impossible to mechanically recycle, further complicating the process. Designing for recycling would play a crucial role in scaling closed-loop mechanical recycling. By shifting from complex, compound polymer designs, to simple mono-material, rigids with minimal additives, colourings and plasticisers, the quality of recyclate is increased.</w:t>
      </w:r>
    </w:p>
    <w:p w14:paraId="4BEE7EFA" w14:textId="134D1715" w:rsidR="000548C2" w:rsidRPr="009901FA" w:rsidRDefault="000548C2" w:rsidP="000548C2">
      <w:r w:rsidRPr="009901FA">
        <w:rPr>
          <w:b/>
          <w:bCs/>
        </w:rPr>
        <w:t>Another significant barrier to mechanical recycling is the business case.</w:t>
      </w:r>
      <w:r w:rsidRPr="009901FA">
        <w:t xml:space="preserve"> While mechanical recycling provides environmental benefits, the economic viability can be challenging. The costs associated with sorting, cleaning, and processing plastics can be high, and the market value of recycled plastics is often lower than that of virgin plastics</w:t>
      </w:r>
      <w:r w:rsidRPr="009901FA">
        <w:rPr>
          <w:rStyle w:val="FootnoteReference"/>
        </w:rPr>
        <w:footnoteReference w:id="48"/>
      </w:r>
      <w:r w:rsidRPr="009901FA">
        <w:t xml:space="preserve"> because of the abundance of low-cost naphtha fossil feedstock. However, in a market where fossil feedstock is scarce or its life-cycle carbon impact is price</w:t>
      </w:r>
      <w:r w:rsidR="0089429A" w:rsidRPr="009901FA">
        <w:t>d</w:t>
      </w:r>
      <w:r w:rsidRPr="009901FA">
        <w:t xml:space="preserve"> appropriately, the business case for mechanical recycling could be far more compelling. This disparity can make it difficult for businesses to justify the investment in mechanical recycling infrastructure today.</w:t>
      </w:r>
      <w:r w:rsidR="00DC2436" w:rsidRPr="009901FA">
        <w:t xml:space="preserve"> Some investments are being made today, but mostly in easier-to-recycle segments such as PET bottles.</w:t>
      </w:r>
      <w:r w:rsidRPr="009901FA">
        <w:t xml:space="preserve"> Additionally, fluctuations in the price of virgin plastics can impact the competitiveness of recycled plastics, further complicating the business case for mechanical recycling</w:t>
      </w:r>
      <w:r w:rsidRPr="009901FA">
        <w:rPr>
          <w:rStyle w:val="FootnoteReference"/>
        </w:rPr>
        <w:footnoteReference w:id="49"/>
      </w:r>
      <w:r w:rsidRPr="009901FA">
        <w:t xml:space="preserve">. </w:t>
      </w:r>
    </w:p>
    <w:p w14:paraId="178A29C5" w14:textId="77777777" w:rsidR="000548C2" w:rsidRPr="009901FA" w:rsidRDefault="000548C2" w:rsidP="000548C2">
      <w:pPr>
        <w:pStyle w:val="Heading5"/>
        <w:rPr>
          <w:rFonts w:ascii="Century Gothic" w:eastAsia="MS Gothic" w:hAnsi="Century Gothic" w:cs="Times New Roman"/>
          <w:color w:val="585854"/>
          <w:sz w:val="26"/>
          <w:szCs w:val="24"/>
        </w:rPr>
      </w:pPr>
      <w:r w:rsidRPr="009901FA">
        <w:rPr>
          <w:rFonts w:ascii="Century Gothic" w:eastAsia="MS Gothic" w:hAnsi="Century Gothic" w:cs="Times New Roman"/>
          <w:color w:val="585854"/>
          <w:sz w:val="26"/>
          <w:szCs w:val="24"/>
        </w:rPr>
        <w:t>Enablers and potential impact</w:t>
      </w:r>
    </w:p>
    <w:p w14:paraId="2A712217" w14:textId="1D78BECC" w:rsidR="000548C2" w:rsidRPr="009901FA" w:rsidRDefault="000548C2" w:rsidP="000548C2">
      <w:r w:rsidRPr="009901FA">
        <w:rPr>
          <w:b/>
          <w:bCs/>
        </w:rPr>
        <w:t>Mechanical recycling can be significantly enabled through a multifaceted approach that addresses the entire material lifecycle</w:t>
      </w:r>
      <w:r w:rsidRPr="009901FA">
        <w:t>. Key enablers include investing and improving more waste collection and sorting systems and infrastructure to ensure material makes it to recycling facilities. Additionally, coordination among stakeholders in the value chain is needed to ensure best in class recycling infrastructure and policies that incentivize circularity.  Key policies would include, but are not limited to:</w:t>
      </w:r>
    </w:p>
    <w:p w14:paraId="513596AF" w14:textId="77777777" w:rsidR="000548C2" w:rsidRPr="009901FA" w:rsidRDefault="000548C2" w:rsidP="000548C2">
      <w:r w:rsidRPr="009901FA">
        <w:t>Policies and targets</w:t>
      </w:r>
      <w:r w:rsidRPr="009901FA">
        <w:rPr>
          <w:rStyle w:val="FootnoteReference"/>
        </w:rPr>
        <w:footnoteReference w:id="50"/>
      </w:r>
      <w:r w:rsidRPr="009901FA">
        <w:t>:</w:t>
      </w:r>
    </w:p>
    <w:p w14:paraId="0FE2989C" w14:textId="3C3C594C" w:rsidR="000548C2" w:rsidRPr="009901FA" w:rsidRDefault="000548C2" w:rsidP="002C2B3F">
      <w:pPr>
        <w:pStyle w:val="ListParagraph"/>
        <w:numPr>
          <w:ilvl w:val="0"/>
          <w:numId w:val="32"/>
        </w:numPr>
        <w:spacing w:line="240" w:lineRule="atLeast"/>
      </w:pPr>
      <w:r w:rsidRPr="009901FA">
        <w:t>Reduce virgin plastic volumes</w:t>
      </w:r>
    </w:p>
    <w:p w14:paraId="030554C5" w14:textId="723A937F" w:rsidR="000548C2" w:rsidRPr="009901FA" w:rsidRDefault="000548C2" w:rsidP="002C2B3F">
      <w:pPr>
        <w:pStyle w:val="ListParagraph"/>
        <w:numPr>
          <w:ilvl w:val="0"/>
          <w:numId w:val="32"/>
        </w:numPr>
        <w:spacing w:line="240" w:lineRule="atLeast"/>
      </w:pPr>
      <w:r w:rsidRPr="009901FA">
        <w:t>Increase collection and recycling in developing countries</w:t>
      </w:r>
    </w:p>
    <w:p w14:paraId="7E91B09A" w14:textId="4C3955A3" w:rsidR="000548C2" w:rsidRPr="009901FA" w:rsidRDefault="000548C2" w:rsidP="002C2B3F">
      <w:pPr>
        <w:pStyle w:val="ListParagraph"/>
        <w:numPr>
          <w:ilvl w:val="0"/>
          <w:numId w:val="32"/>
        </w:numPr>
        <w:spacing w:line="240" w:lineRule="atLeast"/>
      </w:pPr>
      <w:r w:rsidRPr="009901FA">
        <w:lastRenderedPageBreak/>
        <w:t>Ban plastics designed for single use, and hard-to-recycle plastics</w:t>
      </w:r>
    </w:p>
    <w:p w14:paraId="3630F624" w14:textId="4E973AA3" w:rsidR="000548C2" w:rsidRPr="009901FA" w:rsidRDefault="000548C2" w:rsidP="002C2B3F">
      <w:pPr>
        <w:pStyle w:val="ListParagraph"/>
        <w:numPr>
          <w:ilvl w:val="0"/>
          <w:numId w:val="32"/>
        </w:numPr>
        <w:spacing w:line="240" w:lineRule="atLeast"/>
      </w:pPr>
      <w:r w:rsidRPr="009901FA">
        <w:t>Design rules for safe re-use, repair and recycling (e.g. the EU’s packaging and packaging wate directive include requirements for the design of packaging to facilitate re-use and recycling)</w:t>
      </w:r>
    </w:p>
    <w:p w14:paraId="0F5F86BE" w14:textId="1AB152B0" w:rsidR="000548C2" w:rsidRPr="009901FA" w:rsidRDefault="000548C2" w:rsidP="002C2B3F">
      <w:pPr>
        <w:pStyle w:val="ListParagraph"/>
        <w:numPr>
          <w:ilvl w:val="0"/>
          <w:numId w:val="32"/>
        </w:numPr>
        <w:spacing w:line="240" w:lineRule="atLeast"/>
      </w:pPr>
      <w:r w:rsidRPr="009901FA">
        <w:t>Extended Producer Responsibilities schemes and/or unrecyclable plastic fees (e.g. EU plastics levy)</w:t>
      </w:r>
    </w:p>
    <w:p w14:paraId="5EC0DB52" w14:textId="10959BBC" w:rsidR="000548C2" w:rsidRPr="009901FA" w:rsidRDefault="000548C2" w:rsidP="000548C2">
      <w:r w:rsidRPr="009901FA">
        <w:t>In a highly ambitious scenario by 2040, Plastic Treaty analysis undertaken by Systemiq estimates that mechanical recycling grow 5 times, from levels today of ~30 million tonnes to183 million tonnes (open and closed loop mechanical recycling) by 2040 (</w:t>
      </w:r>
      <w:r w:rsidR="00536F68" w:rsidRPr="009901FA">
        <w:fldChar w:fldCharType="begin"/>
      </w:r>
      <w:r w:rsidR="00536F68" w:rsidRPr="009901FA">
        <w:instrText xml:space="preserve"> REF _Ref203748155 \h </w:instrText>
      </w:r>
      <w:r w:rsidR="00A247A6">
        <w:instrText xml:space="preserve"> \* MERGEFORMAT </w:instrText>
      </w:r>
      <w:r w:rsidR="00536F68" w:rsidRPr="009901FA">
        <w:fldChar w:fldCharType="separate"/>
      </w:r>
      <w:r w:rsidR="00DE378F" w:rsidRPr="009901FA">
        <w:t xml:space="preserve">Exhibit </w:t>
      </w:r>
      <w:r w:rsidR="00E61394">
        <w:rPr>
          <w:noProof/>
        </w:rPr>
        <w:t>3</w:t>
      </w:r>
      <w:r w:rsidR="00DE378F" w:rsidRPr="009901FA">
        <w:t>.</w:t>
      </w:r>
      <w:r w:rsidR="00DE378F" w:rsidRPr="009901FA">
        <w:rPr>
          <w:noProof/>
        </w:rPr>
        <w:t>10</w:t>
      </w:r>
      <w:r w:rsidR="00536F68" w:rsidRPr="009901FA">
        <w:fldChar w:fldCharType="end"/>
      </w:r>
      <w:r w:rsidRPr="009901FA">
        <w:t>).</w:t>
      </w:r>
    </w:p>
    <w:p w14:paraId="38CA7A3C" w14:textId="2011FBA7" w:rsidR="00536F68" w:rsidRPr="009901FA" w:rsidRDefault="00536F68" w:rsidP="00536F68">
      <w:pPr>
        <w:pStyle w:val="Caption"/>
        <w:keepNext/>
      </w:pPr>
      <w:bookmarkStart w:id="62" w:name="_Ref203748155"/>
      <w:r w:rsidRPr="009901FA">
        <w:t xml:space="preserve">Exhibit </w:t>
      </w:r>
      <w:r w:rsidR="00E61394">
        <w:t>3</w:t>
      </w:r>
      <w:r w:rsidR="008725B4" w:rsidRPr="009901FA">
        <w:t>.</w:t>
      </w:r>
      <w:fldSimple w:instr=" SEQ Exhibit \* ARABIC \s 2 ">
        <w:r w:rsidR="00DE378F" w:rsidRPr="009901FA">
          <w:rPr>
            <w:noProof/>
          </w:rPr>
          <w:t>10</w:t>
        </w:r>
      </w:fldSimple>
      <w:bookmarkEnd w:id="62"/>
    </w:p>
    <w:p w14:paraId="4768419D" w14:textId="20DCA0BB" w:rsidR="009A0E73" w:rsidRPr="009901FA" w:rsidRDefault="00E16C29" w:rsidP="0058259A">
      <w:r w:rsidRPr="009901FA">
        <w:rPr>
          <w:noProof/>
        </w:rPr>
        <w:drawing>
          <wp:inline distT="0" distB="0" distL="0" distR="0" wp14:anchorId="4B0EE732" wp14:editId="5A714E35">
            <wp:extent cx="6263640" cy="3523615"/>
            <wp:effectExtent l="0" t="0" r="0" b="0"/>
            <wp:docPr id="122706438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064387"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6263640" cy="3523615"/>
                    </a:xfrm>
                    <a:prstGeom prst="rect">
                      <a:avLst/>
                    </a:prstGeom>
                  </pic:spPr>
                </pic:pic>
              </a:graphicData>
            </a:graphic>
          </wp:inline>
        </w:drawing>
      </w:r>
    </w:p>
    <w:p w14:paraId="3F94AD4C" w14:textId="3B20631C" w:rsidR="00EF596D" w:rsidRPr="009901FA" w:rsidRDefault="005C4C40" w:rsidP="00EF596D">
      <w:pPr>
        <w:pStyle w:val="Heading3"/>
      </w:pPr>
      <w:bookmarkStart w:id="63" w:name="_Toc205392458"/>
      <w:bookmarkStart w:id="64" w:name="_Toc205554227"/>
      <w:r>
        <w:t>3</w:t>
      </w:r>
      <w:r w:rsidR="00EF596D" w:rsidRPr="009901FA">
        <w:t>.4 Chemical recycling and thermo conversion</w:t>
      </w:r>
      <w:bookmarkEnd w:id="63"/>
      <w:bookmarkEnd w:id="64"/>
    </w:p>
    <w:p w14:paraId="639A95D8" w14:textId="77777777" w:rsidR="00E536BF" w:rsidRPr="009901FA" w:rsidRDefault="00E536BF" w:rsidP="00E536BF">
      <w:pPr>
        <w:pStyle w:val="Heading5"/>
        <w:rPr>
          <w:rFonts w:ascii="Century Gothic" w:eastAsia="MS Gothic" w:hAnsi="Century Gothic" w:cs="Times New Roman"/>
          <w:color w:val="585854"/>
          <w:sz w:val="26"/>
          <w:szCs w:val="24"/>
        </w:rPr>
      </w:pPr>
      <w:r w:rsidRPr="009901FA">
        <w:rPr>
          <w:rFonts w:ascii="Century Gothic" w:eastAsia="MS Gothic" w:hAnsi="Century Gothic" w:cs="Times New Roman"/>
          <w:color w:val="585854"/>
          <w:sz w:val="26"/>
          <w:szCs w:val="24"/>
        </w:rPr>
        <w:t>Overview</w:t>
      </w:r>
    </w:p>
    <w:p w14:paraId="3C7362F9" w14:textId="17D281A4" w:rsidR="00E536BF" w:rsidRPr="009901FA" w:rsidRDefault="00E536BF" w:rsidP="00E536BF">
      <w:r w:rsidRPr="009901FA">
        <w:rPr>
          <w:b/>
          <w:bCs/>
        </w:rPr>
        <w:t>Chemical recycling and thermo-conversion offer a pathway to reduce reliance on virgin fossil-based feedstocks by converting waste (especially plastic) into valuable chemical building blocks.</w:t>
      </w:r>
      <w:r w:rsidRPr="009901FA">
        <w:t xml:space="preserve"> Chemical recycling is where the material would be closed loop (i.e. </w:t>
      </w:r>
      <w:r w:rsidR="008A3889" w:rsidRPr="009901FA">
        <w:t>material-</w:t>
      </w:r>
      <w:r w:rsidRPr="009901FA">
        <w:t>to</w:t>
      </w:r>
      <w:r w:rsidR="008A3889" w:rsidRPr="009901FA">
        <w:t>-material</w:t>
      </w:r>
      <w:r w:rsidRPr="009901FA">
        <w:t xml:space="preserve">), whereas </w:t>
      </w:r>
      <w:r w:rsidRPr="009901FA" w:rsidDel="008A0E4B">
        <w:t>thermo</w:t>
      </w:r>
      <w:r w:rsidRPr="009901FA">
        <w:t>-conversion describes the process where the feedstocks are used to create chemical outputs that are used for other uses</w:t>
      </w:r>
      <w:r w:rsidR="00C42EA4" w:rsidRPr="009901FA">
        <w:t>, such as fuels</w:t>
      </w:r>
      <w:r w:rsidRPr="009901FA">
        <w:t xml:space="preserve"> (e.g. methanol production to shipping fuel</w:t>
      </w:r>
      <w:r w:rsidR="00C42EA4" w:rsidRPr="009901FA">
        <w:t>)</w:t>
      </w:r>
      <w:r w:rsidRPr="009901FA">
        <w:t>.</w:t>
      </w:r>
      <w:r w:rsidRPr="009901FA">
        <w:rPr>
          <w:rStyle w:val="FootnoteReference"/>
        </w:rPr>
        <w:footnoteReference w:id="51"/>
      </w:r>
      <w:r w:rsidRPr="009901FA">
        <w:t xml:space="preserve"> Unlike mechanical recycling, which degrades plastic quality over successive cycles, chemical recycling and thermo-conversion breaks down polymers into their fundamental components, enabling the production of high-quality recycled materials with properties </w:t>
      </w:r>
      <w:r w:rsidRPr="009901FA">
        <w:lastRenderedPageBreak/>
        <w:t>equivalent to virgin plastics. Additionally, these technologies can process lower-purity materials that are unsuitable for mechanical recycling, making them complementary approaches in a circular economy.</w:t>
      </w:r>
    </w:p>
    <w:p w14:paraId="6A0FF555" w14:textId="4C9C046C" w:rsidR="004452FF" w:rsidRPr="009901FA" w:rsidRDefault="004452FF" w:rsidP="004452FF">
      <w:r w:rsidRPr="009901FA">
        <w:rPr>
          <w:b/>
          <w:bCs/>
        </w:rPr>
        <w:t>There are some select emerging technologies for chemical recycling/thermo-conversion, however there are three fundamental approaches that dominate the current landscape: depolymerisation, pyrolysis and gasification.</w:t>
      </w:r>
      <w:r w:rsidRPr="009901FA">
        <w:t xml:space="preserve"> Each process yields different chemical products, as illustrated in </w:t>
      </w:r>
      <w:r w:rsidR="00536F68" w:rsidRPr="009901FA">
        <w:fldChar w:fldCharType="begin"/>
      </w:r>
      <w:r w:rsidR="00536F68" w:rsidRPr="009901FA">
        <w:instrText xml:space="preserve"> REF _Ref203748168 \h </w:instrText>
      </w:r>
      <w:r w:rsidR="00A247A6">
        <w:instrText xml:space="preserve"> \* MERGEFORMAT </w:instrText>
      </w:r>
      <w:r w:rsidR="00536F68" w:rsidRPr="009901FA">
        <w:fldChar w:fldCharType="separate"/>
      </w:r>
      <w:r w:rsidR="00DE378F" w:rsidRPr="009901FA">
        <w:t xml:space="preserve">Exhibit </w:t>
      </w:r>
      <w:r w:rsidR="00E61394">
        <w:rPr>
          <w:noProof/>
        </w:rPr>
        <w:t>3</w:t>
      </w:r>
      <w:r w:rsidR="00DE378F" w:rsidRPr="009901FA">
        <w:t>.</w:t>
      </w:r>
      <w:r w:rsidR="00DE378F" w:rsidRPr="009901FA">
        <w:rPr>
          <w:noProof/>
        </w:rPr>
        <w:t>11</w:t>
      </w:r>
      <w:r w:rsidR="00536F68" w:rsidRPr="009901FA">
        <w:fldChar w:fldCharType="end"/>
      </w:r>
      <w:r w:rsidRPr="009901FA">
        <w:t>. In this analysis:</w:t>
      </w:r>
    </w:p>
    <w:p w14:paraId="0143B16C" w14:textId="1FBDEAC1" w:rsidR="004452FF" w:rsidRPr="009901FA" w:rsidRDefault="004452FF" w:rsidP="002C2B3F">
      <w:pPr>
        <w:pStyle w:val="ListParagraph"/>
        <w:numPr>
          <w:ilvl w:val="0"/>
          <w:numId w:val="33"/>
        </w:numPr>
        <w:spacing w:line="240" w:lineRule="atLeast"/>
      </w:pPr>
      <w:r w:rsidRPr="009901FA">
        <w:t>Depolymerisation is assessed based on Polyethylene Terephthalate (PET) production. PET depolymerisation holds the highest market potential and is more mature application compared to the lower recycling volumes and more difficult processing of Polyurethane (PUR) and Polystyrene (PS).</w:t>
      </w:r>
    </w:p>
    <w:p w14:paraId="1CFA3329" w14:textId="77777777" w:rsidR="004452FF" w:rsidRPr="009901FA" w:rsidRDefault="004452FF" w:rsidP="002C2B3F">
      <w:pPr>
        <w:pStyle w:val="ListParagraph"/>
        <w:numPr>
          <w:ilvl w:val="0"/>
          <w:numId w:val="33"/>
        </w:numPr>
        <w:spacing w:line="240" w:lineRule="atLeast"/>
      </w:pPr>
      <w:r w:rsidRPr="009901FA">
        <w:t>Gasification is evaluated based on methanol production via syngas formation.</w:t>
      </w:r>
    </w:p>
    <w:p w14:paraId="42BC685D" w14:textId="12C120D1" w:rsidR="00536F68" w:rsidRPr="009901FA" w:rsidRDefault="004452FF" w:rsidP="00E536BF">
      <w:pPr>
        <w:pStyle w:val="ListParagraph"/>
        <w:numPr>
          <w:ilvl w:val="0"/>
          <w:numId w:val="33"/>
        </w:numPr>
        <w:spacing w:line="240" w:lineRule="atLeast"/>
      </w:pPr>
      <w:r w:rsidRPr="009901FA">
        <w:t>Pyrolysis is analysed in terms of High-Value Chemicals (HVC), specifically ethylene.</w:t>
      </w:r>
    </w:p>
    <w:p w14:paraId="50FC851C" w14:textId="18A6AE13" w:rsidR="00536F68" w:rsidRPr="009901FA" w:rsidRDefault="00536F68" w:rsidP="00536F68">
      <w:pPr>
        <w:pStyle w:val="Caption"/>
        <w:keepNext/>
      </w:pPr>
      <w:bookmarkStart w:id="65" w:name="_Ref203748168"/>
      <w:r w:rsidRPr="009901FA">
        <w:t xml:space="preserve">Exhibit </w:t>
      </w:r>
      <w:r w:rsidR="00E61394">
        <w:t>3</w:t>
      </w:r>
      <w:r w:rsidR="008725B4" w:rsidRPr="009901FA">
        <w:t>.</w:t>
      </w:r>
      <w:fldSimple w:instr=" SEQ Exhibit \* ARABIC \s 2 ">
        <w:r w:rsidR="00DE378F" w:rsidRPr="009901FA">
          <w:rPr>
            <w:noProof/>
          </w:rPr>
          <w:t>11</w:t>
        </w:r>
      </w:fldSimple>
      <w:bookmarkEnd w:id="65"/>
    </w:p>
    <w:p w14:paraId="31F6CC5E" w14:textId="1E949116" w:rsidR="00E536BF" w:rsidRPr="009901FA" w:rsidRDefault="00F359D3" w:rsidP="00E536BF">
      <w:r w:rsidRPr="009901FA">
        <w:rPr>
          <w:noProof/>
        </w:rPr>
        <w:drawing>
          <wp:inline distT="0" distB="0" distL="0" distR="0" wp14:anchorId="448EC771" wp14:editId="54C250EF">
            <wp:extent cx="6320333" cy="3627755"/>
            <wp:effectExtent l="0" t="0" r="4445" b="0"/>
            <wp:docPr id="906854698" name="Picture 1" descr="A diagram of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854698" name="Picture 1" descr="A diagram of a company&#10;&#10;AI-generated content may be incorrect."/>
                    <pic:cNvPicPr/>
                  </pic:nvPicPr>
                  <pic:blipFill>
                    <a:blip r:embed="rId60"/>
                    <a:stretch>
                      <a:fillRect/>
                    </a:stretch>
                  </pic:blipFill>
                  <pic:spPr>
                    <a:xfrm>
                      <a:off x="0" y="0"/>
                      <a:ext cx="6323388" cy="3629509"/>
                    </a:xfrm>
                    <a:prstGeom prst="rect">
                      <a:avLst/>
                    </a:prstGeom>
                  </pic:spPr>
                </pic:pic>
              </a:graphicData>
            </a:graphic>
          </wp:inline>
        </w:drawing>
      </w:r>
    </w:p>
    <w:p w14:paraId="3AB77099" w14:textId="78EC5FC5" w:rsidR="003C57BF" w:rsidRPr="009901FA" w:rsidRDefault="003C57BF" w:rsidP="003C57BF">
      <w:r w:rsidRPr="009901FA">
        <w:rPr>
          <w:b/>
          <w:bCs/>
        </w:rPr>
        <w:t>These technologies have the potential to complement mechanical recycling by processing contaminated and mixed plastic waste streams that would otherwise be incinerated or landfilled.</w:t>
      </w:r>
      <w:r w:rsidRPr="009901FA">
        <w:t xml:space="preserve"> The choice of an appropriate chemical recycling/thermo-conversion process depends primarily on the costs, the feedstock characteristics and the desired product.</w:t>
      </w:r>
      <w:r w:rsidR="003803A5" w:rsidRPr="009901FA">
        <w:t xml:space="preserve"> </w:t>
      </w:r>
      <w:r w:rsidR="00536F68" w:rsidRPr="009901FA">
        <w:fldChar w:fldCharType="begin"/>
      </w:r>
      <w:r w:rsidR="00536F68" w:rsidRPr="009901FA">
        <w:instrText xml:space="preserve"> REF _Ref203748183 \h </w:instrText>
      </w:r>
      <w:r w:rsidR="00A247A6">
        <w:instrText xml:space="preserve"> \* MERGEFORMAT </w:instrText>
      </w:r>
      <w:r w:rsidR="00536F68" w:rsidRPr="009901FA">
        <w:fldChar w:fldCharType="separate"/>
      </w:r>
      <w:r w:rsidR="00DE378F" w:rsidRPr="009901FA">
        <w:t xml:space="preserve">Exhibit </w:t>
      </w:r>
      <w:r w:rsidR="00E61394">
        <w:rPr>
          <w:noProof/>
        </w:rPr>
        <w:t>3</w:t>
      </w:r>
      <w:r w:rsidR="00DE378F" w:rsidRPr="009901FA">
        <w:t>.</w:t>
      </w:r>
      <w:r w:rsidR="00DE378F" w:rsidRPr="009901FA">
        <w:rPr>
          <w:noProof/>
        </w:rPr>
        <w:t>12</w:t>
      </w:r>
      <w:r w:rsidR="00536F68" w:rsidRPr="009901FA">
        <w:fldChar w:fldCharType="end"/>
      </w:r>
      <w:r w:rsidR="003803A5" w:rsidRPr="009901FA">
        <w:t xml:space="preserve"> provides the different advantages and disadvantages of each </w:t>
      </w:r>
      <w:r w:rsidR="001A3C30" w:rsidRPr="009901FA">
        <w:t>technology.</w:t>
      </w:r>
      <w:r w:rsidRPr="009901FA">
        <w:t xml:space="preserve"> </w:t>
      </w:r>
      <w:r w:rsidR="001A3C30" w:rsidRPr="009901FA">
        <w:t>In</w:t>
      </w:r>
      <w:r w:rsidRPr="009901FA">
        <w:t xml:space="preserve"> practice, the limited availability of uncontaminated or sorted feedstocks, and the demand for recycled content with virgin-like quality, risks placing mechanical and chemical recycling pathways in </w:t>
      </w:r>
      <w:r w:rsidRPr="009901FA">
        <w:lastRenderedPageBreak/>
        <w:t>competition rather than alignment. This dynamic may challenge the optimal allocation of waste streams and the scaling of both technologies simultaneously.</w:t>
      </w:r>
    </w:p>
    <w:p w14:paraId="04322DEC" w14:textId="1E257E8A" w:rsidR="00536F68" w:rsidRPr="009901FA" w:rsidRDefault="00536F68" w:rsidP="00536F68">
      <w:pPr>
        <w:pStyle w:val="Caption"/>
        <w:keepNext/>
      </w:pPr>
      <w:bookmarkStart w:id="66" w:name="_Ref203748183"/>
      <w:r w:rsidRPr="009901FA">
        <w:t xml:space="preserve">Exhibit </w:t>
      </w:r>
      <w:r w:rsidR="00E61394">
        <w:t>3</w:t>
      </w:r>
      <w:r w:rsidR="008725B4" w:rsidRPr="009901FA">
        <w:t>.</w:t>
      </w:r>
      <w:fldSimple w:instr=" SEQ Exhibit \* ARABIC \s 2 ">
        <w:r w:rsidR="00DE378F" w:rsidRPr="009901FA">
          <w:rPr>
            <w:noProof/>
          </w:rPr>
          <w:t>12</w:t>
        </w:r>
      </w:fldSimple>
      <w:bookmarkEnd w:id="66"/>
    </w:p>
    <w:p w14:paraId="14F4D932" w14:textId="0B4B22C4" w:rsidR="00D142C1" w:rsidRPr="009901FA" w:rsidRDefault="00E35C86" w:rsidP="00D142C1">
      <w:pPr>
        <w:pStyle w:val="Heading5"/>
        <w:keepNext w:val="0"/>
        <w:rPr>
          <w:rFonts w:ascii="Century Gothic" w:eastAsia="MS Gothic" w:hAnsi="Century Gothic" w:cs="Times New Roman"/>
          <w:color w:val="585854"/>
          <w:sz w:val="26"/>
          <w:szCs w:val="24"/>
        </w:rPr>
      </w:pPr>
      <w:r w:rsidRPr="009901FA">
        <w:rPr>
          <w:rFonts w:ascii="Century Gothic" w:hAnsi="Century Gothic"/>
          <w:noProof/>
        </w:rPr>
        <w:t xml:space="preserve"> </w:t>
      </w:r>
      <w:r w:rsidRPr="009901FA">
        <w:rPr>
          <w:rFonts w:ascii="Century Gothic" w:hAnsi="Century Gothic"/>
          <w:noProof/>
        </w:rPr>
        <w:drawing>
          <wp:inline distT="0" distB="0" distL="0" distR="0" wp14:anchorId="002CBF5A" wp14:editId="433DF804">
            <wp:extent cx="6171138" cy="3284525"/>
            <wp:effectExtent l="0" t="0" r="1270" b="0"/>
            <wp:docPr id="758325305" name="Picture 1" descr="A white sheet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325305" name="Picture 1" descr="A white sheet with blue text&#10;&#10;Description automatically generated"/>
                    <pic:cNvPicPr/>
                  </pic:nvPicPr>
                  <pic:blipFill>
                    <a:blip r:embed="rId61"/>
                    <a:stretch>
                      <a:fillRect/>
                    </a:stretch>
                  </pic:blipFill>
                  <pic:spPr>
                    <a:xfrm>
                      <a:off x="0" y="0"/>
                      <a:ext cx="6261123" cy="3332418"/>
                    </a:xfrm>
                    <a:prstGeom prst="rect">
                      <a:avLst/>
                    </a:prstGeom>
                  </pic:spPr>
                </pic:pic>
              </a:graphicData>
            </a:graphic>
          </wp:inline>
        </w:drawing>
      </w:r>
      <w:r w:rsidR="00814E3C" w:rsidRPr="009901FA">
        <w:rPr>
          <w:rFonts w:ascii="Century Gothic" w:eastAsia="MS Gothic" w:hAnsi="Century Gothic" w:cs="Times New Roman"/>
          <w:color w:val="585854"/>
          <w:sz w:val="26"/>
          <w:szCs w:val="24"/>
        </w:rPr>
        <w:t xml:space="preserve"> </w:t>
      </w:r>
    </w:p>
    <w:p w14:paraId="2E8C4379" w14:textId="1A64A33A" w:rsidR="002D4ECF" w:rsidRPr="009901FA" w:rsidRDefault="002D4ECF" w:rsidP="00D142C1">
      <w:pPr>
        <w:pStyle w:val="Heading5"/>
        <w:keepNext w:val="0"/>
        <w:rPr>
          <w:rFonts w:ascii="Century Gothic" w:eastAsia="MS Gothic" w:hAnsi="Century Gothic" w:cs="Times New Roman"/>
          <w:color w:val="585854"/>
          <w:sz w:val="26"/>
          <w:szCs w:val="24"/>
        </w:rPr>
      </w:pPr>
      <w:r w:rsidRPr="009901FA">
        <w:rPr>
          <w:rFonts w:ascii="Century Gothic" w:eastAsia="MS Gothic" w:hAnsi="Century Gothic" w:cs="Times New Roman"/>
          <w:color w:val="585854"/>
          <w:sz w:val="26"/>
          <w:szCs w:val="24"/>
        </w:rPr>
        <w:t>Costs</w:t>
      </w:r>
    </w:p>
    <w:p w14:paraId="5605326D" w14:textId="49259A8E" w:rsidR="002D4ECF" w:rsidRPr="009901FA" w:rsidRDefault="005539B8" w:rsidP="00D142C1">
      <w:r w:rsidRPr="009901FA">
        <w:rPr>
          <w:b/>
          <w:bCs/>
        </w:rPr>
        <w:t>While the</w:t>
      </w:r>
      <w:r w:rsidR="002D4ECF" w:rsidRPr="009901FA">
        <w:rPr>
          <w:b/>
          <w:bCs/>
        </w:rPr>
        <w:t xml:space="preserve"> levelised cost of production for these technologies varies significantly</w:t>
      </w:r>
      <w:r w:rsidRPr="009901FA">
        <w:rPr>
          <w:b/>
          <w:bCs/>
        </w:rPr>
        <w:t xml:space="preserve">, </w:t>
      </w:r>
      <w:r w:rsidR="0083658F" w:rsidRPr="009901FA">
        <w:rPr>
          <w:b/>
          <w:bCs/>
        </w:rPr>
        <w:t>all face a significant premium when compared with their fossil based-alternative</w:t>
      </w:r>
      <w:r w:rsidR="002D4ECF" w:rsidRPr="009901FA">
        <w:t>. Key cost drivers include capital and operational expenditures, feedstock and pre-treatment requirements, energy use, and the potential revenue from by-products.</w:t>
      </w:r>
      <w:r w:rsidR="0083658F" w:rsidRPr="009901FA">
        <w:t xml:space="preserve"> </w:t>
      </w:r>
      <w:r w:rsidR="00536F68" w:rsidRPr="009901FA">
        <w:fldChar w:fldCharType="begin"/>
      </w:r>
      <w:r w:rsidR="00536F68" w:rsidRPr="009901FA">
        <w:instrText xml:space="preserve"> REF _Ref203748194 \h </w:instrText>
      </w:r>
      <w:r w:rsidR="00A247A6">
        <w:instrText xml:space="preserve"> \* MERGEFORMAT </w:instrText>
      </w:r>
      <w:r w:rsidR="00536F68" w:rsidRPr="009901FA">
        <w:fldChar w:fldCharType="separate"/>
      </w:r>
      <w:r w:rsidR="00DE378F" w:rsidRPr="009901FA">
        <w:t xml:space="preserve">Exhibit </w:t>
      </w:r>
      <w:r w:rsidR="00E61394">
        <w:rPr>
          <w:noProof/>
        </w:rPr>
        <w:t>3</w:t>
      </w:r>
      <w:r w:rsidR="00DE378F" w:rsidRPr="009901FA">
        <w:t>.</w:t>
      </w:r>
      <w:r w:rsidR="00DE378F" w:rsidRPr="009901FA">
        <w:rPr>
          <w:noProof/>
        </w:rPr>
        <w:t>13</w:t>
      </w:r>
      <w:r w:rsidR="00536F68" w:rsidRPr="009901FA">
        <w:fldChar w:fldCharType="end"/>
      </w:r>
      <w:r w:rsidR="0083658F" w:rsidRPr="009901FA">
        <w:t xml:space="preserve"> </w:t>
      </w:r>
      <w:r w:rsidR="002D4ECF" w:rsidRPr="009901FA">
        <w:t>compares the levelised cost of production of each process with its fossil-based alternative.</w:t>
      </w:r>
    </w:p>
    <w:p w14:paraId="22CA7E26" w14:textId="1F282832" w:rsidR="00536F68" w:rsidRPr="009901FA" w:rsidRDefault="00536F68" w:rsidP="00536F68">
      <w:pPr>
        <w:pStyle w:val="Caption"/>
        <w:keepNext/>
      </w:pPr>
      <w:bookmarkStart w:id="67" w:name="_Ref203748194"/>
      <w:r w:rsidRPr="009901FA">
        <w:lastRenderedPageBreak/>
        <w:t xml:space="preserve">Exhibit </w:t>
      </w:r>
      <w:r w:rsidR="00E61394">
        <w:t>3</w:t>
      </w:r>
      <w:r w:rsidR="008725B4" w:rsidRPr="009901FA">
        <w:t>.</w:t>
      </w:r>
      <w:fldSimple w:instr=" SEQ Exhibit \* ARABIC \s 2 ">
        <w:r w:rsidR="00DE378F" w:rsidRPr="009901FA">
          <w:rPr>
            <w:noProof/>
          </w:rPr>
          <w:t>13</w:t>
        </w:r>
      </w:fldSimple>
      <w:bookmarkEnd w:id="67"/>
    </w:p>
    <w:p w14:paraId="3CCDA489" w14:textId="6494118B" w:rsidR="00C57FE9" w:rsidRPr="009901FA" w:rsidRDefault="0032659E" w:rsidP="00E536BF">
      <w:r w:rsidRPr="009901FA">
        <w:rPr>
          <w:noProof/>
        </w:rPr>
        <w:drawing>
          <wp:inline distT="0" distB="0" distL="0" distR="0" wp14:anchorId="1F71E0E2" wp14:editId="1298A180">
            <wp:extent cx="6263640" cy="3523615"/>
            <wp:effectExtent l="0" t="0" r="0" b="0"/>
            <wp:docPr id="39020523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205237"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6263640" cy="3523615"/>
                    </a:xfrm>
                    <a:prstGeom prst="rect">
                      <a:avLst/>
                    </a:prstGeom>
                  </pic:spPr>
                </pic:pic>
              </a:graphicData>
            </a:graphic>
          </wp:inline>
        </w:drawing>
      </w:r>
    </w:p>
    <w:p w14:paraId="7DEE6282" w14:textId="03A14237" w:rsidR="007E5519" w:rsidRPr="009901FA" w:rsidRDefault="007E5519" w:rsidP="007E5519">
      <w:r w:rsidRPr="009901FA">
        <w:rPr>
          <w:b/>
          <w:bCs/>
        </w:rPr>
        <w:t>Feedstock costs are</w:t>
      </w:r>
      <w:r w:rsidR="007B22B1" w:rsidRPr="009901FA">
        <w:rPr>
          <w:b/>
          <w:bCs/>
        </w:rPr>
        <w:t xml:space="preserve"> one of </w:t>
      </w:r>
      <w:r w:rsidRPr="009901FA">
        <w:rPr>
          <w:b/>
          <w:bCs/>
        </w:rPr>
        <w:t>major cost driver</w:t>
      </w:r>
      <w:r w:rsidR="007B22B1" w:rsidRPr="009901FA">
        <w:rPr>
          <w:b/>
          <w:bCs/>
        </w:rPr>
        <w:t xml:space="preserve">s </w:t>
      </w:r>
      <w:r w:rsidRPr="009901FA">
        <w:rPr>
          <w:b/>
          <w:bCs/>
        </w:rPr>
        <w:t>in chemical recycling and thermo-conversion, with significant differences between the three technologies.</w:t>
      </w:r>
      <w:r w:rsidRPr="009901FA">
        <w:t xml:space="preserve"> Depolymerisation </w:t>
      </w:r>
      <w:r w:rsidR="00427B5A" w:rsidRPr="009901FA">
        <w:t>has purity requirements for</w:t>
      </w:r>
      <w:r w:rsidRPr="009901FA">
        <w:t xml:space="preserve"> PET flakes, making it the most expensive, while gasification can process highly contaminated waste, leading to the lowest feedstock cost</w:t>
      </w:r>
      <w:r w:rsidR="001D590C" w:rsidRPr="009901FA">
        <w:t>. However for gasification, its lower feedstock costs are offset by much</w:t>
      </w:r>
      <w:r w:rsidR="003D110F" w:rsidRPr="009901FA">
        <w:t xml:space="preserve"> higher capex and opex costs as a share of total costs</w:t>
      </w:r>
      <w:r w:rsidRPr="009901FA">
        <w:t>. Pyrolysis</w:t>
      </w:r>
      <w:r w:rsidR="001D590C" w:rsidRPr="009901FA">
        <w:t xml:space="preserve"> feedstock costs</w:t>
      </w:r>
      <w:r w:rsidRPr="009901FA">
        <w:t xml:space="preserve"> falls in between, but pre-treatment significantly contributes about half of its total cost.</w:t>
      </w:r>
      <w:r w:rsidR="00A41904" w:rsidRPr="009901FA">
        <w:t xml:space="preserve"> </w:t>
      </w:r>
      <w:r w:rsidRPr="009901FA">
        <w:t>In a scenario where</w:t>
      </w:r>
      <w:r w:rsidR="00F92CE8" w:rsidRPr="009901FA">
        <w:t xml:space="preserve"> regulations prohibit</w:t>
      </w:r>
      <w:r w:rsidRPr="009901FA">
        <w:t xml:space="preserve"> the </w:t>
      </w:r>
      <w:r w:rsidR="00F92CE8" w:rsidRPr="009901FA">
        <w:t xml:space="preserve">burning of </w:t>
      </w:r>
      <w:r w:rsidRPr="009901FA">
        <w:t xml:space="preserve">waste for </w:t>
      </w:r>
      <w:r w:rsidR="00F92CE8" w:rsidRPr="009901FA">
        <w:t>energy recovery, the</w:t>
      </w:r>
      <w:r w:rsidRPr="009901FA">
        <w:t xml:space="preserve"> purchase cost </w:t>
      </w:r>
      <w:r w:rsidR="00F92CE8" w:rsidRPr="009901FA">
        <w:t xml:space="preserve">of certain feedstocks </w:t>
      </w:r>
      <w:r w:rsidRPr="009901FA">
        <w:t xml:space="preserve">could </w:t>
      </w:r>
      <w:r w:rsidR="003C6BA4" w:rsidRPr="009901FA">
        <w:t>reduce</w:t>
      </w:r>
      <w:r w:rsidR="00F92CE8" w:rsidRPr="009901FA">
        <w:t xml:space="preserve"> due to lack of alternative disposal option</w:t>
      </w:r>
      <w:r w:rsidRPr="009901FA">
        <w:t>. However, treatment costs, especially for pyrolysis and depolymerisation, are necessary to ensure high efficiency and proper operation.</w:t>
      </w:r>
    </w:p>
    <w:p w14:paraId="588677A2" w14:textId="77777777" w:rsidR="00450AD9" w:rsidRPr="009901FA" w:rsidRDefault="00450AD9" w:rsidP="00450AD9">
      <w:pPr>
        <w:pStyle w:val="Heading5"/>
        <w:rPr>
          <w:rFonts w:ascii="Century Gothic" w:eastAsia="MS Gothic" w:hAnsi="Century Gothic" w:cs="Times New Roman"/>
          <w:color w:val="585854"/>
          <w:sz w:val="26"/>
          <w:szCs w:val="24"/>
        </w:rPr>
      </w:pPr>
      <w:r w:rsidRPr="009901FA">
        <w:rPr>
          <w:rFonts w:ascii="Century Gothic" w:eastAsia="MS Gothic" w:hAnsi="Century Gothic" w:cs="Times New Roman"/>
          <w:color w:val="585854"/>
          <w:sz w:val="26"/>
          <w:szCs w:val="24"/>
        </w:rPr>
        <w:t>Impact</w:t>
      </w:r>
    </w:p>
    <w:p w14:paraId="7614783C" w14:textId="7AED72C5" w:rsidR="00E933D2" w:rsidRPr="009901FA" w:rsidRDefault="00450AD9" w:rsidP="00E933D2">
      <w:r w:rsidRPr="009901FA">
        <w:rPr>
          <w:b/>
          <w:bCs/>
        </w:rPr>
        <w:t>The CO</w:t>
      </w:r>
      <w:r w:rsidRPr="00A247A6">
        <w:rPr>
          <w:rFonts w:ascii="Cambria Math" w:hAnsi="Cambria Math" w:cs="Cambria Math"/>
          <w:b/>
          <w:bCs/>
        </w:rPr>
        <w:t>₂</w:t>
      </w:r>
      <w:r w:rsidRPr="009901FA">
        <w:rPr>
          <w:b/>
          <w:bCs/>
        </w:rPr>
        <w:t xml:space="preserve"> emissions of chemical recycling and thermo-conversion processes are challenging to estimate due to the multiple process pathways that can influence emissions, efficiency, and overall economics.</w:t>
      </w:r>
      <w:r w:rsidRPr="009901FA">
        <w:t xml:space="preserve"> The most common pathways have been considered in the environmental footprint evaluation to provide a comparative assessment of different technologies.</w:t>
      </w:r>
      <w:r w:rsidR="00E933D2" w:rsidRPr="009901FA">
        <w:t xml:space="preserve"> The CO</w:t>
      </w:r>
      <w:r w:rsidR="00E933D2" w:rsidRPr="00A247A6">
        <w:rPr>
          <w:rFonts w:ascii="Cambria Math" w:hAnsi="Cambria Math" w:cs="Cambria Math"/>
        </w:rPr>
        <w:t>₂</w:t>
      </w:r>
      <w:r w:rsidR="00E933D2" w:rsidRPr="009901FA">
        <w:t xml:space="preserve"> emissions of chemical recycling and thermo-conversion processes are challenging to estimate due to the multiple process pathways that can influence emissions, efficiency, and overall economics. The most common pathways have been considered in the environmental footprint evaluation to provide a comparative assessment of different technologies.</w:t>
      </w:r>
    </w:p>
    <w:p w14:paraId="23AA24DE" w14:textId="64777E42" w:rsidR="00534ADA" w:rsidRPr="009901FA" w:rsidRDefault="00534ADA" w:rsidP="00E933D2">
      <w:r w:rsidRPr="009901FA">
        <w:rPr>
          <w:b/>
          <w:bCs/>
        </w:rPr>
        <w:lastRenderedPageBreak/>
        <w:t>Gasification and pyrolysis currently emit more CO</w:t>
      </w:r>
      <w:r w:rsidRPr="00A247A6">
        <w:rPr>
          <w:rFonts w:ascii="Cambria Math" w:hAnsi="Cambria Math" w:cs="Cambria Math"/>
          <w:b/>
          <w:bCs/>
        </w:rPr>
        <w:t>₂</w:t>
      </w:r>
      <w:r w:rsidRPr="009901FA">
        <w:rPr>
          <w:b/>
          <w:bCs/>
        </w:rPr>
        <w:t xml:space="preserve"> than their fossil-based counterparts, methanol and ethylene for process emissions (</w:t>
      </w:r>
      <w:r w:rsidR="00536F68" w:rsidRPr="009901FA">
        <w:rPr>
          <w:b/>
          <w:bCs/>
        </w:rPr>
        <w:fldChar w:fldCharType="begin"/>
      </w:r>
      <w:r w:rsidR="00536F68" w:rsidRPr="009901FA">
        <w:rPr>
          <w:b/>
          <w:bCs/>
        </w:rPr>
        <w:instrText xml:space="preserve"> REF _Ref203748205 \h  \* MERGEFORMAT </w:instrText>
      </w:r>
      <w:r w:rsidR="00536F68" w:rsidRPr="009901FA">
        <w:rPr>
          <w:b/>
          <w:bCs/>
        </w:rPr>
      </w:r>
      <w:r w:rsidR="00536F68" w:rsidRPr="009901FA">
        <w:rPr>
          <w:b/>
          <w:bCs/>
        </w:rPr>
        <w:fldChar w:fldCharType="separate"/>
      </w:r>
      <w:r w:rsidR="00DE378F" w:rsidRPr="009901FA">
        <w:t xml:space="preserve">Exhibit </w:t>
      </w:r>
      <w:r w:rsidR="00E61394">
        <w:rPr>
          <w:noProof/>
        </w:rPr>
        <w:t>3</w:t>
      </w:r>
      <w:r w:rsidR="00DE378F" w:rsidRPr="009901FA">
        <w:rPr>
          <w:noProof/>
        </w:rPr>
        <w:t>.14</w:t>
      </w:r>
      <w:r w:rsidR="00536F68" w:rsidRPr="009901FA">
        <w:rPr>
          <w:b/>
          <w:bCs/>
        </w:rPr>
        <w:fldChar w:fldCharType="end"/>
      </w:r>
      <w:r w:rsidRPr="009901FA">
        <w:rPr>
          <w:b/>
          <w:bCs/>
        </w:rPr>
        <w:t>)</w:t>
      </w:r>
      <w:r w:rsidR="00F332D0" w:rsidRPr="009901FA">
        <w:rPr>
          <w:b/>
          <w:bCs/>
        </w:rPr>
        <w:t>, when not accounting for avoided incineration credits</w:t>
      </w:r>
      <w:r w:rsidRPr="009901FA">
        <w:t>. A potential improvement is hydrogen (H</w:t>
      </w:r>
      <w:r w:rsidRPr="00A247A6">
        <w:rPr>
          <w:rFonts w:ascii="Cambria Math" w:hAnsi="Cambria Math" w:cs="Cambria Math"/>
        </w:rPr>
        <w:t>₂</w:t>
      </w:r>
      <w:r w:rsidRPr="009901FA">
        <w:t>) injection, which could lower CO</w:t>
      </w:r>
      <w:r w:rsidRPr="00A247A6">
        <w:rPr>
          <w:rFonts w:ascii="Cambria Math" w:hAnsi="Cambria Math" w:cs="Cambria Math"/>
        </w:rPr>
        <w:t>₂</w:t>
      </w:r>
      <w:r w:rsidRPr="009901FA">
        <w:t xml:space="preserve"> emissions but would increase operational costs, reducing economic feasibility. Pyrolysis emissions could also be improved by electrification of the pyrolysis unit and/or the steam cracker, but this would require redirecting off-gases to alternative applications to maintain process efficiency. In contrast, chemical PET depolymerisation and mechanical recycling have lower CO</w:t>
      </w:r>
      <w:r w:rsidRPr="00A247A6">
        <w:rPr>
          <w:rFonts w:ascii="Cambria Math" w:hAnsi="Cambria Math" w:cs="Cambria Math"/>
        </w:rPr>
        <w:t>₂</w:t>
      </w:r>
      <w:r w:rsidRPr="009901FA">
        <w:t xml:space="preserve"> emissions than fossil PET production. Additionally, both of them could be fully electrified, as they primarily involve low-temperature operations, allowing for net-zero CO</w:t>
      </w:r>
      <w:r w:rsidRPr="00A247A6">
        <w:rPr>
          <w:rFonts w:ascii="Cambria Math" w:hAnsi="Cambria Math" w:cs="Cambria Math"/>
        </w:rPr>
        <w:t>₂</w:t>
      </w:r>
      <w:r w:rsidRPr="009901FA">
        <w:t xml:space="preserve"> emissions when powered by renewable energy. </w:t>
      </w:r>
      <w:r w:rsidRPr="009901FA">
        <w:rPr>
          <w:rStyle w:val="FootnoteReference"/>
        </w:rPr>
        <w:footnoteReference w:id="52"/>
      </w:r>
    </w:p>
    <w:p w14:paraId="0EBD6E6E" w14:textId="5C8177EB" w:rsidR="00536F68" w:rsidRPr="009901FA" w:rsidRDefault="00E933D2" w:rsidP="00E933D2">
      <w:pPr>
        <w:spacing w:after="0"/>
      </w:pPr>
      <w:r w:rsidRPr="009901FA">
        <w:t xml:space="preserve"> </w:t>
      </w:r>
    </w:p>
    <w:p w14:paraId="14423493" w14:textId="70294584" w:rsidR="00536F68" w:rsidRPr="009901FA" w:rsidRDefault="00536F68" w:rsidP="00536F68">
      <w:pPr>
        <w:pStyle w:val="Caption"/>
        <w:keepNext/>
      </w:pPr>
      <w:bookmarkStart w:id="68" w:name="_Ref203748205"/>
      <w:r w:rsidRPr="009901FA">
        <w:t xml:space="preserve">Exhibit </w:t>
      </w:r>
      <w:r w:rsidR="00E61394">
        <w:t>3</w:t>
      </w:r>
      <w:r w:rsidR="008725B4" w:rsidRPr="009901FA">
        <w:t>.</w:t>
      </w:r>
      <w:fldSimple w:instr=" SEQ Exhibit \* ARABIC \s 2 ">
        <w:r w:rsidR="00DE378F" w:rsidRPr="009901FA">
          <w:rPr>
            <w:noProof/>
          </w:rPr>
          <w:t>14</w:t>
        </w:r>
      </w:fldSimple>
      <w:bookmarkEnd w:id="68"/>
    </w:p>
    <w:p w14:paraId="11CF9F82" w14:textId="76E372F1" w:rsidR="00E933D2" w:rsidRPr="009901FA" w:rsidRDefault="00F332D0" w:rsidP="00E933D2">
      <w:pPr>
        <w:spacing w:after="0"/>
      </w:pPr>
      <w:r w:rsidRPr="009901FA">
        <w:rPr>
          <w:noProof/>
        </w:rPr>
        <w:drawing>
          <wp:inline distT="0" distB="0" distL="0" distR="0" wp14:anchorId="5AB560B5" wp14:editId="65AAB2FF">
            <wp:extent cx="6263640" cy="3491865"/>
            <wp:effectExtent l="0" t="0" r="3810" b="0"/>
            <wp:docPr id="1477728192" name="Picture 1"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728192" name="Picture 1" descr="A diagram of a graph&#10;&#10;AI-generated content may be incorrect."/>
                    <pic:cNvPicPr/>
                  </pic:nvPicPr>
                  <pic:blipFill>
                    <a:blip r:embed="rId64"/>
                    <a:stretch>
                      <a:fillRect/>
                    </a:stretch>
                  </pic:blipFill>
                  <pic:spPr>
                    <a:xfrm>
                      <a:off x="0" y="0"/>
                      <a:ext cx="6263640" cy="3491865"/>
                    </a:xfrm>
                    <a:prstGeom prst="rect">
                      <a:avLst/>
                    </a:prstGeom>
                  </pic:spPr>
                </pic:pic>
              </a:graphicData>
            </a:graphic>
          </wp:inline>
        </w:drawing>
      </w:r>
    </w:p>
    <w:p w14:paraId="2BABDD40" w14:textId="25433964" w:rsidR="002F6354" w:rsidRPr="009901FA" w:rsidRDefault="000569D4" w:rsidP="00D77A00">
      <w:pPr>
        <w:spacing w:before="240"/>
      </w:pPr>
      <w:r w:rsidRPr="009901FA">
        <w:rPr>
          <w:b/>
          <w:bCs/>
        </w:rPr>
        <w:t xml:space="preserve">Across the different chemical recycling/thermo conversion technologies, </w:t>
      </w:r>
      <w:r w:rsidR="00B5682A" w:rsidRPr="009901FA">
        <w:rPr>
          <w:b/>
          <w:bCs/>
        </w:rPr>
        <w:t xml:space="preserve">yield from feedstocks varies and can be an important consideration when comparing </w:t>
      </w:r>
      <w:r w:rsidR="009C63A3" w:rsidRPr="009901FA">
        <w:rPr>
          <w:b/>
          <w:bCs/>
        </w:rPr>
        <w:t>emissions.</w:t>
      </w:r>
      <w:r w:rsidR="009C63A3" w:rsidRPr="009901FA">
        <w:t xml:space="preserve"> </w:t>
      </w:r>
      <w:r w:rsidR="00E933D2" w:rsidRPr="009901FA">
        <w:t xml:space="preserve">The mass yield of waste plastic conversion into new </w:t>
      </w:r>
      <w:r w:rsidR="00823EF7" w:rsidRPr="009901FA">
        <w:t>chemical</w:t>
      </w:r>
      <w:r w:rsidR="00E933D2" w:rsidRPr="009901FA">
        <w:t xml:space="preserve"> varies significantly across different recycling and thermochemical processes</w:t>
      </w:r>
      <w:r w:rsidR="00C0273F" w:rsidRPr="009901FA">
        <w:t xml:space="preserve"> and also according to real world circumstances (e.g. optimizing yield and economics)</w:t>
      </w:r>
      <w:r w:rsidR="0089574E" w:rsidRPr="009901FA">
        <w:t xml:space="preserve">. </w:t>
      </w:r>
      <w:r w:rsidR="000E735F" w:rsidRPr="009901FA">
        <w:t>L</w:t>
      </w:r>
      <w:r w:rsidR="00E933D2" w:rsidRPr="009901FA">
        <w:t xml:space="preserve">ower conversion rates imply that a greater share of the original plastic is not retained in the final material. However, they also lead to higher incineration emission savings per tonne of product, since more of the non-converted material is diverted from </w:t>
      </w:r>
      <w:r w:rsidR="00E933D2" w:rsidRPr="009901FA">
        <w:lastRenderedPageBreak/>
        <w:t>incineration.</w:t>
      </w:r>
      <w:r w:rsidR="002F6354" w:rsidRPr="009901FA">
        <w:t xml:space="preserve"> To accurately compare the net CO</w:t>
      </w:r>
      <w:r w:rsidR="002F6354" w:rsidRPr="00A247A6">
        <w:rPr>
          <w:rFonts w:ascii="Cambria Math" w:hAnsi="Cambria Math" w:cs="Cambria Math"/>
        </w:rPr>
        <w:t>₂</w:t>
      </w:r>
      <w:r w:rsidR="002F6354" w:rsidRPr="009901FA">
        <w:t xml:space="preserve"> impact of each process</w:t>
      </w:r>
      <w:r w:rsidR="002F6354" w:rsidRPr="00A247A6">
        <w:rPr>
          <w:rFonts w:cs="Century Gothic"/>
        </w:rPr>
        <w:t>—</w:t>
      </w:r>
      <w:r w:rsidR="002F6354" w:rsidRPr="009901FA">
        <w:t>factoring in the avoided emissions from incinerating waste plastic</w:t>
      </w:r>
      <w:r w:rsidR="002F6354" w:rsidRPr="00A247A6">
        <w:rPr>
          <w:rFonts w:cs="Century Gothic"/>
        </w:rPr>
        <w:t>—</w:t>
      </w:r>
      <w:r w:rsidR="002F6354" w:rsidRPr="009901FA">
        <w:t xml:space="preserve">it is preferable to normalize emissions data based on 1 tonne of plastic waste input. </w:t>
      </w:r>
      <w:r w:rsidR="00536F68" w:rsidRPr="009901FA">
        <w:fldChar w:fldCharType="begin"/>
      </w:r>
      <w:r w:rsidR="00536F68" w:rsidRPr="009901FA">
        <w:instrText xml:space="preserve"> REF _Ref203748237 \h </w:instrText>
      </w:r>
      <w:r w:rsidR="00B17990" w:rsidRPr="009901FA">
        <w:instrText xml:space="preserve"> \* MERGEFORMAT </w:instrText>
      </w:r>
      <w:r w:rsidR="00536F68" w:rsidRPr="009901FA">
        <w:fldChar w:fldCharType="separate"/>
      </w:r>
      <w:r w:rsidR="00536F68" w:rsidRPr="009901FA">
        <w:fldChar w:fldCharType="end"/>
      </w:r>
      <w:r w:rsidR="002F6354" w:rsidRPr="009901FA">
        <w:t>illustrates the overall CO</w:t>
      </w:r>
      <w:r w:rsidR="002F6354" w:rsidRPr="00A247A6">
        <w:rPr>
          <w:rFonts w:ascii="Cambria Math" w:hAnsi="Cambria Math" w:cs="Cambria Math"/>
        </w:rPr>
        <w:t>₂</w:t>
      </w:r>
      <w:r w:rsidR="002F6354" w:rsidRPr="009901FA">
        <w:t xml:space="preserve"> emission savings </w:t>
      </w:r>
      <w:r w:rsidR="0089574E" w:rsidRPr="009901FA">
        <w:t>achieved by</w:t>
      </w:r>
      <w:r w:rsidR="002F6354" w:rsidRPr="009901FA">
        <w:t xml:space="preserve"> each process when processing 1 tonne of waste plastic.</w:t>
      </w:r>
    </w:p>
    <w:p w14:paraId="7CE05474" w14:textId="6DE24D7B" w:rsidR="00536F68" w:rsidRPr="009901FA" w:rsidRDefault="003E626C" w:rsidP="00E933D2">
      <w:pPr>
        <w:spacing w:after="0"/>
      </w:pPr>
      <w:r w:rsidRPr="009901FA">
        <w:rPr>
          <w:noProof/>
        </w:rPr>
        <w:t xml:space="preserve"> </w:t>
      </w:r>
    </w:p>
    <w:p w14:paraId="4514F255" w14:textId="5D9A80BD" w:rsidR="00536F68" w:rsidRPr="009901FA" w:rsidRDefault="00536F68" w:rsidP="00536F68">
      <w:pPr>
        <w:pStyle w:val="Caption"/>
        <w:keepNext/>
      </w:pPr>
      <w:bookmarkStart w:id="69" w:name="_Ref203748237"/>
      <w:bookmarkStart w:id="70" w:name="_Ref205474878"/>
      <w:r w:rsidRPr="009901FA">
        <w:t xml:space="preserve">Exhibit </w:t>
      </w:r>
      <w:bookmarkEnd w:id="69"/>
      <w:r w:rsidR="00E61394">
        <w:t>3</w:t>
      </w:r>
      <w:r w:rsidR="008725B4" w:rsidRPr="009901FA">
        <w:t>.</w:t>
      </w:r>
      <w:fldSimple w:instr=" SEQ Exhibit \* ARABIC \s 2 ">
        <w:r w:rsidR="00DE378F" w:rsidRPr="009901FA">
          <w:rPr>
            <w:noProof/>
          </w:rPr>
          <w:t>15</w:t>
        </w:r>
      </w:fldSimple>
      <w:bookmarkEnd w:id="70"/>
      <w:r w:rsidRPr="009901FA">
        <w:t>: Each of the recycling technologies results to negative CO2 emissions per ton of waste processed, because of the avoided incineration credits</w:t>
      </w:r>
    </w:p>
    <w:p w14:paraId="406A9C5C" w14:textId="249A7882" w:rsidR="00E933D2" w:rsidRPr="009901FA" w:rsidRDefault="009B0A7F" w:rsidP="00E933D2">
      <w:pPr>
        <w:spacing w:after="0"/>
      </w:pPr>
      <w:r w:rsidRPr="009901FA">
        <w:rPr>
          <w:noProof/>
        </w:rPr>
        <w:drawing>
          <wp:inline distT="0" distB="0" distL="0" distR="0" wp14:anchorId="550DD816" wp14:editId="60F7A44B">
            <wp:extent cx="6263640" cy="3523615"/>
            <wp:effectExtent l="0" t="0" r="0" b="635"/>
            <wp:docPr id="153197214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972146"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6263640" cy="3523615"/>
                    </a:xfrm>
                    <a:prstGeom prst="rect">
                      <a:avLst/>
                    </a:prstGeom>
                  </pic:spPr>
                </pic:pic>
              </a:graphicData>
            </a:graphic>
          </wp:inline>
        </w:drawing>
      </w:r>
      <w:r w:rsidR="003E626C" w:rsidRPr="009901FA">
        <w:t xml:space="preserve"> </w:t>
      </w:r>
    </w:p>
    <w:p w14:paraId="2B576DA0" w14:textId="5DEA8E0A" w:rsidR="00E933D2" w:rsidRPr="009901FA" w:rsidRDefault="00E933D2" w:rsidP="00E933D2">
      <w:r w:rsidRPr="009901FA">
        <w:rPr>
          <w:b/>
          <w:bCs/>
        </w:rPr>
        <w:t>The main GHG impact of chemical recycling and thermo-conversion is from avoided</w:t>
      </w:r>
      <w:r w:rsidR="00CD41E1" w:rsidRPr="009901FA">
        <w:rPr>
          <w:b/>
          <w:bCs/>
        </w:rPr>
        <w:t xml:space="preserve"> alternative end of life emissions, like unabated</w:t>
      </w:r>
      <w:r w:rsidRPr="009901FA">
        <w:rPr>
          <w:b/>
          <w:bCs/>
        </w:rPr>
        <w:t xml:space="preserve"> incineration emissions.</w:t>
      </w:r>
      <w:r w:rsidRPr="009901FA">
        <w:t xml:space="preserve"> When accounting for incineration credits, all processes offer net CO</w:t>
      </w:r>
      <w:r w:rsidRPr="00A247A6">
        <w:rPr>
          <w:rFonts w:ascii="Cambria Math" w:hAnsi="Cambria Math" w:cs="Cambria Math"/>
        </w:rPr>
        <w:t>₂</w:t>
      </w:r>
      <w:r w:rsidRPr="009901FA">
        <w:t xml:space="preserve"> savings. Mechanical recycling delivers the highest reductions</w:t>
      </w:r>
      <w:r w:rsidRPr="00A247A6">
        <w:rPr>
          <w:rFonts w:cs="Century Gothic"/>
        </w:rPr>
        <w:t>—</w:t>
      </w:r>
      <w:r w:rsidRPr="009901FA">
        <w:t>up to 3.5x more than gasification</w:t>
      </w:r>
      <w:r w:rsidRPr="00A247A6">
        <w:rPr>
          <w:rFonts w:cs="Century Gothic"/>
        </w:rPr>
        <w:t>—</w:t>
      </w:r>
      <w:r w:rsidRPr="009901FA">
        <w:t>followed by depolymerisation, pyrolysis, and gasification in descending order. From both an economic and environmental perspective, the most effective approach to reducing carbon demand in the chemical sector follows a hierarchical strategy.</w:t>
      </w:r>
    </w:p>
    <w:p w14:paraId="1EAB0F7C" w14:textId="77777777" w:rsidR="00E933D2" w:rsidRPr="009901FA" w:rsidRDefault="00E933D2" w:rsidP="005F2502">
      <w:pPr>
        <w:pStyle w:val="ListParagraph"/>
        <w:numPr>
          <w:ilvl w:val="0"/>
          <w:numId w:val="41"/>
        </w:numPr>
        <w:spacing w:line="240" w:lineRule="atLeast"/>
      </w:pPr>
      <w:r w:rsidRPr="009901FA">
        <w:t>Demand reduction and reuse should be prioritized, as they offer the highest carbon savings with minimal energy input.</w:t>
      </w:r>
    </w:p>
    <w:p w14:paraId="237DD5F9" w14:textId="77777777" w:rsidR="00E933D2" w:rsidRPr="009901FA" w:rsidRDefault="00E933D2" w:rsidP="005F2502">
      <w:pPr>
        <w:pStyle w:val="ListParagraph"/>
        <w:numPr>
          <w:ilvl w:val="0"/>
          <w:numId w:val="41"/>
        </w:numPr>
        <w:spacing w:line="240" w:lineRule="atLeast"/>
      </w:pPr>
      <w:r w:rsidRPr="009901FA">
        <w:t>Mechanical recycling is the next best option, as it allows for the recovery of plastic waste with lower emissions than chemical recycling.</w:t>
      </w:r>
    </w:p>
    <w:p w14:paraId="2D8687B3" w14:textId="1DC36318" w:rsidR="00E933D2" w:rsidRPr="009901FA" w:rsidRDefault="00E933D2" w:rsidP="005F2502">
      <w:pPr>
        <w:pStyle w:val="ListParagraph"/>
        <w:numPr>
          <w:ilvl w:val="0"/>
          <w:numId w:val="41"/>
        </w:numPr>
        <w:spacing w:line="240" w:lineRule="atLeast"/>
      </w:pPr>
      <w:r w:rsidRPr="009901FA">
        <w:t>Chemical recycling and thermo-conversion should be considered only for the plastic waste that cannot be processed by other means, given its higher energy consumption and economic constraints.</w:t>
      </w:r>
    </w:p>
    <w:p w14:paraId="1D10BA7E" w14:textId="6FD6FF92" w:rsidR="00E933D2" w:rsidRPr="009901FA" w:rsidRDefault="00E933D2" w:rsidP="00E933D2">
      <w:r w:rsidRPr="009901FA">
        <w:rPr>
          <w:b/>
          <w:bCs/>
        </w:rPr>
        <w:t>Applying this hierarchy, current global projections suggest that the majority of the waste will be managed via demand reduction, reuse and mechanical recycling</w:t>
      </w:r>
      <w:r w:rsidR="006A5A81" w:rsidRPr="009901FA">
        <w:rPr>
          <w:b/>
          <w:bCs/>
        </w:rPr>
        <w:t xml:space="preserve"> </w:t>
      </w:r>
      <w:r w:rsidR="006A5A81" w:rsidRPr="009901FA">
        <w:lastRenderedPageBreak/>
        <w:t xml:space="preserve">(see </w:t>
      </w:r>
      <w:r w:rsidR="006A5A81" w:rsidRPr="009901FA">
        <w:fldChar w:fldCharType="begin"/>
      </w:r>
      <w:r w:rsidR="006A5A81" w:rsidRPr="009901FA">
        <w:instrText xml:space="preserve"> REF _Ref203748277 \h </w:instrText>
      </w:r>
      <w:r w:rsidR="0014483A" w:rsidRPr="009901FA">
        <w:instrText xml:space="preserve"> \* MERGEFORMAT </w:instrText>
      </w:r>
      <w:r w:rsidR="006A5A81" w:rsidRPr="009901FA">
        <w:fldChar w:fldCharType="separate"/>
      </w:r>
      <w:r w:rsidR="00DE378F" w:rsidRPr="009901FA">
        <w:t xml:space="preserve">Exhibit </w:t>
      </w:r>
      <w:r w:rsidR="006A5A81" w:rsidRPr="009901FA">
        <w:fldChar w:fldCharType="end"/>
      </w:r>
      <w:r w:rsidR="00AD08E2">
        <w:t>3.16</w:t>
      </w:r>
      <w:r w:rsidR="006A5A81" w:rsidRPr="009901FA">
        <w:rPr>
          <w:b/>
          <w:bCs/>
        </w:rPr>
        <w:t>)</w:t>
      </w:r>
      <w:r w:rsidRPr="009901FA">
        <w:t>. A remaining 20% is estimated to be addressed by chemical recycling and thermo-conversion. Circularity solutions have the potential to reduce carbon demand in the chemicals sector by over two-thirds—an important consideration given the limited availability of truly sustainable carbon sources. Despite its limited role in volume, chemical recycling/thermo-conversion is essential to process hard-to-recycle waste and support the 2050 sustainability goals.</w:t>
      </w:r>
    </w:p>
    <w:p w14:paraId="3CB9B48E" w14:textId="6BBD497C" w:rsidR="00536F68" w:rsidRPr="009901FA" w:rsidRDefault="00F655E0" w:rsidP="00E933D2">
      <w:pPr>
        <w:spacing w:after="0"/>
      </w:pPr>
      <w:r w:rsidRPr="009901FA">
        <w:rPr>
          <w:noProof/>
        </w:rPr>
        <w:t xml:space="preserve"> </w:t>
      </w:r>
    </w:p>
    <w:p w14:paraId="3B507FCE" w14:textId="27625A08" w:rsidR="00536F68" w:rsidRPr="009901FA" w:rsidRDefault="00536F68" w:rsidP="00536F68">
      <w:pPr>
        <w:pStyle w:val="Caption"/>
        <w:keepNext/>
      </w:pPr>
      <w:bookmarkStart w:id="71" w:name="_Ref203748277"/>
      <w:r w:rsidRPr="009901FA">
        <w:t xml:space="preserve">Exhibit </w:t>
      </w:r>
      <w:bookmarkEnd w:id="71"/>
      <w:r w:rsidR="00E61394">
        <w:t>3</w:t>
      </w:r>
      <w:r w:rsidR="008725B4" w:rsidRPr="009901FA">
        <w:t>.</w:t>
      </w:r>
      <w:fldSimple w:instr=" SEQ Exhibit \* ARABIC \s 2 ">
        <w:r w:rsidR="00DE378F" w:rsidRPr="009901FA">
          <w:rPr>
            <w:noProof/>
          </w:rPr>
          <w:t>16</w:t>
        </w:r>
      </w:fldSimple>
      <w:r w:rsidR="00FF430D" w:rsidRPr="009901FA">
        <w:t>: Stretch scenario: Primary carbon demand for plastic can be reduced by 71%, but requires system change, policy support and improved business cases</w:t>
      </w:r>
    </w:p>
    <w:p w14:paraId="5E8F3A08" w14:textId="49C24703" w:rsidR="00E933D2" w:rsidRPr="009901FA" w:rsidRDefault="00A56BD8" w:rsidP="00E933D2">
      <w:pPr>
        <w:spacing w:after="0"/>
      </w:pPr>
      <w:r w:rsidRPr="009901FA">
        <w:rPr>
          <w:noProof/>
        </w:rPr>
        <w:drawing>
          <wp:inline distT="0" distB="0" distL="0" distR="0" wp14:anchorId="3D2B1322" wp14:editId="5A4E2361">
            <wp:extent cx="6263640" cy="3523615"/>
            <wp:effectExtent l="0" t="0" r="0" b="0"/>
            <wp:docPr id="44119872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198722" name=""/>
                    <pic:cNvPicPr/>
                  </pic:nvPicPr>
                  <pic:blipFill>
                    <a:blip r:embed="rId67">
                      <a:extLst>
                        <a:ext uri="{96DAC541-7B7A-43D3-8B79-37D633B846F1}">
                          <asvg:svgBlip xmlns:asvg="http://schemas.microsoft.com/office/drawing/2016/SVG/main" r:embed="rId68"/>
                        </a:ext>
                      </a:extLst>
                    </a:blip>
                    <a:stretch>
                      <a:fillRect/>
                    </a:stretch>
                  </pic:blipFill>
                  <pic:spPr>
                    <a:xfrm>
                      <a:off x="0" y="0"/>
                      <a:ext cx="6263640" cy="3523615"/>
                    </a:xfrm>
                    <a:prstGeom prst="rect">
                      <a:avLst/>
                    </a:prstGeom>
                  </pic:spPr>
                </pic:pic>
              </a:graphicData>
            </a:graphic>
          </wp:inline>
        </w:drawing>
      </w:r>
    </w:p>
    <w:p w14:paraId="39A87099" w14:textId="37B22EDB" w:rsidR="00450AD9" w:rsidRPr="009901FA" w:rsidRDefault="00450AD9" w:rsidP="00450AD9"/>
    <w:p w14:paraId="6F8940B5" w14:textId="57B91BF9" w:rsidR="00CB544F" w:rsidRPr="009901FA" w:rsidRDefault="00CB544F" w:rsidP="00CB544F">
      <w:pPr>
        <w:pStyle w:val="Heading5"/>
        <w:rPr>
          <w:rFonts w:ascii="Century Gothic" w:eastAsia="MS Gothic" w:hAnsi="Century Gothic" w:cs="Times New Roman"/>
          <w:color w:val="585854"/>
          <w:sz w:val="26"/>
          <w:szCs w:val="24"/>
        </w:rPr>
      </w:pPr>
      <w:r w:rsidRPr="009901FA">
        <w:rPr>
          <w:rFonts w:ascii="Century Gothic" w:eastAsia="MS Gothic" w:hAnsi="Century Gothic" w:cs="Times New Roman"/>
          <w:color w:val="585854"/>
          <w:sz w:val="26"/>
          <w:szCs w:val="24"/>
        </w:rPr>
        <w:t>Barriers and Enablers</w:t>
      </w:r>
    </w:p>
    <w:p w14:paraId="249D0F38" w14:textId="7372F818" w:rsidR="00CB544F" w:rsidRPr="009901FA" w:rsidRDefault="00CB544F" w:rsidP="00CB544F">
      <w:r w:rsidRPr="009901FA">
        <w:rPr>
          <w:b/>
          <w:bCs/>
        </w:rPr>
        <w:t>While chemical recycling and thermo-conversion has the potential to address plastic waste challenges, several barriers limit its widespread adoption.</w:t>
      </w:r>
      <w:r w:rsidRPr="009901FA">
        <w:t xml:space="preserve"> However, with strategic investments, supportive policies, and technological advancements, it could become a key component of a more sustainable plastic value chain. Key barriers and enablers are as follows:</w:t>
      </w:r>
    </w:p>
    <w:p w14:paraId="3015740B" w14:textId="3FD1A0DF" w:rsidR="00CB544F" w:rsidRPr="009901FA" w:rsidRDefault="00CB544F" w:rsidP="00CB544F">
      <w:pPr>
        <w:rPr>
          <w:u w:val="single"/>
        </w:rPr>
      </w:pPr>
      <w:r w:rsidRPr="009901FA">
        <w:br/>
      </w:r>
      <w:r w:rsidRPr="009901FA">
        <w:rPr>
          <w:u w:val="single"/>
        </w:rPr>
        <w:t>Technology Maturity and Efficiency</w:t>
      </w:r>
    </w:p>
    <w:p w14:paraId="42118D5B" w14:textId="724EA84F" w:rsidR="00CB544F" w:rsidRPr="009901FA" w:rsidRDefault="00CB544F" w:rsidP="00CB544F">
      <w:pPr>
        <w:spacing w:after="0"/>
      </w:pPr>
      <w:r w:rsidRPr="009901FA">
        <w:rPr>
          <w:b/>
        </w:rPr>
        <w:t>Barriers:</w:t>
      </w:r>
      <w:r w:rsidRPr="009901FA">
        <w:t xml:space="preserve"> Chemical recycling and thermo-conversion technologies</w:t>
      </w:r>
      <w:r w:rsidR="00270FD4" w:rsidRPr="009901FA">
        <w:t>, while based on processes that have</w:t>
      </w:r>
      <w:r w:rsidRPr="009901FA">
        <w:t xml:space="preserve"> in </w:t>
      </w:r>
      <w:r w:rsidR="00270FD4" w:rsidRPr="009901FA">
        <w:t xml:space="preserve">some cases been used for decades, have not yet been proven at scale as end-to-end solutions within real-world waste management systems. Their integration into existing value chains remains </w:t>
      </w:r>
      <w:r w:rsidRPr="009901FA">
        <w:t>limited</w:t>
      </w:r>
      <w:r w:rsidR="00270FD4" w:rsidRPr="009901FA">
        <w:t>, particularly when dealing with heterogeneous, contaminated waste streams.</w:t>
      </w:r>
      <w:r w:rsidRPr="009901FA">
        <w:t xml:space="preserve"> Scaling up will require </w:t>
      </w:r>
      <w:r w:rsidRPr="009901FA">
        <w:lastRenderedPageBreak/>
        <w:t xml:space="preserve">improvements in conversion rates, energy efficiency, and overall process stability, </w:t>
      </w:r>
      <w:r w:rsidR="00270FD4" w:rsidRPr="009901FA">
        <w:t xml:space="preserve">all of </w:t>
      </w:r>
      <w:r w:rsidRPr="009901FA">
        <w:t xml:space="preserve">which carry </w:t>
      </w:r>
      <w:r w:rsidR="00270FD4" w:rsidRPr="009901FA">
        <w:t xml:space="preserve">significant </w:t>
      </w:r>
      <w:r w:rsidRPr="009901FA">
        <w:t xml:space="preserve">technological risk. Process efficiency remains a challenge, as highly </w:t>
      </w:r>
      <w:r w:rsidR="00564E86" w:rsidRPr="009901FA">
        <w:t>variable</w:t>
      </w:r>
      <w:r w:rsidRPr="009901FA">
        <w:t xml:space="preserve"> feedstock makes it difficult to retain high-quality output production.</w:t>
      </w:r>
      <w:r w:rsidRPr="009901FA">
        <w:br/>
      </w:r>
      <w:r w:rsidRPr="009901FA">
        <w:rPr>
          <w:b/>
        </w:rPr>
        <w:t>Enablers:</w:t>
      </w:r>
      <w:r w:rsidRPr="009901FA">
        <w:t xml:space="preserve"> Electrification and catalyst improvements could enhance efficiency but require further R&amp;D and infrastructure investments. </w:t>
      </w:r>
    </w:p>
    <w:p w14:paraId="3668C136" w14:textId="77777777" w:rsidR="00CB544F" w:rsidRPr="009901FA" w:rsidRDefault="00CB544F" w:rsidP="00CB544F"/>
    <w:p w14:paraId="1C78A1F4" w14:textId="4B273635" w:rsidR="00CB544F" w:rsidRPr="009901FA" w:rsidRDefault="00CB544F" w:rsidP="00CB544F">
      <w:r w:rsidRPr="009901FA">
        <w:rPr>
          <w:u w:val="single"/>
        </w:rPr>
        <w:t>Economic Competitiveness:</w:t>
      </w:r>
      <w:r w:rsidRPr="009901FA">
        <w:br/>
      </w:r>
      <w:r w:rsidRPr="009901FA">
        <w:rPr>
          <w:b/>
          <w:bCs/>
        </w:rPr>
        <w:t>Barriers</w:t>
      </w:r>
      <w:r w:rsidRPr="009901FA">
        <w:t>: Chemical recycling and thermo-conversion is currently more expensive than fossil-based plastic production and mechanical recycling due to:</w:t>
      </w:r>
    </w:p>
    <w:p w14:paraId="5AE9C7B5" w14:textId="77777777" w:rsidR="00CB544F" w:rsidRPr="009901FA" w:rsidRDefault="00CB544F" w:rsidP="005F2502">
      <w:pPr>
        <w:pStyle w:val="ListParagraph"/>
        <w:numPr>
          <w:ilvl w:val="0"/>
          <w:numId w:val="39"/>
        </w:numPr>
        <w:spacing w:line="240" w:lineRule="atLeast"/>
      </w:pPr>
      <w:r w:rsidRPr="009901FA">
        <w:t>High capital expenditures (CAPEX) and pre-treatment costs.</w:t>
      </w:r>
    </w:p>
    <w:p w14:paraId="559F6230" w14:textId="77777777" w:rsidR="00CB544F" w:rsidRPr="009901FA" w:rsidRDefault="00CB544F" w:rsidP="005F2502">
      <w:pPr>
        <w:pStyle w:val="ListParagraph"/>
        <w:numPr>
          <w:ilvl w:val="0"/>
          <w:numId w:val="39"/>
        </w:numPr>
        <w:spacing w:line="240" w:lineRule="atLeast"/>
      </w:pPr>
      <w:r w:rsidRPr="009901FA">
        <w:t>Lack of economies of scale, making it difficult to compete with established fossil-based processes.</w:t>
      </w:r>
    </w:p>
    <w:p w14:paraId="5E86B9CE" w14:textId="77777777" w:rsidR="00CB544F" w:rsidRPr="009901FA" w:rsidRDefault="00CB544F" w:rsidP="00CB544F">
      <w:pPr>
        <w:spacing w:after="0"/>
      </w:pPr>
      <w:r w:rsidRPr="009901FA">
        <w:rPr>
          <w:b/>
          <w:bCs/>
        </w:rPr>
        <w:t>Enablers</w:t>
      </w:r>
      <w:r w:rsidRPr="009901FA">
        <w:t>: Financial mechanisms can improve the economic viability of chemical recycling and thermo-conversion. Extended Producer Responsibility (EPR) schemes place the burden of waste management on producers, incentivising the use of recyclable and recycled materials. Carbon pricing makes fossil-based inputs less attractive by internalising their environmental costs, while landfill taxes discourage the disposal of plastic waste that could be recovered. In addition, standardised policies on feedstock classification and product quality would reduce uncertainty, encouraging investment and supporting market growth.</w:t>
      </w:r>
      <w:r w:rsidRPr="009901FA">
        <w:rPr>
          <w:rStyle w:val="FootnoteReference"/>
        </w:rPr>
        <w:footnoteReference w:id="53"/>
      </w:r>
    </w:p>
    <w:p w14:paraId="71930307" w14:textId="77777777" w:rsidR="00CB544F" w:rsidRPr="009901FA" w:rsidRDefault="00CB544F" w:rsidP="00CB544F"/>
    <w:p w14:paraId="7520C59E" w14:textId="101EE771" w:rsidR="00CB544F" w:rsidRPr="009901FA" w:rsidRDefault="00CB544F" w:rsidP="00CB544F">
      <w:pPr>
        <w:spacing w:after="0"/>
        <w:rPr>
          <w:u w:val="single"/>
        </w:rPr>
      </w:pPr>
      <w:r w:rsidRPr="009901FA">
        <w:rPr>
          <w:u w:val="single"/>
        </w:rPr>
        <w:t>Feedstock Availability and Quality:</w:t>
      </w:r>
    </w:p>
    <w:p w14:paraId="054A31A4" w14:textId="77777777" w:rsidR="00CB544F" w:rsidRPr="009901FA" w:rsidRDefault="00CB544F" w:rsidP="00CB544F">
      <w:r w:rsidRPr="009901FA">
        <w:rPr>
          <w:b/>
          <w:bCs/>
        </w:rPr>
        <w:t>Barriers</w:t>
      </w:r>
      <w:r w:rsidRPr="009901FA">
        <w:t>: Chemical recycling and thermo-conversion requires a steady supply of suitable feedstock, but:</w:t>
      </w:r>
    </w:p>
    <w:p w14:paraId="0A5F2225" w14:textId="77777777" w:rsidR="00CB544F" w:rsidRPr="009901FA" w:rsidRDefault="00CB544F" w:rsidP="005F2502">
      <w:pPr>
        <w:pStyle w:val="ListParagraph"/>
        <w:numPr>
          <w:ilvl w:val="0"/>
          <w:numId w:val="40"/>
        </w:numPr>
        <w:spacing w:line="240" w:lineRule="atLeast"/>
      </w:pPr>
      <w:r w:rsidRPr="009901FA">
        <w:t>Plastic collection and sorting systems remain inadequate, leading to inconsistent material streams.</w:t>
      </w:r>
    </w:p>
    <w:p w14:paraId="7EAD9671" w14:textId="77777777" w:rsidR="00CB544F" w:rsidRPr="009901FA" w:rsidRDefault="00CB544F" w:rsidP="005F2502">
      <w:pPr>
        <w:pStyle w:val="ListParagraph"/>
        <w:numPr>
          <w:ilvl w:val="0"/>
          <w:numId w:val="40"/>
        </w:numPr>
        <w:spacing w:line="240" w:lineRule="atLeast"/>
      </w:pPr>
      <w:r w:rsidRPr="009901FA">
        <w:t>Contaminants such as PVC can cause operational challenges, increasing processing costs.</w:t>
      </w:r>
    </w:p>
    <w:p w14:paraId="6471654F" w14:textId="77777777" w:rsidR="00CB544F" w:rsidRPr="009901FA" w:rsidRDefault="00CB544F" w:rsidP="00CB544F">
      <w:pPr>
        <w:spacing w:after="0"/>
      </w:pPr>
      <w:r w:rsidRPr="009901FA">
        <w:rPr>
          <w:b/>
          <w:bCs/>
        </w:rPr>
        <w:t>Enablers</w:t>
      </w:r>
      <w:r w:rsidRPr="009901FA">
        <w:t>: Advanced sorting and pre-treatment technologies need to be scaled to ensure high-quality input materials. Improving waste management infrastructure is necessary to establish a more reliable feedstock supply.</w:t>
      </w:r>
    </w:p>
    <w:p w14:paraId="6D487611" w14:textId="77777777" w:rsidR="00CB544F" w:rsidRPr="009901FA" w:rsidRDefault="00CB544F" w:rsidP="00CB544F"/>
    <w:p w14:paraId="12FF5A45" w14:textId="0B59DB04" w:rsidR="00CB544F" w:rsidRPr="009901FA" w:rsidRDefault="00CB544F" w:rsidP="00CB544F">
      <w:pPr>
        <w:spacing w:after="0"/>
        <w:rPr>
          <w:u w:val="single"/>
        </w:rPr>
      </w:pPr>
      <w:r w:rsidRPr="009901FA">
        <w:rPr>
          <w:u w:val="single"/>
        </w:rPr>
        <w:t>Criticism on their circularity</w:t>
      </w:r>
      <w:r w:rsidR="00053238" w:rsidRPr="009901FA">
        <w:rPr>
          <w:u w:val="single"/>
        </w:rPr>
        <w:t xml:space="preserve"> of chemical recycling</w:t>
      </w:r>
      <w:r w:rsidRPr="009901FA">
        <w:rPr>
          <w:u w:val="single"/>
        </w:rPr>
        <w:t>:</w:t>
      </w:r>
    </w:p>
    <w:p w14:paraId="080C590C" w14:textId="4E3A1FA0" w:rsidR="00CB544F" w:rsidRPr="009901FA" w:rsidRDefault="00CB544F" w:rsidP="009832BB">
      <w:r w:rsidRPr="009901FA">
        <w:rPr>
          <w:b/>
          <w:bCs/>
        </w:rPr>
        <w:t>Barrier</w:t>
      </w:r>
      <w:r w:rsidRPr="009901FA">
        <w:t xml:space="preserve">: </w:t>
      </w:r>
      <w:r w:rsidR="009832BB" w:rsidRPr="009901FA">
        <w:t xml:space="preserve">Although chemical recycling has the potential to support circularity by converting waste plastics back into monomers or polymers, stakeholder trust remains limited. Many fear that in practice, technologies marketed as chemical recycling may operate as material-to-fuel processes, prioritizing energy recovery over true </w:t>
      </w:r>
      <w:r w:rsidR="009832BB" w:rsidRPr="009901FA">
        <w:lastRenderedPageBreak/>
        <w:t>circularity. This conflicts with the waste hierarchy, which favors prevention, reuse, and mechanical recycling. Additional concerns include greenhouse gas emissions, health impacts from large-scale facilities, and environmental justice for nearby communities. There is also broader unease that these technologies could enable continued growth in virgin plastic production without addressing systemic climate and sustainability goals</w:t>
      </w:r>
    </w:p>
    <w:p w14:paraId="5CC0D8A8" w14:textId="7F905D67" w:rsidR="00CB544F" w:rsidRPr="009901FA" w:rsidRDefault="00CB544F" w:rsidP="00CB544F">
      <w:r w:rsidRPr="009901FA">
        <w:rPr>
          <w:b/>
          <w:bCs/>
        </w:rPr>
        <w:t>Enabler</w:t>
      </w:r>
      <w:r w:rsidRPr="009901FA">
        <w:t xml:space="preserve">: </w:t>
      </w:r>
      <w:r w:rsidR="00251117" w:rsidRPr="009901FA">
        <w:t>Building broad stakeholder support will require clear evidence that chemical recycling delivers material-to-material outcomes, along with strong climate and health safeguards. Transparent standards and third-party verification will be essential to build trust and ensure alignment with circular economy principles</w:t>
      </w:r>
      <w:r w:rsidRPr="009901FA">
        <w:t>.</w:t>
      </w:r>
    </w:p>
    <w:p w14:paraId="78951816" w14:textId="77777777" w:rsidR="00910CD3" w:rsidRPr="009901FA" w:rsidRDefault="00910CD3" w:rsidP="007E5519"/>
    <w:p w14:paraId="5FC7F938" w14:textId="2BB36E71" w:rsidR="00DC7DDA" w:rsidRPr="009901FA" w:rsidRDefault="005C4C40" w:rsidP="00DC7DDA">
      <w:pPr>
        <w:pStyle w:val="Heading3"/>
      </w:pPr>
      <w:bookmarkStart w:id="72" w:name="_Toc205392459"/>
      <w:bookmarkStart w:id="73" w:name="_Toc205554228"/>
      <w:r>
        <w:t>3</w:t>
      </w:r>
      <w:r w:rsidR="00DC7DDA" w:rsidRPr="009901FA">
        <w:t>.5 Carbon capture and utilisation</w:t>
      </w:r>
      <w:bookmarkEnd w:id="72"/>
      <w:bookmarkEnd w:id="73"/>
    </w:p>
    <w:p w14:paraId="6AF796B8" w14:textId="77777777" w:rsidR="004C5C3A" w:rsidRPr="009901FA" w:rsidRDefault="004C5C3A" w:rsidP="004C5C3A">
      <w:pPr>
        <w:pStyle w:val="Heading5"/>
        <w:rPr>
          <w:rFonts w:ascii="Century Gothic" w:eastAsia="MS Gothic" w:hAnsi="Century Gothic" w:cs="Times New Roman"/>
          <w:color w:val="585854"/>
          <w:sz w:val="26"/>
          <w:szCs w:val="24"/>
        </w:rPr>
      </w:pPr>
      <w:r w:rsidRPr="009901FA">
        <w:rPr>
          <w:rFonts w:ascii="Century Gothic" w:eastAsia="MS Gothic" w:hAnsi="Century Gothic" w:cs="Times New Roman"/>
          <w:color w:val="585854"/>
          <w:sz w:val="26"/>
          <w:szCs w:val="24"/>
        </w:rPr>
        <w:t>Overview</w:t>
      </w:r>
    </w:p>
    <w:p w14:paraId="375E0F40" w14:textId="207DDA92" w:rsidR="004C5C3A" w:rsidRPr="009901FA" w:rsidRDefault="004C5C3A" w:rsidP="004C5C3A">
      <w:r w:rsidRPr="009901FA">
        <w:rPr>
          <w:b/>
          <w:bCs/>
        </w:rPr>
        <w:t>As industries seek to decarbonize and transition to a circular economy, Carbon Capture and Utilisation (CCU) has emerged as a viable solution to reduce CO</w:t>
      </w:r>
      <w:r w:rsidRPr="00A247A6">
        <w:rPr>
          <w:rFonts w:ascii="Cambria Math" w:hAnsi="Cambria Math" w:cs="Cambria Math"/>
          <w:b/>
          <w:bCs/>
        </w:rPr>
        <w:t>₂</w:t>
      </w:r>
      <w:r w:rsidRPr="009901FA">
        <w:rPr>
          <w:b/>
          <w:bCs/>
        </w:rPr>
        <w:t xml:space="preserve"> emissions while generating valuable products.</w:t>
      </w:r>
      <w:r w:rsidRPr="009901FA">
        <w:t xml:space="preserve"> The Carbon Management Pathway consists of three key stages, as shown in </w:t>
      </w:r>
      <w:r w:rsidR="001F2142" w:rsidRPr="009901FA">
        <w:fldChar w:fldCharType="begin"/>
      </w:r>
      <w:r w:rsidR="001F2142" w:rsidRPr="009901FA">
        <w:instrText xml:space="preserve"> REF _Ref203748344 \h </w:instrText>
      </w:r>
      <w:r w:rsidR="00A247A6">
        <w:instrText xml:space="preserve"> \* MERGEFORMAT </w:instrText>
      </w:r>
      <w:r w:rsidR="001F2142" w:rsidRPr="009901FA">
        <w:fldChar w:fldCharType="separate"/>
      </w:r>
      <w:r w:rsidR="00DE378F" w:rsidRPr="009901FA">
        <w:t xml:space="preserve">Exhibit </w:t>
      </w:r>
      <w:r w:rsidR="00425055">
        <w:rPr>
          <w:noProof/>
        </w:rPr>
        <w:t>3</w:t>
      </w:r>
      <w:r w:rsidR="00DE378F" w:rsidRPr="009901FA">
        <w:t>.</w:t>
      </w:r>
      <w:r w:rsidR="00DE378F" w:rsidRPr="009901FA">
        <w:rPr>
          <w:noProof/>
        </w:rPr>
        <w:t>17</w:t>
      </w:r>
      <w:r w:rsidR="001F2142" w:rsidRPr="009901FA">
        <w:fldChar w:fldCharType="end"/>
      </w:r>
      <w:r w:rsidR="00E36C5F" w:rsidRPr="009901FA">
        <w:t>,</w:t>
      </w:r>
      <w:r w:rsidR="001F2142" w:rsidRPr="009901FA">
        <w:t xml:space="preserve"> </w:t>
      </w:r>
      <w:r w:rsidRPr="009901FA">
        <w:t>capture, transport and end-of-life.</w:t>
      </w:r>
    </w:p>
    <w:p w14:paraId="4D6B8865" w14:textId="54C72323" w:rsidR="0014483A" w:rsidRPr="009901FA" w:rsidRDefault="0014483A" w:rsidP="0014483A">
      <w:pPr>
        <w:pStyle w:val="Caption"/>
        <w:keepNext/>
      </w:pPr>
      <w:bookmarkStart w:id="74" w:name="_Ref203748344"/>
      <w:r w:rsidRPr="009901FA">
        <w:t xml:space="preserve">Exhibit </w:t>
      </w:r>
      <w:r w:rsidR="00E61394">
        <w:t>3</w:t>
      </w:r>
      <w:r w:rsidR="008725B4" w:rsidRPr="009901FA">
        <w:t>.</w:t>
      </w:r>
      <w:fldSimple w:instr=" SEQ Exhibit \* ARABIC \s 2 ">
        <w:r w:rsidR="00DE378F" w:rsidRPr="009901FA">
          <w:rPr>
            <w:noProof/>
          </w:rPr>
          <w:t>17</w:t>
        </w:r>
      </w:fldSimple>
      <w:bookmarkEnd w:id="74"/>
    </w:p>
    <w:p w14:paraId="00DD3137" w14:textId="4AFDDA1A" w:rsidR="00DC7DDA" w:rsidRPr="009901FA" w:rsidRDefault="0048590A" w:rsidP="00DC7DDA">
      <w:r w:rsidRPr="009901FA">
        <w:rPr>
          <w:noProof/>
        </w:rPr>
        <w:drawing>
          <wp:inline distT="0" distB="0" distL="0" distR="0" wp14:anchorId="07A4EB5F" wp14:editId="5797599F">
            <wp:extent cx="6263640" cy="3523615"/>
            <wp:effectExtent l="0" t="0" r="3810" b="0"/>
            <wp:docPr id="145268257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682579"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6263640" cy="3523615"/>
                    </a:xfrm>
                    <a:prstGeom prst="rect">
                      <a:avLst/>
                    </a:prstGeom>
                  </pic:spPr>
                </pic:pic>
              </a:graphicData>
            </a:graphic>
          </wp:inline>
        </w:drawing>
      </w:r>
    </w:p>
    <w:p w14:paraId="2F6C32AD" w14:textId="510C1C8D" w:rsidR="0014483A" w:rsidRPr="009901FA" w:rsidRDefault="00A86DCF" w:rsidP="00A86DCF">
      <w:r w:rsidRPr="009901FA">
        <w:rPr>
          <w:b/>
          <w:bCs/>
        </w:rPr>
        <w:t>Unlike CCS, which focuses solely on sequestration, CCU repurposes CO</w:t>
      </w:r>
      <w:r w:rsidRPr="00A247A6">
        <w:rPr>
          <w:rFonts w:ascii="Cambria Math" w:hAnsi="Cambria Math" w:cs="Cambria Math"/>
          <w:b/>
          <w:bCs/>
        </w:rPr>
        <w:t>₂</w:t>
      </w:r>
      <w:r w:rsidRPr="009901FA">
        <w:rPr>
          <w:b/>
          <w:bCs/>
        </w:rPr>
        <w:t xml:space="preserve"> into chemicals, fuels, and materials, providing economic incentives for carbon reduction while supporting circular carbon cycles.</w:t>
      </w:r>
      <w:r w:rsidRPr="009901FA">
        <w:t xml:space="preserve"> This analysis focuses on four key CCU technologies that convert CO</w:t>
      </w:r>
      <w:r w:rsidRPr="00A247A6">
        <w:rPr>
          <w:rFonts w:ascii="Cambria Math" w:hAnsi="Cambria Math" w:cs="Cambria Math"/>
        </w:rPr>
        <w:t>₂</w:t>
      </w:r>
      <w:r w:rsidRPr="009901FA">
        <w:t xml:space="preserve"> into fuels and fuel precursors: Hydrogenation, </w:t>
      </w:r>
      <w:r w:rsidRPr="009901FA">
        <w:lastRenderedPageBreak/>
        <w:t xml:space="preserve">Reverse Water-Gas Shift (RWGS), Electrochemical Reduction, and Biocatalysis. These technologies primarily produce e-methane, e-methanol, syngas, and ethanol, which can be further upgraded into sustainable aviation fuel (SAF) and chemical feedstocks. </w:t>
      </w:r>
      <w:r w:rsidR="0014483A" w:rsidRPr="009901FA">
        <w:fldChar w:fldCharType="begin"/>
      </w:r>
      <w:r w:rsidR="0014483A" w:rsidRPr="009901FA">
        <w:instrText xml:space="preserve"> REF _Ref203748361 \h </w:instrText>
      </w:r>
      <w:r w:rsidR="00A247A6">
        <w:instrText xml:space="preserve"> \* MERGEFORMAT </w:instrText>
      </w:r>
      <w:r w:rsidR="0014483A" w:rsidRPr="009901FA">
        <w:fldChar w:fldCharType="separate"/>
      </w:r>
      <w:r w:rsidR="00DE378F" w:rsidRPr="009901FA">
        <w:t xml:space="preserve">Exhibit </w:t>
      </w:r>
      <w:r w:rsidR="00E61394">
        <w:rPr>
          <w:noProof/>
        </w:rPr>
        <w:t>3</w:t>
      </w:r>
      <w:r w:rsidR="00DE378F" w:rsidRPr="009901FA">
        <w:t>.</w:t>
      </w:r>
      <w:r w:rsidR="00DE378F" w:rsidRPr="009901FA">
        <w:rPr>
          <w:noProof/>
        </w:rPr>
        <w:t>18</w:t>
      </w:r>
      <w:r w:rsidR="0014483A" w:rsidRPr="009901FA">
        <w:fldChar w:fldCharType="end"/>
      </w:r>
      <w:r w:rsidR="0014483A" w:rsidRPr="009901FA">
        <w:t xml:space="preserve"> </w:t>
      </w:r>
      <w:r w:rsidRPr="009901FA">
        <w:t>illustrates the CO</w:t>
      </w:r>
      <w:r w:rsidRPr="00A247A6">
        <w:rPr>
          <w:rFonts w:ascii="Cambria Math" w:hAnsi="Cambria Math" w:cs="Cambria Math"/>
        </w:rPr>
        <w:t>₂</w:t>
      </w:r>
      <w:r w:rsidRPr="009901FA">
        <w:t xml:space="preserve"> conversion pathways and their end uses</w:t>
      </w:r>
      <w:r w:rsidR="009C5A5E" w:rsidRPr="009901FA">
        <w:t>.</w:t>
      </w:r>
    </w:p>
    <w:p w14:paraId="64E0ED2A" w14:textId="7BD9BFD2" w:rsidR="0014483A" w:rsidRPr="009901FA" w:rsidRDefault="0014483A" w:rsidP="0014483A">
      <w:pPr>
        <w:pStyle w:val="Caption"/>
        <w:keepNext/>
      </w:pPr>
      <w:bookmarkStart w:id="75" w:name="_Ref203748361"/>
      <w:r w:rsidRPr="009901FA">
        <w:t xml:space="preserve">Exhibit </w:t>
      </w:r>
      <w:r w:rsidR="00E61394">
        <w:t>3</w:t>
      </w:r>
      <w:r w:rsidR="008725B4" w:rsidRPr="009901FA">
        <w:t>.</w:t>
      </w:r>
      <w:fldSimple w:instr=" SEQ Exhibit \* ARABIC \s 2 ">
        <w:r w:rsidR="00DE378F" w:rsidRPr="009901FA">
          <w:rPr>
            <w:noProof/>
          </w:rPr>
          <w:t>18</w:t>
        </w:r>
      </w:fldSimple>
      <w:bookmarkEnd w:id="75"/>
    </w:p>
    <w:p w14:paraId="5C2553A6" w14:textId="492F1CAF" w:rsidR="00A86DCF" w:rsidRPr="009901FA" w:rsidRDefault="006945CB" w:rsidP="00A86DCF">
      <w:r w:rsidRPr="009901FA">
        <w:rPr>
          <w:noProof/>
        </w:rPr>
        <w:drawing>
          <wp:inline distT="0" distB="0" distL="0" distR="0" wp14:anchorId="664174FC" wp14:editId="5143B915">
            <wp:extent cx="6263640" cy="3523615"/>
            <wp:effectExtent l="0" t="0" r="0" b="0"/>
            <wp:docPr id="175991501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526600" name=""/>
                    <pic:cNvPicPr/>
                  </pic:nvPicPr>
                  <pic:blipFill>
                    <a:blip r:embed="rId71">
                      <a:extLst>
                        <a:ext uri="{96DAC541-7B7A-43D3-8B79-37D633B846F1}">
                          <asvg:svgBlip xmlns:asvg="http://schemas.microsoft.com/office/drawing/2016/SVG/main" r:embed="rId72"/>
                        </a:ext>
                      </a:extLst>
                    </a:blip>
                    <a:stretch>
                      <a:fillRect/>
                    </a:stretch>
                  </pic:blipFill>
                  <pic:spPr>
                    <a:xfrm>
                      <a:off x="0" y="0"/>
                      <a:ext cx="6263640" cy="3523615"/>
                    </a:xfrm>
                    <a:prstGeom prst="rect">
                      <a:avLst/>
                    </a:prstGeom>
                  </pic:spPr>
                </pic:pic>
              </a:graphicData>
            </a:graphic>
          </wp:inline>
        </w:drawing>
      </w:r>
    </w:p>
    <w:p w14:paraId="247BFB52" w14:textId="77777777" w:rsidR="008C3861" w:rsidRPr="009901FA" w:rsidRDefault="008C3861" w:rsidP="008C3861"/>
    <w:p w14:paraId="032056C6" w14:textId="16367555" w:rsidR="00C94545" w:rsidRPr="009901FA" w:rsidRDefault="00C94545" w:rsidP="008C3861">
      <w:r w:rsidRPr="009901FA">
        <w:t>Hydrogenation combines CO</w:t>
      </w:r>
      <w:r w:rsidRPr="00A247A6">
        <w:rPr>
          <w:rFonts w:ascii="Cambria Math" w:hAnsi="Cambria Math" w:cs="Cambria Math"/>
        </w:rPr>
        <w:t>₂</w:t>
      </w:r>
      <w:r w:rsidRPr="009901FA">
        <w:t xml:space="preserve"> with green hydrogen to produce synthetic molecules such as e-methane or e-methanol; the latter can be further upgraded into fuels or chemicals. The Reverse Water-Gas Shift (RWGS) reaction transforms CO</w:t>
      </w:r>
      <w:r w:rsidRPr="00A247A6">
        <w:rPr>
          <w:rFonts w:ascii="Cambria Math" w:hAnsi="Cambria Math" w:cs="Cambria Math"/>
        </w:rPr>
        <w:t>₂</w:t>
      </w:r>
      <w:r w:rsidRPr="009901FA">
        <w:t xml:space="preserve"> into syngas (a mix of CO and H</w:t>
      </w:r>
      <w:r w:rsidRPr="00A247A6">
        <w:rPr>
          <w:rFonts w:ascii="Cambria Math" w:hAnsi="Cambria Math" w:cs="Cambria Math"/>
        </w:rPr>
        <w:t>₂</w:t>
      </w:r>
      <w:r w:rsidRPr="009901FA">
        <w:t>) and other carbon-based intermediates using heat or electricity. Similarly, electrochemical reduction uses renewable electricity to directly convert CO</w:t>
      </w:r>
      <w:r w:rsidRPr="00A247A6">
        <w:rPr>
          <w:rFonts w:ascii="Cambria Math" w:hAnsi="Cambria Math" w:cs="Cambria Math"/>
        </w:rPr>
        <w:t>₂</w:t>
      </w:r>
      <w:r w:rsidRPr="009901FA">
        <w:t xml:space="preserve"> into syngas or other reduced products at the electrode surface. Finally, biocatalysis leverages enzymes to convert CO or CO</w:t>
      </w:r>
      <w:r w:rsidRPr="00A247A6">
        <w:rPr>
          <w:rFonts w:ascii="Cambria Math" w:hAnsi="Cambria Math" w:cs="Cambria Math"/>
        </w:rPr>
        <w:t>₂</w:t>
      </w:r>
      <w:r w:rsidRPr="009901FA">
        <w:t xml:space="preserve"> and hydrogen into ethanol, which can be processed into downstream products such as derivatives or sustainable aviation fuel (SAF).</w:t>
      </w:r>
      <w:r w:rsidR="00BC04AE" w:rsidRPr="009901FA">
        <w:t xml:space="preserve"> </w:t>
      </w:r>
      <w:r w:rsidR="009C5A5E" w:rsidRPr="009901FA">
        <w:fldChar w:fldCharType="begin"/>
      </w:r>
      <w:r w:rsidR="009C5A5E" w:rsidRPr="009901FA">
        <w:instrText xml:space="preserve"> REF _Ref203748411 \h </w:instrText>
      </w:r>
      <w:r w:rsidR="00A247A6">
        <w:instrText xml:space="preserve"> \* MERGEFORMAT </w:instrText>
      </w:r>
      <w:r w:rsidR="009C5A5E" w:rsidRPr="009901FA">
        <w:fldChar w:fldCharType="separate"/>
      </w:r>
      <w:r w:rsidR="00DE378F" w:rsidRPr="009901FA">
        <w:t xml:space="preserve">Exhibit </w:t>
      </w:r>
      <w:r w:rsidR="00E61394">
        <w:rPr>
          <w:noProof/>
        </w:rPr>
        <w:t>3</w:t>
      </w:r>
      <w:r w:rsidR="00DE378F" w:rsidRPr="009901FA">
        <w:t>.</w:t>
      </w:r>
      <w:r w:rsidR="00DE378F" w:rsidRPr="009901FA">
        <w:rPr>
          <w:noProof/>
        </w:rPr>
        <w:t>19</w:t>
      </w:r>
      <w:r w:rsidR="009C5A5E" w:rsidRPr="009901FA">
        <w:fldChar w:fldCharType="end"/>
      </w:r>
      <w:r w:rsidR="00BC04AE" w:rsidRPr="009901FA">
        <w:t xml:space="preserve"> presents the key advantages and disadvantages</w:t>
      </w:r>
      <w:r w:rsidR="00B87AA9" w:rsidRPr="009901FA">
        <w:t xml:space="preserve"> of these processes.</w:t>
      </w:r>
    </w:p>
    <w:p w14:paraId="182F4E62" w14:textId="2B573382" w:rsidR="009C5A5E" w:rsidRPr="009901FA" w:rsidRDefault="009C5A5E" w:rsidP="009C5A5E">
      <w:pPr>
        <w:pStyle w:val="Caption"/>
        <w:keepNext/>
      </w:pPr>
      <w:bookmarkStart w:id="76" w:name="_Ref203748411"/>
      <w:r w:rsidRPr="009901FA">
        <w:lastRenderedPageBreak/>
        <w:t xml:space="preserve">Exhibit </w:t>
      </w:r>
      <w:r w:rsidR="00E61394">
        <w:t>3</w:t>
      </w:r>
      <w:r w:rsidR="008725B4" w:rsidRPr="009901FA">
        <w:t>.</w:t>
      </w:r>
      <w:fldSimple w:instr=" SEQ Exhibit \* ARABIC \s 2 ">
        <w:r w:rsidR="00DE378F" w:rsidRPr="009901FA">
          <w:rPr>
            <w:noProof/>
          </w:rPr>
          <w:t>19</w:t>
        </w:r>
      </w:fldSimple>
      <w:bookmarkEnd w:id="76"/>
    </w:p>
    <w:p w14:paraId="285C861C" w14:textId="3A619AD7" w:rsidR="00B87AA9" w:rsidRPr="009901FA" w:rsidRDefault="00587477" w:rsidP="008C3861">
      <w:r w:rsidRPr="009901FA">
        <w:rPr>
          <w:noProof/>
        </w:rPr>
        <w:drawing>
          <wp:inline distT="0" distB="0" distL="0" distR="0" wp14:anchorId="4D7E0FEF" wp14:editId="46601BFB">
            <wp:extent cx="6263640" cy="2804160"/>
            <wp:effectExtent l="0" t="0" r="3810" b="0"/>
            <wp:docPr id="584336756" name="Picture 1" descr="A screenshot of a white paper with red and green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336756" name="Picture 1" descr="A screenshot of a white paper with red and green squares&#10;&#10;Description automatically generated"/>
                    <pic:cNvPicPr/>
                  </pic:nvPicPr>
                  <pic:blipFill>
                    <a:blip r:embed="rId73"/>
                    <a:stretch>
                      <a:fillRect/>
                    </a:stretch>
                  </pic:blipFill>
                  <pic:spPr>
                    <a:xfrm>
                      <a:off x="0" y="0"/>
                      <a:ext cx="6263640" cy="2804160"/>
                    </a:xfrm>
                    <a:prstGeom prst="rect">
                      <a:avLst/>
                    </a:prstGeom>
                  </pic:spPr>
                </pic:pic>
              </a:graphicData>
            </a:graphic>
          </wp:inline>
        </w:drawing>
      </w:r>
    </w:p>
    <w:p w14:paraId="43653EB3" w14:textId="77777777" w:rsidR="008C3861" w:rsidRPr="009901FA" w:rsidRDefault="008C3861" w:rsidP="008C3861">
      <w:pPr>
        <w:pStyle w:val="Heading5"/>
        <w:rPr>
          <w:rFonts w:ascii="Century Gothic" w:eastAsia="MS Gothic" w:hAnsi="Century Gothic" w:cs="Times New Roman"/>
          <w:color w:val="585854"/>
          <w:sz w:val="26"/>
          <w:szCs w:val="24"/>
        </w:rPr>
      </w:pPr>
      <w:r w:rsidRPr="009901FA">
        <w:rPr>
          <w:rFonts w:ascii="Century Gothic" w:eastAsia="MS Gothic" w:hAnsi="Century Gothic" w:cs="Times New Roman"/>
          <w:color w:val="585854"/>
          <w:sz w:val="26"/>
          <w:szCs w:val="24"/>
        </w:rPr>
        <w:t>Costs</w:t>
      </w:r>
    </w:p>
    <w:p w14:paraId="4458435E" w14:textId="32C780AF" w:rsidR="008C3861" w:rsidRPr="009901FA" w:rsidRDefault="008C3861" w:rsidP="008C3861">
      <w:r w:rsidRPr="009901FA">
        <w:rPr>
          <w:b/>
          <w:bCs/>
        </w:rPr>
        <w:t>The Levelised cost of</w:t>
      </w:r>
      <w:r w:rsidRPr="009901FA" w:rsidDel="003811C6">
        <w:rPr>
          <w:b/>
          <w:bCs/>
        </w:rPr>
        <w:t xml:space="preserve"> </w:t>
      </w:r>
      <w:r w:rsidRPr="009901FA">
        <w:rPr>
          <w:b/>
          <w:bCs/>
        </w:rPr>
        <w:t>production for carbon utilisation technologies varies significantly depending on CAPEX, OPEX, H</w:t>
      </w:r>
      <w:r w:rsidRPr="009901FA">
        <w:rPr>
          <w:b/>
          <w:bCs/>
          <w:vertAlign w:val="subscript"/>
        </w:rPr>
        <w:t>2</w:t>
      </w:r>
      <w:r w:rsidRPr="009901FA">
        <w:rPr>
          <w:b/>
          <w:bCs/>
        </w:rPr>
        <w:t xml:space="preserve"> costs, and energy consumption.</w:t>
      </w:r>
      <w:r w:rsidRPr="009901FA">
        <w:t xml:space="preserve"> To improve comparability between pathways, Reverse Water-Gas Shift (RWGS) and Electrochemical Reduction were modelled for syngas conversion to methanol, allowing for direct benchmarking against hydrogenation-based methanol production. The levelised cost of production of each route is compared to its fossil-based alternative, as shown in </w:t>
      </w:r>
      <w:r w:rsidR="009C5A5E" w:rsidRPr="009901FA">
        <w:fldChar w:fldCharType="begin"/>
      </w:r>
      <w:r w:rsidR="009C5A5E" w:rsidRPr="009901FA">
        <w:instrText xml:space="preserve"> REF _Ref203748422 \h </w:instrText>
      </w:r>
      <w:r w:rsidR="00A247A6">
        <w:instrText xml:space="preserve"> \* MERGEFORMAT </w:instrText>
      </w:r>
      <w:r w:rsidR="009C5A5E" w:rsidRPr="009901FA">
        <w:fldChar w:fldCharType="separate"/>
      </w:r>
      <w:r w:rsidR="00DE378F" w:rsidRPr="009901FA">
        <w:t xml:space="preserve">Exhibit </w:t>
      </w:r>
      <w:r w:rsidR="00E61394">
        <w:rPr>
          <w:noProof/>
        </w:rPr>
        <w:t>3</w:t>
      </w:r>
      <w:r w:rsidR="00DE378F" w:rsidRPr="009901FA">
        <w:t>.</w:t>
      </w:r>
      <w:r w:rsidR="00DE378F" w:rsidRPr="009901FA">
        <w:rPr>
          <w:noProof/>
        </w:rPr>
        <w:t>20</w:t>
      </w:r>
      <w:r w:rsidR="009C5A5E" w:rsidRPr="009901FA">
        <w:fldChar w:fldCharType="end"/>
      </w:r>
      <w:r w:rsidRPr="009901FA">
        <w:t>.</w:t>
      </w:r>
    </w:p>
    <w:p w14:paraId="3C69343A" w14:textId="6A97F9F5" w:rsidR="009C5A5E" w:rsidRPr="009901FA" w:rsidRDefault="009C5A5E" w:rsidP="009C5A5E">
      <w:pPr>
        <w:pStyle w:val="Caption"/>
        <w:keepNext/>
      </w:pPr>
      <w:bookmarkStart w:id="77" w:name="_Ref203748422"/>
      <w:r w:rsidRPr="009901FA">
        <w:t xml:space="preserve">Exhibit </w:t>
      </w:r>
      <w:r w:rsidR="00E61394">
        <w:t>3</w:t>
      </w:r>
      <w:r w:rsidR="008725B4" w:rsidRPr="009901FA">
        <w:t>.</w:t>
      </w:r>
      <w:fldSimple w:instr=" SEQ Exhibit \* ARABIC \s 2 ">
        <w:r w:rsidR="00DE378F" w:rsidRPr="009901FA">
          <w:rPr>
            <w:noProof/>
          </w:rPr>
          <w:t>20</w:t>
        </w:r>
      </w:fldSimple>
      <w:bookmarkEnd w:id="77"/>
    </w:p>
    <w:p w14:paraId="28569177" w14:textId="40AD47C2" w:rsidR="007A3198" w:rsidRPr="009901FA" w:rsidRDefault="003636DB" w:rsidP="00A86DCF">
      <w:r w:rsidRPr="009901FA">
        <w:rPr>
          <w:noProof/>
        </w:rPr>
        <w:drawing>
          <wp:inline distT="0" distB="0" distL="0" distR="0" wp14:anchorId="52A6A99A" wp14:editId="283C9CF6">
            <wp:extent cx="6263640" cy="3523615"/>
            <wp:effectExtent l="0" t="0" r="0" b="635"/>
            <wp:docPr id="14303644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36441" name=""/>
                    <pic:cNvPicPr/>
                  </pic:nvPicPr>
                  <pic:blipFill>
                    <a:blip r:embed="rId74">
                      <a:extLst>
                        <a:ext uri="{96DAC541-7B7A-43D3-8B79-37D633B846F1}">
                          <asvg:svgBlip xmlns:asvg="http://schemas.microsoft.com/office/drawing/2016/SVG/main" r:embed="rId75"/>
                        </a:ext>
                      </a:extLst>
                    </a:blip>
                    <a:stretch>
                      <a:fillRect/>
                    </a:stretch>
                  </pic:blipFill>
                  <pic:spPr>
                    <a:xfrm>
                      <a:off x="0" y="0"/>
                      <a:ext cx="6263640" cy="3523615"/>
                    </a:xfrm>
                    <a:prstGeom prst="rect">
                      <a:avLst/>
                    </a:prstGeom>
                  </pic:spPr>
                </pic:pic>
              </a:graphicData>
            </a:graphic>
          </wp:inline>
        </w:drawing>
      </w:r>
    </w:p>
    <w:p w14:paraId="30966936" w14:textId="69861042" w:rsidR="000C05C0" w:rsidRPr="009901FA" w:rsidRDefault="000C05C0" w:rsidP="000C05C0">
      <w:r w:rsidRPr="009901FA">
        <w:rPr>
          <w:b/>
          <w:bCs/>
        </w:rPr>
        <w:lastRenderedPageBreak/>
        <w:t>Across the board, most carbon utilisation pathways remain substantially more expensive than fossil-based alternatives—often by more than double.</w:t>
      </w:r>
      <w:r w:rsidRPr="009901FA">
        <w:t xml:space="preserve"> The only partial exception is biocatalysis, which has a comparatively modest cost premium.</w:t>
      </w:r>
      <w:r w:rsidR="005151EC" w:rsidRPr="009901FA">
        <w:t xml:space="preserve"> </w:t>
      </w:r>
      <w:r w:rsidRPr="009901FA">
        <w:t>For hydrogenation-based technologies and RWGS, hydrogen feedstock accounts for 72–87% of production costs, making it the dominant cost driver. RWGS requires slightly less hydrogen than direct CO</w:t>
      </w:r>
      <w:r w:rsidRPr="00A247A6">
        <w:rPr>
          <w:rFonts w:ascii="Cambria Math" w:hAnsi="Cambria Math" w:cs="Cambria Math"/>
        </w:rPr>
        <w:t>₂</w:t>
      </w:r>
      <w:r w:rsidRPr="009901FA">
        <w:t xml:space="preserve"> hydrogenation due to more efficient CO-to-methanol conversion</w:t>
      </w:r>
      <w:r w:rsidR="005151EC" w:rsidRPr="009901FA">
        <w:t xml:space="preserve">. </w:t>
      </w:r>
      <w:r w:rsidRPr="009901FA">
        <w:t>Electrochemical reduction, while less reliant on external hydrogen, remains the least cost-competitive pathway. It produces CO-rich syngas, which reduces recycling during methanol synthesis, but high CAPEX and electricity demand drive up costs.</w:t>
      </w:r>
      <w:r w:rsidRPr="009901FA">
        <w:rPr>
          <w:rStyle w:val="FootnoteReference"/>
        </w:rPr>
        <w:footnoteReference w:id="54"/>
      </w:r>
      <w:r w:rsidR="005151EC" w:rsidRPr="009901FA">
        <w:t xml:space="preserve"> </w:t>
      </w:r>
      <w:r w:rsidRPr="009901FA">
        <w:t>Biocatalysis stands out as the most cost-competitive option, with a price premium of just 10–20% above bioethanol. Its independence from hydrogen feed makes it less sensitive to fluctuations in hydrogen pricing, supporting more stable production economics.  However, long-term scalability may be limited by access to industrial CO streams, which are preferred but likely limited in a net-zero economy. Biocatalytic systems can also operate with CO</w:t>
      </w:r>
      <w:r w:rsidRPr="00A247A6">
        <w:rPr>
          <w:rFonts w:ascii="Cambria Math" w:hAnsi="Cambria Math" w:cs="Cambria Math"/>
        </w:rPr>
        <w:t>₂</w:t>
      </w:r>
      <w:r w:rsidRPr="009901FA">
        <w:t xml:space="preserve"> and H</w:t>
      </w:r>
      <w:r w:rsidRPr="00A247A6">
        <w:rPr>
          <w:rFonts w:ascii="Cambria Math" w:hAnsi="Cambria Math" w:cs="Cambria Math"/>
        </w:rPr>
        <w:t>₂</w:t>
      </w:r>
      <w:r w:rsidRPr="009901FA">
        <w:t>, though less efficiently.</w:t>
      </w:r>
      <w:r w:rsidR="00E55D4D" w:rsidRPr="009901FA">
        <w:t xml:space="preserve"> </w:t>
      </w:r>
      <w:r w:rsidR="00B7004C" w:rsidRPr="009901FA">
        <w:t xml:space="preserve">For a pathway like hydrogenation to methanol to become competitive with grey methanol, it would take </w:t>
      </w:r>
      <w:r w:rsidR="00E55D4D" w:rsidRPr="009901FA">
        <w:t>green H2 price</w:t>
      </w:r>
      <w:r w:rsidR="00B7004C" w:rsidRPr="009901FA">
        <w:t xml:space="preserve">s to be in the range of </w:t>
      </w:r>
      <w:r w:rsidR="00E55D4D" w:rsidRPr="009901FA">
        <w:t>$2.5/kg</w:t>
      </w:r>
      <w:r w:rsidR="00B7004C" w:rsidRPr="009901FA">
        <w:t xml:space="preserve">, couple with a carbon price of </w:t>
      </w:r>
      <w:r w:rsidR="00E55D4D" w:rsidRPr="009901FA">
        <w:t>$100/t Co2</w:t>
      </w:r>
      <w:r w:rsidR="00B7004C" w:rsidRPr="009901FA">
        <w:t xml:space="preserve"> penalising the fossil alternative</w:t>
      </w:r>
      <w:r w:rsidR="00B7004C" w:rsidRPr="009901FA">
        <w:rPr>
          <w:rStyle w:val="FootnoteReference"/>
        </w:rPr>
        <w:footnoteReference w:id="55"/>
      </w:r>
      <w:r w:rsidR="00B7004C" w:rsidRPr="009901FA">
        <w:t>.</w:t>
      </w:r>
    </w:p>
    <w:p w14:paraId="7E519C0D" w14:textId="77777777" w:rsidR="00F46894" w:rsidRPr="009901FA" w:rsidRDefault="00F46894" w:rsidP="00F46894">
      <w:pPr>
        <w:pStyle w:val="Heading5"/>
        <w:rPr>
          <w:rFonts w:ascii="Century Gothic" w:eastAsia="MS Gothic" w:hAnsi="Century Gothic" w:cs="Times New Roman"/>
          <w:color w:val="585854"/>
          <w:sz w:val="26"/>
          <w:szCs w:val="24"/>
        </w:rPr>
      </w:pPr>
      <w:r w:rsidRPr="009901FA">
        <w:rPr>
          <w:rFonts w:ascii="Century Gothic" w:eastAsia="MS Gothic" w:hAnsi="Century Gothic" w:cs="Times New Roman"/>
          <w:color w:val="585854"/>
          <w:sz w:val="26"/>
          <w:szCs w:val="24"/>
        </w:rPr>
        <w:t>Impact</w:t>
      </w:r>
    </w:p>
    <w:p w14:paraId="59FC0938" w14:textId="77777777" w:rsidR="003C5187" w:rsidRPr="009901FA" w:rsidRDefault="003C5187" w:rsidP="003C5187">
      <w:r w:rsidRPr="009901FA">
        <w:rPr>
          <w:b/>
          <w:bCs/>
        </w:rPr>
        <w:t>By 2050, CCU is projected to account for ~27% of captured CO</w:t>
      </w:r>
      <w:r w:rsidRPr="00A247A6">
        <w:rPr>
          <w:rFonts w:ascii="Cambria Math" w:hAnsi="Cambria Math" w:cs="Cambria Math"/>
          <w:b/>
          <w:bCs/>
        </w:rPr>
        <w:t>₂</w:t>
      </w:r>
      <w:r w:rsidRPr="009901FA">
        <w:rPr>
          <w:b/>
          <w:bCs/>
        </w:rPr>
        <w:t>, with the rest permanently stored via CCS and DACCS.</w:t>
      </w:r>
      <w:r w:rsidRPr="009901FA">
        <w:t xml:space="preserve"> According to ETC estimates, total CO</w:t>
      </w:r>
      <w:r w:rsidRPr="00A247A6">
        <w:rPr>
          <w:rFonts w:ascii="Cambria Math" w:hAnsi="Cambria Math" w:cs="Cambria Math"/>
        </w:rPr>
        <w:t>₂</w:t>
      </w:r>
      <w:r w:rsidRPr="009901FA">
        <w:t xml:space="preserve"> capture reaches ~8.5 Gt/year, of which 2.3 Gt is utilised</w:t>
      </w:r>
      <w:r w:rsidRPr="009901FA">
        <w:rPr>
          <w:rFonts w:cs="Arial Nova"/>
        </w:rPr>
        <w:t>—</w:t>
      </w:r>
      <w:r w:rsidRPr="009901FA">
        <w:t>primarily for synthetic fuels and chemicals</w:t>
      </w:r>
      <w:r w:rsidRPr="009901FA">
        <w:rPr>
          <w:rFonts w:cs="Arial Nova"/>
        </w:rPr>
        <w:t>—</w:t>
      </w:r>
      <w:r w:rsidRPr="009901FA">
        <w:t>while 6.2 Gt is sequestered. This reflects the consensus that CCU improves carbon efficiency (using CO</w:t>
      </w:r>
      <w:r w:rsidRPr="00A247A6">
        <w:rPr>
          <w:rFonts w:ascii="Cambria Math" w:hAnsi="Cambria Math" w:cs="Cambria Math"/>
        </w:rPr>
        <w:t>₂</w:t>
      </w:r>
      <w:r w:rsidRPr="009901FA">
        <w:t xml:space="preserve"> twice), but only permanent storage delivers net-zero outcomes.</w:t>
      </w:r>
    </w:p>
    <w:p w14:paraId="615EC7E4" w14:textId="5CD12A34" w:rsidR="003C5187" w:rsidRPr="009901FA" w:rsidRDefault="005C7229" w:rsidP="003C5187">
      <w:r w:rsidRPr="009901FA">
        <w:rPr>
          <w:b/>
          <w:bCs/>
        </w:rPr>
        <w:t>The volume</w:t>
      </w:r>
      <w:r w:rsidR="000E1C05" w:rsidRPr="009901FA">
        <w:rPr>
          <w:b/>
          <w:bCs/>
        </w:rPr>
        <w:t xml:space="preserve"> of CCU in the system will be dependent on the demand from  key end-use sectors.</w:t>
      </w:r>
      <w:r w:rsidR="000E1C05" w:rsidRPr="009901FA">
        <w:t xml:space="preserve"> </w:t>
      </w:r>
      <w:r w:rsidR="003C5187" w:rsidRPr="009901FA">
        <w:t>In aviation, e-SAF can be produced via methanol-to-jet (from e-methanol) or RWGS + Fischer-Tropsch (from syngas). These drop-in fuels are well-suited for long-haul flights. The MPP Aviation Transition Strategy estimates e-SAF could meet 36% of 2050 demand. In shipping, e-methanol is expected to supply 28% of 2050 energy demand</w:t>
      </w:r>
      <w:r w:rsidR="008A5546" w:rsidRPr="009901FA">
        <w:rPr>
          <w:rStyle w:val="FootnoteReference"/>
        </w:rPr>
        <w:footnoteReference w:id="56"/>
      </w:r>
      <w:r w:rsidR="003C5187" w:rsidRPr="009901FA">
        <w:t>. Methanol-powered vessels are already in use, signalling traction. E-methane may play a smaller role, especially where LNG infrastructure is retained. In chemicals and plastics, e-methanol and e-ethanol offer fossil-free feedstocks. E-methanol could meet ~36% of high-value chemical demand, while ethanol-based derivatives (e.g. PET) may cover ~3% of 2050 needs</w:t>
      </w:r>
      <w:r w:rsidR="008B0DD9" w:rsidRPr="009901FA">
        <w:rPr>
          <w:rStyle w:val="FootnoteReference"/>
        </w:rPr>
        <w:footnoteReference w:id="57"/>
      </w:r>
      <w:r w:rsidR="003C5187" w:rsidRPr="009901FA">
        <w:t>. E-methane is expected to have limited use in power and industry, except in countries like Japan, which targets 90% city gas substitution by 2050. Other niche CCU applications—</w:t>
      </w:r>
      <w:r w:rsidR="003C5187" w:rsidRPr="009901FA">
        <w:lastRenderedPageBreak/>
        <w:t>cement, aggregates, and EOR—face constraints from high costs, limited volumes, or lack of standards. Aggregates often lack market value, and CO</w:t>
      </w:r>
      <w:r w:rsidR="003C5187" w:rsidRPr="00A247A6">
        <w:rPr>
          <w:rFonts w:ascii="Cambria Math" w:hAnsi="Cambria Math" w:cs="Cambria Math"/>
        </w:rPr>
        <w:t>₂</w:t>
      </w:r>
      <w:r w:rsidR="003C5187" w:rsidRPr="009901FA">
        <w:t xml:space="preserve"> streams are inconsistent or uncertified.</w:t>
      </w:r>
    </w:p>
    <w:p w14:paraId="4AF0681B" w14:textId="77777777" w:rsidR="00691E3A" w:rsidRPr="009901FA" w:rsidRDefault="00691E3A" w:rsidP="00691E3A">
      <w:pPr>
        <w:pStyle w:val="Heading5"/>
        <w:rPr>
          <w:rFonts w:ascii="Century Gothic" w:eastAsia="MS Gothic" w:hAnsi="Century Gothic" w:cs="Times New Roman"/>
          <w:color w:val="585854"/>
          <w:sz w:val="26"/>
          <w:szCs w:val="24"/>
        </w:rPr>
      </w:pPr>
      <w:r w:rsidRPr="009901FA">
        <w:rPr>
          <w:rFonts w:ascii="Century Gothic" w:eastAsia="MS Gothic" w:hAnsi="Century Gothic" w:cs="Times New Roman"/>
          <w:color w:val="585854"/>
          <w:sz w:val="26"/>
          <w:szCs w:val="24"/>
        </w:rPr>
        <w:t>Barriers and Enablers</w:t>
      </w:r>
    </w:p>
    <w:p w14:paraId="03D6AC3A" w14:textId="77777777" w:rsidR="00691E3A" w:rsidRPr="009901FA" w:rsidRDefault="00691E3A" w:rsidP="00691E3A">
      <w:r w:rsidRPr="009901FA">
        <w:t>Widespread adoption of CCU technologies faces both sector-specific barriers and broader system-level challenges.</w:t>
      </w:r>
    </w:p>
    <w:p w14:paraId="5D99ED6F" w14:textId="77777777" w:rsidR="00691E3A" w:rsidRPr="009901FA" w:rsidRDefault="00691E3A" w:rsidP="00691E3A">
      <w:r w:rsidRPr="009901FA">
        <w:rPr>
          <w:b/>
          <w:bCs/>
        </w:rPr>
        <w:t>Aviation</w:t>
      </w:r>
      <w:r w:rsidRPr="009901FA">
        <w:br/>
        <w:t>e-SAF faces high production costs and strong competition from biofuels, limiting large-scale deployment. Without substantial cost reductions or policy incentives, bio-SAF remains the preferred alternative, slowing the uptake of CCU-based fuels.</w:t>
      </w:r>
    </w:p>
    <w:p w14:paraId="75369649" w14:textId="77777777" w:rsidR="00691E3A" w:rsidRPr="009901FA" w:rsidRDefault="00691E3A" w:rsidP="00691E3A">
      <w:r w:rsidRPr="009901FA">
        <w:rPr>
          <w:b/>
          <w:bCs/>
        </w:rPr>
        <w:t>Shipping</w:t>
      </w:r>
      <w:r w:rsidRPr="009901FA">
        <w:br/>
        <w:t>e-Methanol presents a promising decarbonisation pathway, but higher costs compared to fossil fuels, supply chain constraints, and competition from ammonia and biofuels delay market growth. Although methanol-powered ships are increasing, ensuring affordable, scalable supply remains a key challenge.</w:t>
      </w:r>
    </w:p>
    <w:p w14:paraId="4A305BFD" w14:textId="7DAF86EC" w:rsidR="00691E3A" w:rsidRPr="009901FA" w:rsidRDefault="00691E3A" w:rsidP="00691E3A">
      <w:r w:rsidRPr="009901FA">
        <w:rPr>
          <w:b/>
          <w:bCs/>
        </w:rPr>
        <w:t>Chemicals and Plastics</w:t>
      </w:r>
      <w:r w:rsidRPr="009901FA">
        <w:br/>
        <w:t>e-Methanol and e-ethanol could replace fossil-based feedstocks, but currently lack cost competitiveness. Without strong policy support</w:t>
      </w:r>
      <w:r w:rsidR="00A708B3" w:rsidRPr="009901FA">
        <w:t xml:space="preserve">, </w:t>
      </w:r>
      <w:r w:rsidRPr="009901FA">
        <w:t>such as carbon pricing or incentives for low-carbon chemicals</w:t>
      </w:r>
      <w:r w:rsidR="00A708B3" w:rsidRPr="009901FA">
        <w:t xml:space="preserve">, </w:t>
      </w:r>
      <w:r w:rsidRPr="009901FA">
        <w:t>fossil methanol continues to dominate the market.</w:t>
      </w:r>
    </w:p>
    <w:p w14:paraId="3C45E149" w14:textId="77777777" w:rsidR="00691E3A" w:rsidRPr="009901FA" w:rsidRDefault="00691E3A" w:rsidP="00691E3A">
      <w:r w:rsidRPr="009901FA">
        <w:rPr>
          <w:b/>
          <w:bCs/>
        </w:rPr>
        <w:t>Power and Industry</w:t>
      </w:r>
      <w:r w:rsidRPr="009901FA">
        <w:br/>
        <w:t>e-Methane struggles to compete with lower-cost electrification, making it a less viable large-scale option. Similarly, carbon-based materials like cement and aggregates face high infrastructure costs and limited market potential, constraining their role in CCU deployment.</w:t>
      </w:r>
    </w:p>
    <w:p w14:paraId="43DB046A" w14:textId="6FA07617" w:rsidR="00691E3A" w:rsidRPr="009901FA" w:rsidRDefault="00691E3A" w:rsidP="00691E3A">
      <w:r w:rsidRPr="009901FA">
        <w:rPr>
          <w:b/>
          <w:bCs/>
        </w:rPr>
        <w:t>Across all sectors, scaling CCU technologies will require both cost reduction and strong demand signals from the market.</w:t>
      </w:r>
      <w:r w:rsidRPr="009901FA">
        <w:t xml:space="preserve"> The economic viability of many pathways</w:t>
      </w:r>
      <w:r w:rsidR="00A708B3" w:rsidRPr="009901FA">
        <w:t xml:space="preserve">, </w:t>
      </w:r>
      <w:r w:rsidRPr="009901FA">
        <w:t>particularly hydrogen-based routes</w:t>
      </w:r>
      <w:r w:rsidR="00A708B3" w:rsidRPr="009901FA">
        <w:t xml:space="preserve">, </w:t>
      </w:r>
      <w:r w:rsidRPr="009901FA">
        <w:t>relies on access to low-cost green hydrogen and CO</w:t>
      </w:r>
      <w:r w:rsidRPr="00A247A6">
        <w:rPr>
          <w:rFonts w:ascii="Cambria Math" w:hAnsi="Cambria Math" w:cs="Cambria Math"/>
        </w:rPr>
        <w:t>₂</w:t>
      </w:r>
      <w:r w:rsidRPr="009901FA">
        <w:t>. On the demand side, strong policy support, including blending mandates and carbon pricing, will be essential to create viable markets. While biocatalysis offers a more cost-competitive entry point, its long-term scalability will be limited by the availability of suitable feedstocks.</w:t>
      </w:r>
    </w:p>
    <w:p w14:paraId="2B0A1D74" w14:textId="72BFECBB" w:rsidR="00E37691" w:rsidRPr="009901FA" w:rsidRDefault="005C4C40" w:rsidP="00E37691">
      <w:pPr>
        <w:pStyle w:val="Heading3"/>
      </w:pPr>
      <w:bookmarkStart w:id="78" w:name="_Toc205392460"/>
      <w:bookmarkStart w:id="79" w:name="_Toc205554229"/>
      <w:r>
        <w:t>3.6</w:t>
      </w:r>
      <w:r w:rsidR="00E37691" w:rsidRPr="009901FA">
        <w:t xml:space="preserve"> </w:t>
      </w:r>
      <w:r w:rsidR="00917FCE" w:rsidRPr="009901FA">
        <w:t>A maximum circularity scenario</w:t>
      </w:r>
      <w:bookmarkEnd w:id="78"/>
      <w:bookmarkEnd w:id="79"/>
    </w:p>
    <w:p w14:paraId="4946435C" w14:textId="77777777" w:rsidR="003D7558" w:rsidRPr="009901FA" w:rsidRDefault="003D7558" w:rsidP="003D7558"/>
    <w:p w14:paraId="4FA2B5B5" w14:textId="05E65C6A" w:rsidR="00512ECA" w:rsidRPr="009901FA" w:rsidRDefault="00512ECA" w:rsidP="008D2DFD">
      <w:pPr>
        <w:rPr>
          <w:color w:val="000000" w:themeColor="text1"/>
        </w:rPr>
      </w:pPr>
      <w:r w:rsidRPr="009901FA">
        <w:rPr>
          <w:b/>
          <w:bCs/>
          <w:color w:val="000000" w:themeColor="text1"/>
        </w:rPr>
        <w:fldChar w:fldCharType="begin"/>
      </w:r>
      <w:r w:rsidRPr="009901FA">
        <w:rPr>
          <w:color w:val="000000" w:themeColor="text1"/>
        </w:rPr>
        <w:instrText xml:space="preserve"> REF _Ref203748445 \h </w:instrText>
      </w:r>
      <w:r w:rsidR="00A247A6">
        <w:rPr>
          <w:b/>
          <w:bCs/>
          <w:color w:val="000000" w:themeColor="text1"/>
        </w:rPr>
        <w:instrText xml:space="preserve"> \* MERGEFORMAT </w:instrText>
      </w:r>
      <w:r w:rsidRPr="009901FA">
        <w:rPr>
          <w:b/>
          <w:bCs/>
          <w:color w:val="000000" w:themeColor="text1"/>
        </w:rPr>
      </w:r>
      <w:r w:rsidRPr="009901FA">
        <w:rPr>
          <w:b/>
          <w:bCs/>
          <w:color w:val="000000" w:themeColor="text1"/>
        </w:rPr>
        <w:fldChar w:fldCharType="separate"/>
      </w:r>
      <w:r w:rsidR="00DE378F" w:rsidRPr="009901FA">
        <w:t xml:space="preserve">Exhibit </w:t>
      </w:r>
      <w:r w:rsidR="00E61394">
        <w:rPr>
          <w:noProof/>
        </w:rPr>
        <w:t>3</w:t>
      </w:r>
      <w:r w:rsidR="00DE378F" w:rsidRPr="009901FA">
        <w:t>.</w:t>
      </w:r>
      <w:r w:rsidR="00DE378F" w:rsidRPr="009901FA">
        <w:rPr>
          <w:noProof/>
        </w:rPr>
        <w:t>21</w:t>
      </w:r>
      <w:r w:rsidRPr="009901FA">
        <w:rPr>
          <w:b/>
          <w:bCs/>
          <w:color w:val="000000" w:themeColor="text1"/>
        </w:rPr>
        <w:fldChar w:fldCharType="end"/>
      </w:r>
      <w:r w:rsidRPr="009901FA">
        <w:rPr>
          <w:b/>
          <w:bCs/>
          <w:color w:val="000000" w:themeColor="text1"/>
        </w:rPr>
        <w:t xml:space="preserve"> </w:t>
      </w:r>
      <w:r w:rsidRPr="009901FA">
        <w:rPr>
          <w:color w:val="000000" w:themeColor="text1"/>
        </w:rPr>
        <w:t>illustrates the maximum potential reduction in primary carbon demand achievable through circular economy strategies, as previously discussed.</w:t>
      </w:r>
    </w:p>
    <w:p w14:paraId="048D0690" w14:textId="2420E788" w:rsidR="008D2DFD" w:rsidRPr="009901FA" w:rsidRDefault="002C2B3F" w:rsidP="008D2DFD">
      <w:pPr>
        <w:rPr>
          <w:color w:val="000000" w:themeColor="text1"/>
        </w:rPr>
      </w:pPr>
      <w:r w:rsidRPr="009901FA">
        <w:rPr>
          <w:color w:val="000000" w:themeColor="text1"/>
        </w:rPr>
        <w:t>The analysis suggests that primary carbon demand could be reduced from 4.9 Gt</w:t>
      </w:r>
      <w:r w:rsidR="00BF5387" w:rsidRPr="009901FA">
        <w:rPr>
          <w:color w:val="000000" w:themeColor="text1"/>
        </w:rPr>
        <w:t xml:space="preserve"> (</w:t>
      </w:r>
      <w:r w:rsidR="007E0E85">
        <w:rPr>
          <w:color w:val="000000" w:themeColor="text1"/>
        </w:rPr>
        <w:t>adjusting</w:t>
      </w:r>
      <w:r w:rsidR="00984D95">
        <w:rPr>
          <w:color w:val="000000" w:themeColor="text1"/>
        </w:rPr>
        <w:t xml:space="preserve"> for circularity levers already applied to the ACF scenario of ~0.2 Gt) </w:t>
      </w:r>
      <w:r w:rsidRPr="009901FA">
        <w:rPr>
          <w:color w:val="000000" w:themeColor="text1"/>
        </w:rPr>
        <w:t>to 3.4 Gt, through a combination of the following levers:</w:t>
      </w:r>
    </w:p>
    <w:p w14:paraId="3141671B" w14:textId="2EAC902F" w:rsidR="008D2DFD" w:rsidRPr="009901FA" w:rsidRDefault="008D2DFD" w:rsidP="005F2502">
      <w:pPr>
        <w:pStyle w:val="ListParagraph"/>
        <w:numPr>
          <w:ilvl w:val="0"/>
          <w:numId w:val="49"/>
        </w:numPr>
      </w:pPr>
      <w:r w:rsidRPr="009901FA">
        <w:lastRenderedPageBreak/>
        <w:t xml:space="preserve">Demand reduction through elimination, reuse and substitution which could reduce demands related to material use by </w:t>
      </w:r>
      <w:r w:rsidR="00A93E52" w:rsidRPr="009901FA">
        <w:t xml:space="preserve">~140 </w:t>
      </w:r>
      <w:r w:rsidRPr="009901FA">
        <w:t>m</w:t>
      </w:r>
      <w:r w:rsidR="00B25421" w:rsidRPr="009901FA">
        <w:t>illion</w:t>
      </w:r>
      <w:r w:rsidRPr="009901FA">
        <w:t xml:space="preserve"> tonnes and energy demands 120</w:t>
      </w:r>
      <w:r w:rsidR="00B25421" w:rsidRPr="009901FA">
        <w:t xml:space="preserve"> million tonnes</w:t>
      </w:r>
      <w:r w:rsidR="00B41832">
        <w:t>. Substitution includes shifting from plastic to paper</w:t>
      </w:r>
      <w:r w:rsidR="00992B21">
        <w:t xml:space="preserve"> in packaging, which can reduce overall primary demand</w:t>
      </w:r>
      <w:r w:rsidR="00206A3E">
        <w:t>.</w:t>
      </w:r>
    </w:p>
    <w:p w14:paraId="3BFD17E8" w14:textId="012DF68C" w:rsidR="008D2DFD" w:rsidRPr="009901FA" w:rsidRDefault="008D2DFD" w:rsidP="005F2502">
      <w:pPr>
        <w:pStyle w:val="ListParagraph"/>
        <w:numPr>
          <w:ilvl w:val="0"/>
          <w:numId w:val="49"/>
        </w:numPr>
        <w:rPr>
          <w:color w:val="000000" w:themeColor="text1"/>
        </w:rPr>
      </w:pPr>
      <w:r w:rsidRPr="009901FA">
        <w:rPr>
          <w:color w:val="000000" w:themeColor="text1"/>
        </w:rPr>
        <w:t>Recycling of plastics enabled by improved citation which in total could cut primary carbon demand by around 420</w:t>
      </w:r>
      <w:r w:rsidR="006723B2" w:rsidRPr="009901FA">
        <w:rPr>
          <w:color w:val="000000" w:themeColor="text1"/>
        </w:rPr>
        <w:t xml:space="preserve"> </w:t>
      </w:r>
      <w:r w:rsidRPr="009901FA">
        <w:rPr>
          <w:color w:val="000000" w:themeColor="text1"/>
        </w:rPr>
        <w:t>m</w:t>
      </w:r>
      <w:r w:rsidR="006723B2" w:rsidRPr="009901FA">
        <w:rPr>
          <w:color w:val="000000" w:themeColor="text1"/>
        </w:rPr>
        <w:t>illion</w:t>
      </w:r>
      <w:r w:rsidRPr="009901FA">
        <w:rPr>
          <w:color w:val="000000" w:themeColor="text1"/>
        </w:rPr>
        <w:t xml:space="preserve"> tonnes</w:t>
      </w:r>
      <w:r w:rsidR="006723B2" w:rsidRPr="009901FA">
        <w:rPr>
          <w:color w:val="000000" w:themeColor="text1"/>
        </w:rPr>
        <w:t xml:space="preserve">. </w:t>
      </w:r>
      <w:r w:rsidRPr="009901FA">
        <w:rPr>
          <w:color w:val="000000" w:themeColor="text1"/>
        </w:rPr>
        <w:t>Mechanical recycling</w:t>
      </w:r>
      <w:r w:rsidR="00B477C9" w:rsidRPr="009901FA">
        <w:rPr>
          <w:color w:val="000000" w:themeColor="text1"/>
        </w:rPr>
        <w:t xml:space="preserve"> (including plastic</w:t>
      </w:r>
      <w:r w:rsidR="007066A8" w:rsidRPr="009901FA">
        <w:rPr>
          <w:color w:val="000000" w:themeColor="text1"/>
        </w:rPr>
        <w:t>, but also</w:t>
      </w:r>
      <w:r w:rsidR="00B477C9" w:rsidRPr="009901FA">
        <w:rPr>
          <w:color w:val="000000" w:themeColor="text1"/>
        </w:rPr>
        <w:t xml:space="preserve"> </w:t>
      </w:r>
      <w:r w:rsidR="00857624" w:rsidRPr="009901FA">
        <w:rPr>
          <w:color w:val="000000" w:themeColor="text1"/>
        </w:rPr>
        <w:t xml:space="preserve">wood, pulp and paper, which have relatively high recycling rates today) </w:t>
      </w:r>
      <w:r w:rsidRPr="009901FA">
        <w:rPr>
          <w:color w:val="000000" w:themeColor="text1"/>
        </w:rPr>
        <w:t>accounts for around 90% of this reduction, and will reduce both material demands and energy demands: chemical recycling</w:t>
      </w:r>
      <w:r w:rsidR="00A93E52" w:rsidRPr="009901FA">
        <w:rPr>
          <w:color w:val="000000" w:themeColor="text1"/>
        </w:rPr>
        <w:t xml:space="preserve"> </w:t>
      </w:r>
      <w:r w:rsidRPr="009901FA">
        <w:rPr>
          <w:color w:val="000000" w:themeColor="text1"/>
        </w:rPr>
        <w:t>will reduce material demands but not energy demands</w:t>
      </w:r>
      <w:r w:rsidR="00196FE8" w:rsidRPr="009901FA">
        <w:rPr>
          <w:color w:val="000000" w:themeColor="text1"/>
        </w:rPr>
        <w:t xml:space="preserve"> are not reduced, as </w:t>
      </w:r>
      <w:r w:rsidR="00655397" w:rsidRPr="009901FA">
        <w:rPr>
          <w:color w:val="000000" w:themeColor="text1"/>
        </w:rPr>
        <w:t xml:space="preserve">no material differences are made from a </w:t>
      </w:r>
      <w:r w:rsidR="00296C27" w:rsidRPr="009901FA">
        <w:rPr>
          <w:color w:val="000000" w:themeColor="text1"/>
        </w:rPr>
        <w:t>primary production route.</w:t>
      </w:r>
    </w:p>
    <w:p w14:paraId="2844DA4A" w14:textId="0789A889" w:rsidR="008D2DFD" w:rsidRPr="009901FA" w:rsidRDefault="008D2DFD" w:rsidP="008D2DFD">
      <w:pPr>
        <w:pStyle w:val="ListParagraph"/>
        <w:numPr>
          <w:ilvl w:val="0"/>
          <w:numId w:val="49"/>
        </w:numPr>
        <w:rPr>
          <w:color w:val="000000" w:themeColor="text1"/>
        </w:rPr>
      </w:pPr>
      <w:r w:rsidRPr="009901FA">
        <w:rPr>
          <w:color w:val="000000" w:themeColor="text1"/>
        </w:rPr>
        <w:t>Various forms of CCU which could reduce primary carbon to meet energy demands by 490</w:t>
      </w:r>
      <w:r w:rsidR="006723B2" w:rsidRPr="009901FA">
        <w:rPr>
          <w:color w:val="000000" w:themeColor="text1"/>
        </w:rPr>
        <w:t xml:space="preserve"> </w:t>
      </w:r>
      <w:r w:rsidRPr="009901FA">
        <w:rPr>
          <w:color w:val="000000" w:themeColor="text1"/>
        </w:rPr>
        <w:t>m</w:t>
      </w:r>
      <w:r w:rsidR="006723B2" w:rsidRPr="009901FA">
        <w:rPr>
          <w:color w:val="000000" w:themeColor="text1"/>
        </w:rPr>
        <w:t>illion</w:t>
      </w:r>
      <w:r w:rsidRPr="009901FA">
        <w:rPr>
          <w:color w:val="000000" w:themeColor="text1"/>
        </w:rPr>
        <w:t xml:space="preserve"> tonnes </w:t>
      </w:r>
    </w:p>
    <w:p w14:paraId="74771F6C" w14:textId="7352CA64" w:rsidR="008D2DFD" w:rsidRPr="009901FA" w:rsidRDefault="008D2DFD" w:rsidP="008D2DFD">
      <w:pPr>
        <w:rPr>
          <w:color w:val="000000" w:themeColor="text1"/>
        </w:rPr>
      </w:pPr>
      <w:r w:rsidRPr="009901FA">
        <w:rPr>
          <w:color w:val="000000" w:themeColor="text1"/>
        </w:rPr>
        <w:t>In total, this would amount to a 30% reduction in primary carbon demand. However this is a maximum potential scenario which could only be achieved in practice with very strong supporting policies.</w:t>
      </w:r>
    </w:p>
    <w:p w14:paraId="18FD6A92" w14:textId="77777777" w:rsidR="008D2DFD" w:rsidRPr="009901FA" w:rsidRDefault="008D2DFD" w:rsidP="008D2DFD">
      <w:pPr>
        <w:rPr>
          <w:color w:val="000000" w:themeColor="text1"/>
        </w:rPr>
      </w:pPr>
      <w:r w:rsidRPr="009901FA">
        <w:rPr>
          <w:color w:val="000000" w:themeColor="text1"/>
        </w:rPr>
        <w:t>In the case of demand reductions and recycling these would need to involve</w:t>
      </w:r>
    </w:p>
    <w:p w14:paraId="4CEE3217" w14:textId="77777777" w:rsidR="008D2DFD" w:rsidRPr="009901FA" w:rsidRDefault="008D2DFD" w:rsidP="005F2502">
      <w:pPr>
        <w:pStyle w:val="ListParagraph"/>
        <w:numPr>
          <w:ilvl w:val="0"/>
          <w:numId w:val="50"/>
        </w:numPr>
        <w:rPr>
          <w:color w:val="000000" w:themeColor="text1"/>
        </w:rPr>
      </w:pPr>
      <w:r w:rsidRPr="009901FA">
        <w:rPr>
          <w:color w:val="000000" w:themeColor="text1"/>
        </w:rPr>
        <w:t>Policies to require/encourage producers to eliminate unnecessary plastic packaging and facilitate reuse</w:t>
      </w:r>
    </w:p>
    <w:p w14:paraId="69046808" w14:textId="77777777" w:rsidR="008D2DFD" w:rsidRPr="009901FA" w:rsidRDefault="008D2DFD" w:rsidP="005F2502">
      <w:pPr>
        <w:pStyle w:val="ListParagraph"/>
        <w:numPr>
          <w:ilvl w:val="0"/>
          <w:numId w:val="50"/>
        </w:numPr>
        <w:rPr>
          <w:color w:val="000000" w:themeColor="text1"/>
        </w:rPr>
      </w:pPr>
      <w:r w:rsidRPr="009901FA">
        <w:rPr>
          <w:color w:val="000000" w:themeColor="text1"/>
        </w:rPr>
        <w:t xml:space="preserve">Regulations to require/encourage improved sortation </w:t>
      </w:r>
    </w:p>
    <w:p w14:paraId="54EA16CC" w14:textId="6231441D" w:rsidR="008D2DFD" w:rsidRPr="009901FA" w:rsidRDefault="008D2DFD" w:rsidP="008D2DFD">
      <w:pPr>
        <w:pStyle w:val="ListParagraph"/>
        <w:numPr>
          <w:ilvl w:val="0"/>
          <w:numId w:val="50"/>
        </w:numPr>
        <w:rPr>
          <w:color w:val="000000" w:themeColor="text1"/>
        </w:rPr>
      </w:pPr>
      <w:r w:rsidRPr="009901FA">
        <w:rPr>
          <w:color w:val="000000" w:themeColor="text1"/>
        </w:rPr>
        <w:t>Policies to reduce the role of end of life incineration,  including via carbon pricing and regulatory constraints.</w:t>
      </w:r>
    </w:p>
    <w:p w14:paraId="5307EAC7" w14:textId="3F0D1257" w:rsidR="008D2DFD" w:rsidRPr="009901FA" w:rsidRDefault="008D2DFD" w:rsidP="008D2DFD">
      <w:pPr>
        <w:rPr>
          <w:color w:val="000000" w:themeColor="text1"/>
        </w:rPr>
      </w:pPr>
      <w:r w:rsidRPr="009901FA">
        <w:rPr>
          <w:color w:val="000000" w:themeColor="text1"/>
        </w:rPr>
        <w:t xml:space="preserve">In the case of CCU, it would require blending mandates and carbon pricing, together with cost reduction achieved through scale, technological </w:t>
      </w:r>
      <w:r w:rsidR="00F015DF" w:rsidRPr="009901FA">
        <w:rPr>
          <w:color w:val="000000" w:themeColor="text1"/>
        </w:rPr>
        <w:t>progress</w:t>
      </w:r>
      <w:r w:rsidRPr="009901FA">
        <w:rPr>
          <w:color w:val="000000" w:themeColor="text1"/>
        </w:rPr>
        <w:t xml:space="preserve"> and the development of low cost hydrogen supply.</w:t>
      </w:r>
    </w:p>
    <w:p w14:paraId="71C6B3F9" w14:textId="0A0AF8EB" w:rsidR="008D2DFD" w:rsidRPr="009901FA" w:rsidRDefault="008D2DFD" w:rsidP="008D2DFD">
      <w:pPr>
        <w:rPr>
          <w:color w:val="000000" w:themeColor="text1"/>
        </w:rPr>
      </w:pPr>
      <w:r w:rsidRPr="009901FA">
        <w:rPr>
          <w:color w:val="000000" w:themeColor="text1"/>
        </w:rPr>
        <w:t xml:space="preserve">The optimal extent of demand reduction and circularity actually achieved will depend on the relative cost of options considered in this chapter </w:t>
      </w:r>
      <w:r w:rsidR="00F015DF" w:rsidRPr="009901FA">
        <w:rPr>
          <w:color w:val="000000" w:themeColor="text1"/>
        </w:rPr>
        <w:t>versus</w:t>
      </w:r>
      <w:r w:rsidRPr="009901FA">
        <w:rPr>
          <w:color w:val="000000" w:themeColor="text1"/>
        </w:rPr>
        <w:t xml:space="preserve"> the costs of sustainable primary carbon  supply – which are considered in Chapter </w:t>
      </w:r>
      <w:r w:rsidR="00D10538">
        <w:rPr>
          <w:color w:val="000000" w:themeColor="text1"/>
        </w:rPr>
        <w:t>4</w:t>
      </w:r>
      <w:r w:rsidRPr="009901FA">
        <w:rPr>
          <w:color w:val="000000" w:themeColor="text1"/>
        </w:rPr>
        <w:t>.</w:t>
      </w:r>
    </w:p>
    <w:p w14:paraId="0834A30B" w14:textId="317414E9" w:rsidR="008D2DFD" w:rsidRPr="009901FA" w:rsidRDefault="008D2DFD" w:rsidP="008D2DFD">
      <w:pPr>
        <w:rPr>
          <w:color w:val="000000" w:themeColor="text1"/>
        </w:rPr>
      </w:pPr>
      <w:r w:rsidRPr="009901FA">
        <w:rPr>
          <w:color w:val="000000" w:themeColor="text1"/>
        </w:rPr>
        <w:t>This balance cannot and does not need to be specified precisely in advance. But the analysis in this chapter shows that</w:t>
      </w:r>
    </w:p>
    <w:p w14:paraId="665FA227" w14:textId="77777777" w:rsidR="008D2DFD" w:rsidRPr="009901FA" w:rsidRDefault="008D2DFD" w:rsidP="005F2502">
      <w:pPr>
        <w:pStyle w:val="ListParagraph"/>
        <w:numPr>
          <w:ilvl w:val="0"/>
          <w:numId w:val="51"/>
        </w:numPr>
        <w:rPr>
          <w:color w:val="000000" w:themeColor="text1"/>
        </w:rPr>
      </w:pPr>
      <w:r w:rsidRPr="009901FA">
        <w:rPr>
          <w:color w:val="000000" w:themeColor="text1"/>
        </w:rPr>
        <w:t>There is a very significant maximum potential for reuse and recycling – a 30% reduction. This indicates the potential prize if well designed policies plus technology developments can enable cost-effective implementation.</w:t>
      </w:r>
    </w:p>
    <w:p w14:paraId="7DDCA51B" w14:textId="77777777" w:rsidR="008D2DFD" w:rsidRPr="009901FA" w:rsidRDefault="008D2DFD" w:rsidP="005F2502">
      <w:pPr>
        <w:pStyle w:val="ListParagraph"/>
        <w:numPr>
          <w:ilvl w:val="0"/>
          <w:numId w:val="51"/>
        </w:numPr>
        <w:rPr>
          <w:color w:val="000000" w:themeColor="text1"/>
        </w:rPr>
      </w:pPr>
      <w:r w:rsidRPr="009901FA">
        <w:rPr>
          <w:color w:val="000000" w:themeColor="text1"/>
        </w:rPr>
        <w:t>Even this maximum potential reduction would leave a need for 3.4 Gt of sustainable primary carbon supply.</w:t>
      </w:r>
    </w:p>
    <w:p w14:paraId="534870DC" w14:textId="0D401268" w:rsidR="009C5A5E" w:rsidRPr="009901FA" w:rsidRDefault="00985C3A" w:rsidP="00680967">
      <w:pPr>
        <w:keepNext/>
        <w:spacing w:line="240" w:lineRule="atLeast"/>
      </w:pPr>
      <w:r w:rsidRPr="009901FA">
        <w:rPr>
          <w:noProof/>
        </w:rPr>
        <w:lastRenderedPageBreak/>
        <w:t xml:space="preserve"> </w:t>
      </w:r>
      <w:bookmarkStart w:id="80" w:name="_Ref203748445"/>
      <w:r w:rsidR="009C5A5E" w:rsidRPr="009901FA">
        <w:t xml:space="preserve">Exhibit </w:t>
      </w:r>
      <w:r w:rsidR="00E61394">
        <w:t>3</w:t>
      </w:r>
      <w:r w:rsidR="008725B4" w:rsidRPr="009901FA">
        <w:t>.</w:t>
      </w:r>
      <w:fldSimple w:instr=" SEQ Exhibit \* ARABIC \s 2 ">
        <w:r w:rsidR="00DE378F" w:rsidRPr="009901FA">
          <w:rPr>
            <w:noProof/>
          </w:rPr>
          <w:t>21</w:t>
        </w:r>
      </w:fldSimple>
      <w:bookmarkEnd w:id="80"/>
    </w:p>
    <w:p w14:paraId="093411EE" w14:textId="4A36D863" w:rsidR="00E2135D" w:rsidRPr="009901FA" w:rsidRDefault="00EC3D2E" w:rsidP="00E2135D">
      <w:pPr>
        <w:spacing w:line="240" w:lineRule="atLeast"/>
      </w:pPr>
      <w:r w:rsidRPr="009901FA">
        <w:rPr>
          <w:noProof/>
        </w:rPr>
        <w:drawing>
          <wp:inline distT="0" distB="0" distL="0" distR="0" wp14:anchorId="351834C4" wp14:editId="2D1A7FBE">
            <wp:extent cx="6378881" cy="3588444"/>
            <wp:effectExtent l="0" t="0" r="0" b="0"/>
            <wp:docPr id="91479523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795237" name=""/>
                    <pic:cNvPicPr/>
                  </pic:nvPicPr>
                  <pic:blipFill>
                    <a:blip r:embed="rId76">
                      <a:extLst>
                        <a:ext uri="{96DAC541-7B7A-43D3-8B79-37D633B846F1}">
                          <asvg:svgBlip xmlns:asvg="http://schemas.microsoft.com/office/drawing/2016/SVG/main" r:embed="rId77"/>
                        </a:ext>
                      </a:extLst>
                    </a:blip>
                    <a:stretch>
                      <a:fillRect/>
                    </a:stretch>
                  </pic:blipFill>
                  <pic:spPr>
                    <a:xfrm>
                      <a:off x="0" y="0"/>
                      <a:ext cx="6383422" cy="3590999"/>
                    </a:xfrm>
                    <a:prstGeom prst="rect">
                      <a:avLst/>
                    </a:prstGeom>
                  </pic:spPr>
                </pic:pic>
              </a:graphicData>
            </a:graphic>
          </wp:inline>
        </w:drawing>
      </w:r>
    </w:p>
    <w:p w14:paraId="09E76EF1" w14:textId="30ACEDC5" w:rsidR="00045B06" w:rsidRPr="000E0EB1" w:rsidRDefault="00045B06" w:rsidP="00734D3B">
      <w:pPr>
        <w:pStyle w:val="Heading2"/>
        <w:numPr>
          <w:ilvl w:val="0"/>
          <w:numId w:val="6"/>
        </w:numPr>
        <w:spacing w:before="60" w:line="259" w:lineRule="auto"/>
        <w:ind w:left="907" w:hanging="510"/>
        <w:rPr>
          <w:b/>
          <w:bCs/>
          <w:smallCaps/>
          <w:color w:val="00146D" w:themeColor="text2"/>
          <w:szCs w:val="40"/>
        </w:rPr>
      </w:pPr>
      <w:bookmarkStart w:id="81" w:name="_Toc205392461"/>
      <w:bookmarkStart w:id="82" w:name="_Toc205554230"/>
      <w:r w:rsidRPr="000E0EB1">
        <w:rPr>
          <w:b/>
          <w:bCs/>
          <w:smallCaps/>
          <w:color w:val="00146D" w:themeColor="text2"/>
          <w:szCs w:val="40"/>
        </w:rPr>
        <w:t>Sustainable sourcing of primary carbon</w:t>
      </w:r>
      <w:bookmarkEnd w:id="81"/>
      <w:bookmarkEnd w:id="82"/>
    </w:p>
    <w:p w14:paraId="2C6CF28B" w14:textId="4D073767" w:rsidR="006675F6" w:rsidRPr="009901FA" w:rsidRDefault="006675F6" w:rsidP="006675F6">
      <w:pPr>
        <w:rPr>
          <w:color w:val="000000" w:themeColor="text1"/>
        </w:rPr>
      </w:pPr>
      <w:r w:rsidRPr="009901FA">
        <w:rPr>
          <w:color w:val="000000" w:themeColor="text1"/>
        </w:rPr>
        <w:t>Primary carbon supplies could be sourced from the atmosphere, the ocean, the biomass or the ground (</w:t>
      </w:r>
      <w:r w:rsidR="005F7850" w:rsidRPr="009901FA">
        <w:rPr>
          <w:color w:val="000000" w:themeColor="text1"/>
        </w:rPr>
        <w:fldChar w:fldCharType="begin"/>
      </w:r>
      <w:r w:rsidR="005F7850" w:rsidRPr="009901FA">
        <w:rPr>
          <w:color w:val="000000" w:themeColor="text1"/>
        </w:rPr>
        <w:instrText xml:space="preserve"> REF _Ref205390243 \h </w:instrText>
      </w:r>
      <w:r w:rsidR="00A247A6">
        <w:rPr>
          <w:color w:val="000000" w:themeColor="text1"/>
        </w:rPr>
        <w:instrText xml:space="preserve"> \* MERGEFORMAT </w:instrText>
      </w:r>
      <w:r w:rsidR="005F7850" w:rsidRPr="009901FA">
        <w:rPr>
          <w:color w:val="000000" w:themeColor="text1"/>
        </w:rPr>
      </w:r>
      <w:r w:rsidR="005F7850" w:rsidRPr="009901FA">
        <w:rPr>
          <w:color w:val="000000" w:themeColor="text1"/>
        </w:rPr>
        <w:fldChar w:fldCharType="separate"/>
      </w:r>
      <w:r w:rsidR="00DE378F" w:rsidRPr="009901FA">
        <w:t xml:space="preserve">Exhibit </w:t>
      </w:r>
      <w:r w:rsidR="00E61394">
        <w:rPr>
          <w:noProof/>
        </w:rPr>
        <w:t>4</w:t>
      </w:r>
      <w:r w:rsidR="00DE378F" w:rsidRPr="009901FA">
        <w:t>.</w:t>
      </w:r>
      <w:r w:rsidR="00DE378F" w:rsidRPr="009901FA">
        <w:rPr>
          <w:noProof/>
        </w:rPr>
        <w:t>1</w:t>
      </w:r>
      <w:r w:rsidR="005F7850" w:rsidRPr="009901FA">
        <w:rPr>
          <w:color w:val="000000" w:themeColor="text1"/>
        </w:rPr>
        <w:fldChar w:fldCharType="end"/>
      </w:r>
      <w:r w:rsidRPr="009901FA">
        <w:rPr>
          <w:color w:val="000000" w:themeColor="text1"/>
        </w:rPr>
        <w:t>). The challenges of ensuring sustainability differ by source.</w:t>
      </w:r>
    </w:p>
    <w:p w14:paraId="6AA18826" w14:textId="3632C670" w:rsidR="006675F6" w:rsidRPr="009901FA" w:rsidRDefault="006675F6" w:rsidP="005F2502">
      <w:pPr>
        <w:pStyle w:val="ListParagraph"/>
        <w:numPr>
          <w:ilvl w:val="0"/>
          <w:numId w:val="52"/>
        </w:numPr>
      </w:pPr>
      <w:r w:rsidRPr="009901FA">
        <w:t>Sourcing carbon from the atmosphere or the ocean directly or indirectly reduces greenhouse gas concentrations and can be inherently sustainable. The key issues relate to cost-effectiveness.</w:t>
      </w:r>
    </w:p>
    <w:p w14:paraId="51F108D9" w14:textId="77777777" w:rsidR="006675F6" w:rsidRPr="009901FA" w:rsidRDefault="006675F6" w:rsidP="005F2502">
      <w:pPr>
        <w:pStyle w:val="ListParagraph"/>
        <w:numPr>
          <w:ilvl w:val="0"/>
          <w:numId w:val="52"/>
        </w:numPr>
      </w:pPr>
      <w:r w:rsidRPr="009901FA">
        <w:t>Biomass sources can be sustainable if the bio resource is extracted in ways that limit harmful land use change, protect biodiversity, and maintain carbon stocks.</w:t>
      </w:r>
    </w:p>
    <w:p w14:paraId="26ED4E04" w14:textId="6C4FFA52" w:rsidR="006675F6" w:rsidRPr="009901FA" w:rsidRDefault="006675F6" w:rsidP="005F2502">
      <w:pPr>
        <w:pStyle w:val="ListParagraph"/>
        <w:numPr>
          <w:ilvl w:val="0"/>
          <w:numId w:val="52"/>
        </w:numPr>
      </w:pPr>
      <w:r w:rsidRPr="009901FA">
        <w:t>Using fossil for carbon from the ground is only sustainable if there is some combination of (i) capture and storage of any CO2 produced in combustion  (ii) safe and clean in ground storage of solid products at end of life (iii)  carbon removals elsewhere in the economy to offset any residual emissions.</w:t>
      </w:r>
    </w:p>
    <w:p w14:paraId="0F242C89" w14:textId="1DCF0C2B" w:rsidR="004C6643" w:rsidRPr="009901FA" w:rsidRDefault="004C6643" w:rsidP="004C6643">
      <w:r w:rsidRPr="009901FA">
        <w:t>This Chapter therefore considers</w:t>
      </w:r>
    </w:p>
    <w:p w14:paraId="79CD3525" w14:textId="77777777" w:rsidR="004C6643" w:rsidRPr="009901FA" w:rsidRDefault="004C6643" w:rsidP="005F2502">
      <w:pPr>
        <w:pStyle w:val="ListParagraph"/>
        <w:numPr>
          <w:ilvl w:val="0"/>
          <w:numId w:val="53"/>
        </w:numPr>
      </w:pPr>
      <w:r w:rsidRPr="009901FA">
        <w:t xml:space="preserve">Technologies for capturing carbon, including </w:t>
      </w:r>
    </w:p>
    <w:p w14:paraId="507CC12E" w14:textId="67498C1D" w:rsidR="004C6643" w:rsidRPr="009901FA" w:rsidRDefault="004C6643" w:rsidP="005F2502">
      <w:pPr>
        <w:pStyle w:val="ListParagraph"/>
        <w:numPr>
          <w:ilvl w:val="1"/>
          <w:numId w:val="53"/>
        </w:numPr>
      </w:pPr>
      <w:r w:rsidRPr="009901FA">
        <w:t>Direct capture from the atmosphere or the ocean.</w:t>
      </w:r>
    </w:p>
    <w:p w14:paraId="5D0BDB8C" w14:textId="77777777" w:rsidR="004C6643" w:rsidRPr="009901FA" w:rsidRDefault="004C6643" w:rsidP="005F2502">
      <w:pPr>
        <w:pStyle w:val="ListParagraph"/>
        <w:numPr>
          <w:ilvl w:val="1"/>
          <w:numId w:val="53"/>
        </w:numPr>
      </w:pPr>
      <w:r w:rsidRPr="009901FA">
        <w:t>Point source carbon capture at the end of industrial processes</w:t>
      </w:r>
    </w:p>
    <w:p w14:paraId="2AF281E5" w14:textId="77777777" w:rsidR="004C6643" w:rsidRPr="009901FA" w:rsidRDefault="004C6643" w:rsidP="00F84AA0">
      <w:pPr>
        <w:pStyle w:val="ListParagraph"/>
        <w:ind w:left="1440"/>
      </w:pPr>
    </w:p>
    <w:p w14:paraId="346E0795" w14:textId="77777777" w:rsidR="004C6643" w:rsidRPr="009901FA" w:rsidRDefault="004C6643" w:rsidP="005F2502">
      <w:pPr>
        <w:pStyle w:val="ListParagraph"/>
        <w:numPr>
          <w:ilvl w:val="0"/>
          <w:numId w:val="53"/>
        </w:numPr>
      </w:pPr>
      <w:r w:rsidRPr="009901FA">
        <w:t>Biomass related technologies including</w:t>
      </w:r>
    </w:p>
    <w:p w14:paraId="7C25AD5A" w14:textId="77777777" w:rsidR="004C6643" w:rsidRPr="009901FA" w:rsidRDefault="004C6643" w:rsidP="005F2502">
      <w:pPr>
        <w:pStyle w:val="ListParagraph"/>
        <w:numPr>
          <w:ilvl w:val="1"/>
          <w:numId w:val="53"/>
        </w:numPr>
      </w:pPr>
      <w:r w:rsidRPr="009901FA">
        <w:t>Technologies to extract more biomass sustainably from land not currently devoted to food production</w:t>
      </w:r>
    </w:p>
    <w:p w14:paraId="4C7847D0" w14:textId="77777777" w:rsidR="004C6643" w:rsidRPr="009901FA" w:rsidRDefault="004C6643" w:rsidP="005F2502">
      <w:pPr>
        <w:pStyle w:val="ListParagraph"/>
        <w:numPr>
          <w:ilvl w:val="1"/>
          <w:numId w:val="53"/>
        </w:numPr>
      </w:pPr>
      <w:r w:rsidRPr="009901FA">
        <w:lastRenderedPageBreak/>
        <w:t>New technologies such as alternative proteins which could reduce the need for land for food production</w:t>
      </w:r>
    </w:p>
    <w:p w14:paraId="3D67C29D" w14:textId="77777777" w:rsidR="004C6643" w:rsidRPr="009901FA" w:rsidRDefault="004C6643" w:rsidP="005F2502">
      <w:pPr>
        <w:pStyle w:val="ListParagraph"/>
        <w:numPr>
          <w:ilvl w:val="1"/>
          <w:numId w:val="53"/>
        </w:numPr>
      </w:pPr>
      <w:r w:rsidRPr="009901FA">
        <w:t>Potential new sources of biomass – macro and microalgae</w:t>
      </w:r>
    </w:p>
    <w:p w14:paraId="50A1E8E3" w14:textId="77777777" w:rsidR="004C6643" w:rsidRPr="009901FA" w:rsidRDefault="004C6643" w:rsidP="005F2502">
      <w:pPr>
        <w:pStyle w:val="ListParagraph"/>
        <w:numPr>
          <w:ilvl w:val="1"/>
          <w:numId w:val="53"/>
        </w:numPr>
      </w:pPr>
      <w:r w:rsidRPr="009901FA">
        <w:t>Technologies to improve biomass conversion efficiency.</w:t>
      </w:r>
    </w:p>
    <w:p w14:paraId="6E701CDC" w14:textId="77777777" w:rsidR="004C6643" w:rsidRPr="009901FA" w:rsidRDefault="004C6643" w:rsidP="00F84AA0">
      <w:pPr>
        <w:pStyle w:val="ListParagraph"/>
        <w:ind w:left="1440"/>
      </w:pPr>
    </w:p>
    <w:p w14:paraId="2BB417E5" w14:textId="0B063324" w:rsidR="004C6643" w:rsidRPr="009901FA" w:rsidRDefault="004C6643" w:rsidP="005F2502">
      <w:pPr>
        <w:pStyle w:val="ListParagraph"/>
        <w:numPr>
          <w:ilvl w:val="0"/>
          <w:numId w:val="53"/>
        </w:numPr>
      </w:pPr>
      <w:r w:rsidRPr="009901FA">
        <w:t>Conclusions on the possible and optimal balance between different sources of sustainable carbon supply.</w:t>
      </w:r>
    </w:p>
    <w:p w14:paraId="701566DD" w14:textId="1A22548B" w:rsidR="002C573C" w:rsidRPr="009901FA" w:rsidRDefault="004C6643" w:rsidP="00405A38">
      <w:r w:rsidRPr="009901FA">
        <w:t xml:space="preserve">Chapter </w:t>
      </w:r>
      <w:r w:rsidR="00D10538">
        <w:t>5</w:t>
      </w:r>
      <w:r w:rsidRPr="009901FA">
        <w:t xml:space="preserve"> considers the storage technologies which will also be required to ensure that any use of fossil carbon is compatible with achieving net zero emissions.</w:t>
      </w:r>
    </w:p>
    <w:p w14:paraId="01C23AA6" w14:textId="7EC8E606" w:rsidR="00271C3A" w:rsidRPr="009901FA" w:rsidRDefault="00271C3A" w:rsidP="00271C3A">
      <w:pPr>
        <w:pStyle w:val="Caption"/>
        <w:keepNext/>
      </w:pPr>
      <w:bookmarkStart w:id="83" w:name="_Ref205390243"/>
      <w:r w:rsidRPr="009901FA">
        <w:t xml:space="preserve">Exhibit </w:t>
      </w:r>
      <w:r w:rsidR="00E61394">
        <w:t>4</w:t>
      </w:r>
      <w:r w:rsidR="008725B4" w:rsidRPr="009901FA">
        <w:t>.</w:t>
      </w:r>
      <w:fldSimple w:instr=" SEQ Exhibit \* ARABIC \s 2 ">
        <w:r w:rsidR="00DE378F" w:rsidRPr="009901FA">
          <w:rPr>
            <w:noProof/>
          </w:rPr>
          <w:t>1</w:t>
        </w:r>
      </w:fldSimple>
      <w:bookmarkEnd w:id="83"/>
      <w:r w:rsidR="00816725" w:rsidRPr="009901FA">
        <w:t xml:space="preserve">: </w:t>
      </w:r>
    </w:p>
    <w:p w14:paraId="45A16E07" w14:textId="11CC13D5" w:rsidR="00405A38" w:rsidRPr="009901FA" w:rsidRDefault="00FA7548" w:rsidP="00405A38">
      <w:r>
        <w:rPr>
          <w:noProof/>
        </w:rPr>
        <w:drawing>
          <wp:inline distT="0" distB="0" distL="0" distR="0" wp14:anchorId="15217717" wp14:editId="6B1007A0">
            <wp:extent cx="6263640" cy="3426460"/>
            <wp:effectExtent l="0" t="0" r="3810" b="2540"/>
            <wp:docPr id="1412254650" name="Picture 1" descr="A graph of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254650" name="Picture 1" descr="A graph of different colored squares&#10;&#10;Description automatically generated with medium confidence"/>
                    <pic:cNvPicPr/>
                  </pic:nvPicPr>
                  <pic:blipFill>
                    <a:blip r:embed="rId78"/>
                    <a:stretch>
                      <a:fillRect/>
                    </a:stretch>
                  </pic:blipFill>
                  <pic:spPr>
                    <a:xfrm>
                      <a:off x="0" y="0"/>
                      <a:ext cx="6263640" cy="3426460"/>
                    </a:xfrm>
                    <a:prstGeom prst="rect">
                      <a:avLst/>
                    </a:prstGeom>
                  </pic:spPr>
                </pic:pic>
              </a:graphicData>
            </a:graphic>
          </wp:inline>
        </w:drawing>
      </w:r>
    </w:p>
    <w:p w14:paraId="5D06D44A" w14:textId="69A4DA41" w:rsidR="00405A38" w:rsidRPr="009901FA" w:rsidRDefault="005C4C40" w:rsidP="002C573C">
      <w:pPr>
        <w:pStyle w:val="Heading3"/>
      </w:pPr>
      <w:bookmarkStart w:id="84" w:name="_Toc205392462"/>
      <w:bookmarkStart w:id="85" w:name="_Toc205554231"/>
      <w:r>
        <w:t>4</w:t>
      </w:r>
      <w:r w:rsidR="00405A38" w:rsidRPr="009901FA">
        <w:t xml:space="preserve">.1 </w:t>
      </w:r>
      <w:r w:rsidR="00EA1DD8" w:rsidRPr="009901FA">
        <w:t>Categories of</w:t>
      </w:r>
      <w:r w:rsidR="00405A38" w:rsidRPr="009901FA">
        <w:t xml:space="preserve"> Carbon Capture Systems</w:t>
      </w:r>
      <w:bookmarkEnd w:id="84"/>
      <w:bookmarkEnd w:id="85"/>
    </w:p>
    <w:p w14:paraId="27C843C2" w14:textId="77777777" w:rsidR="00A4517D" w:rsidRPr="009901FA" w:rsidRDefault="00A4517D" w:rsidP="00405A38">
      <w:pPr>
        <w:rPr>
          <w:b/>
          <w:bCs/>
        </w:rPr>
      </w:pPr>
    </w:p>
    <w:p w14:paraId="6A0AFB3D" w14:textId="4C49016B" w:rsidR="00405A38" w:rsidRPr="009901FA" w:rsidRDefault="00405A38" w:rsidP="00580262">
      <w:pPr>
        <w:spacing w:after="0"/>
      </w:pPr>
      <w:r w:rsidRPr="009901FA">
        <w:rPr>
          <w:b/>
          <w:bCs/>
        </w:rPr>
        <w:t>Capturing carbon dioxide from different sources is central to both reducing emissions and creating a circular carbon supply.</w:t>
      </w:r>
      <w:r w:rsidRPr="009901FA">
        <w:t xml:space="preserve"> There are two principal capture pathways:</w:t>
      </w:r>
    </w:p>
    <w:p w14:paraId="5C10439D" w14:textId="77777777" w:rsidR="00405A38" w:rsidRPr="009901FA" w:rsidRDefault="00405A38" w:rsidP="002C2B3F">
      <w:pPr>
        <w:numPr>
          <w:ilvl w:val="0"/>
          <w:numId w:val="7"/>
        </w:numPr>
        <w:spacing w:after="0"/>
      </w:pPr>
      <w:r w:rsidRPr="009901FA">
        <w:rPr>
          <w:b/>
        </w:rPr>
        <w:t>Direct capture</w:t>
      </w:r>
      <w:r w:rsidRPr="009901FA">
        <w:t xml:space="preserve"> refers to the removal of CO</w:t>
      </w:r>
      <w:r w:rsidRPr="00A247A6">
        <w:rPr>
          <w:rFonts w:ascii="Cambria Math" w:hAnsi="Cambria Math" w:cs="Cambria Math"/>
        </w:rPr>
        <w:t>₂</w:t>
      </w:r>
      <w:r w:rsidRPr="009901FA">
        <w:t xml:space="preserve"> directly from the ambient environment, either from the air or the ocean.</w:t>
      </w:r>
    </w:p>
    <w:p w14:paraId="7C91ABF7" w14:textId="78CD4AB8" w:rsidR="008F755D" w:rsidRPr="009901FA" w:rsidRDefault="008F755D" w:rsidP="002C2B3F">
      <w:pPr>
        <w:numPr>
          <w:ilvl w:val="0"/>
          <w:numId w:val="7"/>
        </w:numPr>
      </w:pPr>
      <w:r w:rsidRPr="009901FA">
        <w:rPr>
          <w:b/>
        </w:rPr>
        <w:t>Point-source capture</w:t>
      </w:r>
      <w:r w:rsidRPr="009901FA">
        <w:t xml:space="preserve"> involves capturing CO</w:t>
      </w:r>
      <w:r w:rsidRPr="00A247A6">
        <w:rPr>
          <w:rFonts w:ascii="Cambria Math" w:hAnsi="Cambria Math" w:cs="Cambria Math"/>
        </w:rPr>
        <w:t>₂</w:t>
      </w:r>
      <w:r w:rsidRPr="009901FA">
        <w:t xml:space="preserve"> at the location of emission, such as industrial facilities or bioenergy plants.</w:t>
      </w:r>
    </w:p>
    <w:p w14:paraId="76FECCDA" w14:textId="0207261D" w:rsidR="00405A38" w:rsidRPr="009901FA" w:rsidRDefault="005B4AF9" w:rsidP="00405A38">
      <w:r w:rsidRPr="009901FA">
        <w:t xml:space="preserve">As shown in </w:t>
      </w:r>
      <w:r w:rsidRPr="009901FA">
        <w:fldChar w:fldCharType="begin"/>
      </w:r>
      <w:r w:rsidRPr="009901FA">
        <w:instrText xml:space="preserve"> REF _Ref203748881 \h </w:instrText>
      </w:r>
      <w:r w:rsidR="00A247A6">
        <w:instrText xml:space="preserve"> \* MERGEFORMAT </w:instrText>
      </w:r>
      <w:r w:rsidRPr="009901FA">
        <w:fldChar w:fldCharType="separate"/>
      </w:r>
      <w:r w:rsidR="00DE378F" w:rsidRPr="009901FA">
        <w:t xml:space="preserve">Table </w:t>
      </w:r>
      <w:r w:rsidR="00DE378F" w:rsidRPr="009901FA">
        <w:rPr>
          <w:noProof/>
        </w:rPr>
        <w:t>1</w:t>
      </w:r>
      <w:r w:rsidRPr="009901FA">
        <w:fldChar w:fldCharType="end"/>
      </w:r>
      <w:r w:rsidRPr="009901FA">
        <w:t>, t</w:t>
      </w:r>
      <w:r w:rsidR="00405A38" w:rsidRPr="009901FA">
        <w:t>hese technologies operate across different concentrations of CO</w:t>
      </w:r>
      <w:r w:rsidR="00405A38" w:rsidRPr="00A247A6">
        <w:rPr>
          <w:rFonts w:ascii="Cambria Math" w:hAnsi="Cambria Math" w:cs="Cambria Math"/>
        </w:rPr>
        <w:t>₂</w:t>
      </w:r>
      <w:r w:rsidR="00405A38" w:rsidRPr="009901FA">
        <w:t xml:space="preserve"> and serve different purposes. Point-source capture is focused on emission avoidance, while direct capture supports carbon removal. The technology landscape includes a range of systems tailored to specific concentrations, temperatures, and industrial settings.</w:t>
      </w:r>
    </w:p>
    <w:p w14:paraId="2FDFA75D" w14:textId="76469CA9" w:rsidR="00305AD1" w:rsidRPr="009901FA" w:rsidRDefault="00305AD1" w:rsidP="00305AD1">
      <w:pPr>
        <w:pStyle w:val="Caption"/>
        <w:keepNext/>
      </w:pPr>
      <w:bookmarkStart w:id="86" w:name="_Ref203748881"/>
      <w:r w:rsidRPr="009901FA">
        <w:lastRenderedPageBreak/>
        <w:t xml:space="preserve">Table </w:t>
      </w:r>
      <w:fldSimple w:instr=" SEQ Table \* ARABIC ">
        <w:r w:rsidR="00DE378F" w:rsidRPr="009901FA">
          <w:rPr>
            <w:noProof/>
          </w:rPr>
          <w:t>1</w:t>
        </w:r>
      </w:fldSimple>
      <w:bookmarkEnd w:id="86"/>
      <w:r w:rsidRPr="009901FA">
        <w:t xml:space="preserve">: </w:t>
      </w:r>
      <w:r w:rsidRPr="009901FA">
        <w:rPr>
          <w:b w:val="0"/>
          <w:color w:val="00146D" w:themeColor="text2"/>
        </w:rPr>
        <w:t>Overview of Carbon Capture Types</w:t>
      </w:r>
      <w:r w:rsidRPr="009901FA">
        <w:rPr>
          <w:rStyle w:val="FootnoteReference"/>
          <w:b w:val="0"/>
          <w:color w:val="00146D" w:themeColor="text2"/>
        </w:rPr>
        <w:footnoteReference w:id="58"/>
      </w:r>
    </w:p>
    <w:tbl>
      <w:tblPr>
        <w:tblStyle w:val="Systemiq-Table3"/>
        <w:tblW w:w="10465" w:type="dxa"/>
        <w:tblLook w:val="04A0" w:firstRow="1" w:lastRow="0" w:firstColumn="1" w:lastColumn="0" w:noHBand="0" w:noVBand="1"/>
      </w:tblPr>
      <w:tblGrid>
        <w:gridCol w:w="3337"/>
        <w:gridCol w:w="3753"/>
        <w:gridCol w:w="3482"/>
      </w:tblGrid>
      <w:tr w:rsidR="00340E11" w:rsidRPr="009901FA" w14:paraId="26EC3D55" w14:textId="77777777" w:rsidTr="009D0FD1">
        <w:trPr>
          <w:cnfStyle w:val="100000000000" w:firstRow="1" w:lastRow="0" w:firstColumn="0" w:lastColumn="0" w:oddVBand="0" w:evenVBand="0" w:oddHBand="0" w:evenHBand="0" w:firstRowFirstColumn="0" w:firstRowLastColumn="0" w:lastRowFirstColumn="0" w:lastRowLastColumn="0"/>
        </w:trPr>
        <w:tc>
          <w:tcPr>
            <w:tcW w:w="3337" w:type="dxa"/>
            <w:hideMark/>
          </w:tcPr>
          <w:p w14:paraId="7EB71D48" w14:textId="77777777" w:rsidR="00405A38" w:rsidRPr="009901FA" w:rsidRDefault="00405A38" w:rsidP="009D0FD1">
            <w:pPr>
              <w:spacing w:after="120" w:line="264" w:lineRule="auto"/>
              <w:jc w:val="center"/>
              <w:rPr>
                <w:sz w:val="20"/>
              </w:rPr>
            </w:pPr>
            <w:r w:rsidRPr="009901FA">
              <w:rPr>
                <w:sz w:val="20"/>
              </w:rPr>
              <w:t>Capture Type</w:t>
            </w:r>
          </w:p>
        </w:tc>
        <w:tc>
          <w:tcPr>
            <w:tcW w:w="3753" w:type="dxa"/>
            <w:hideMark/>
          </w:tcPr>
          <w:p w14:paraId="51EB4B7E" w14:textId="77777777" w:rsidR="00405A38" w:rsidRPr="009901FA" w:rsidRDefault="00405A38" w:rsidP="009D0FD1">
            <w:pPr>
              <w:spacing w:after="120" w:line="264" w:lineRule="auto"/>
              <w:jc w:val="center"/>
              <w:rPr>
                <w:sz w:val="20"/>
              </w:rPr>
            </w:pPr>
            <w:r w:rsidRPr="009901FA">
              <w:rPr>
                <w:sz w:val="20"/>
              </w:rPr>
              <w:t>Application Example</w:t>
            </w:r>
          </w:p>
        </w:tc>
        <w:tc>
          <w:tcPr>
            <w:tcW w:w="0" w:type="auto"/>
            <w:hideMark/>
          </w:tcPr>
          <w:p w14:paraId="4ABBEFD3" w14:textId="71B171CD" w:rsidR="00405A38" w:rsidRPr="009901FA" w:rsidRDefault="007C080E" w:rsidP="009D0FD1">
            <w:pPr>
              <w:spacing w:after="120" w:line="264" w:lineRule="auto"/>
              <w:jc w:val="center"/>
              <w:rPr>
                <w:sz w:val="20"/>
              </w:rPr>
            </w:pPr>
            <w:r w:rsidRPr="009901FA">
              <w:rPr>
                <w:sz w:val="20"/>
              </w:rPr>
              <w:t xml:space="preserve">Typical </w:t>
            </w:r>
            <w:r w:rsidR="00405A38" w:rsidRPr="009901FA">
              <w:rPr>
                <w:sz w:val="20"/>
              </w:rPr>
              <w:t>CO</w:t>
            </w:r>
            <w:r w:rsidR="00405A38" w:rsidRPr="00A247A6">
              <w:rPr>
                <w:rFonts w:ascii="Cambria Math" w:hAnsi="Cambria Math" w:cs="Cambria Math"/>
                <w:sz w:val="20"/>
              </w:rPr>
              <w:t>₂</w:t>
            </w:r>
            <w:r w:rsidR="00405A38" w:rsidRPr="009901FA">
              <w:rPr>
                <w:sz w:val="20"/>
              </w:rPr>
              <w:t xml:space="preserve"> Concentration</w:t>
            </w:r>
            <w:r w:rsidR="00F06958" w:rsidRPr="009901FA">
              <w:rPr>
                <w:sz w:val="20"/>
              </w:rPr>
              <w:t xml:space="preserve"> (</w:t>
            </w:r>
            <w:r w:rsidR="0044156C" w:rsidRPr="009901FA">
              <w:rPr>
                <w:sz w:val="20"/>
              </w:rPr>
              <w:t>vol</w:t>
            </w:r>
            <w:r w:rsidR="00F06958" w:rsidRPr="009901FA">
              <w:rPr>
                <w:sz w:val="20"/>
              </w:rPr>
              <w:t>%)</w:t>
            </w:r>
          </w:p>
        </w:tc>
      </w:tr>
      <w:tr w:rsidR="00405A38" w:rsidRPr="009901FA" w14:paraId="139EA1D4" w14:textId="77777777" w:rsidTr="009D0FD1">
        <w:tc>
          <w:tcPr>
            <w:tcW w:w="3337" w:type="dxa"/>
            <w:hideMark/>
          </w:tcPr>
          <w:p w14:paraId="4FF9AAE3" w14:textId="77777777" w:rsidR="00405A38" w:rsidRPr="009901FA" w:rsidRDefault="00405A38" w:rsidP="009D0FD1">
            <w:pPr>
              <w:spacing w:after="120" w:line="264" w:lineRule="auto"/>
              <w:jc w:val="center"/>
            </w:pPr>
            <w:r w:rsidRPr="009901FA">
              <w:rPr>
                <w:b/>
              </w:rPr>
              <w:t>Industrial point-source capture</w:t>
            </w:r>
          </w:p>
        </w:tc>
        <w:tc>
          <w:tcPr>
            <w:tcW w:w="3753" w:type="dxa"/>
            <w:hideMark/>
          </w:tcPr>
          <w:p w14:paraId="381DAB78" w14:textId="77777777" w:rsidR="00405A38" w:rsidRPr="009901FA" w:rsidRDefault="00405A38" w:rsidP="009D0FD1">
            <w:pPr>
              <w:spacing w:after="120" w:line="264" w:lineRule="auto"/>
              <w:jc w:val="center"/>
            </w:pPr>
            <w:r w:rsidRPr="009901FA">
              <w:t>Cement, steel, refineries</w:t>
            </w:r>
          </w:p>
        </w:tc>
        <w:tc>
          <w:tcPr>
            <w:tcW w:w="0" w:type="auto"/>
            <w:hideMark/>
          </w:tcPr>
          <w:p w14:paraId="6547EEBC" w14:textId="7207AA2C" w:rsidR="00405A38" w:rsidRPr="009901FA" w:rsidRDefault="007C080E" w:rsidP="009D0FD1">
            <w:pPr>
              <w:spacing w:after="120" w:line="264" w:lineRule="auto"/>
              <w:jc w:val="center"/>
            </w:pPr>
            <w:r w:rsidRPr="009901FA">
              <w:t>5-30</w:t>
            </w:r>
            <w:r w:rsidR="00F06958" w:rsidRPr="009901FA">
              <w:t xml:space="preserve"> </w:t>
            </w:r>
            <w:r w:rsidRPr="009901FA">
              <w:t>%</w:t>
            </w:r>
          </w:p>
        </w:tc>
      </w:tr>
      <w:tr w:rsidR="00405A38" w:rsidRPr="009901FA" w14:paraId="4C90E6E0" w14:textId="77777777" w:rsidTr="009D0FD1">
        <w:tc>
          <w:tcPr>
            <w:tcW w:w="3337" w:type="dxa"/>
            <w:hideMark/>
          </w:tcPr>
          <w:p w14:paraId="47B2FB56" w14:textId="77777777" w:rsidR="00405A38" w:rsidRPr="009901FA" w:rsidRDefault="00405A38" w:rsidP="009D0FD1">
            <w:pPr>
              <w:spacing w:after="120" w:line="264" w:lineRule="auto"/>
              <w:jc w:val="center"/>
            </w:pPr>
            <w:r w:rsidRPr="009901FA">
              <w:rPr>
                <w:b/>
              </w:rPr>
              <w:t>Bioenergy point-source capture</w:t>
            </w:r>
          </w:p>
        </w:tc>
        <w:tc>
          <w:tcPr>
            <w:tcW w:w="3753" w:type="dxa"/>
            <w:hideMark/>
          </w:tcPr>
          <w:p w14:paraId="3860EA5C" w14:textId="77777777" w:rsidR="00405A38" w:rsidRPr="009901FA" w:rsidRDefault="00405A38" w:rsidP="009D0FD1">
            <w:pPr>
              <w:spacing w:after="120" w:line="264" w:lineRule="auto"/>
              <w:jc w:val="center"/>
            </w:pPr>
            <w:r w:rsidRPr="009901FA">
              <w:t>Biomass combustion with CCS</w:t>
            </w:r>
          </w:p>
        </w:tc>
        <w:tc>
          <w:tcPr>
            <w:tcW w:w="0" w:type="auto"/>
            <w:hideMark/>
          </w:tcPr>
          <w:p w14:paraId="790B9646" w14:textId="2B1859D0" w:rsidR="00405A38" w:rsidRPr="009901FA" w:rsidRDefault="003B466B" w:rsidP="009D0FD1">
            <w:pPr>
              <w:spacing w:after="120" w:line="264" w:lineRule="auto"/>
              <w:jc w:val="center"/>
            </w:pPr>
            <w:r w:rsidRPr="009901FA">
              <w:t>5-15</w:t>
            </w:r>
            <w:r w:rsidR="00F06958" w:rsidRPr="009901FA">
              <w:t xml:space="preserve"> </w:t>
            </w:r>
            <w:r w:rsidRPr="009901FA">
              <w:t>%</w:t>
            </w:r>
          </w:p>
        </w:tc>
      </w:tr>
      <w:tr w:rsidR="00405A38" w:rsidRPr="009901FA" w14:paraId="47C542E4" w14:textId="77777777" w:rsidTr="009D0FD1">
        <w:tc>
          <w:tcPr>
            <w:tcW w:w="3337" w:type="dxa"/>
            <w:hideMark/>
          </w:tcPr>
          <w:p w14:paraId="6DF60B7E" w14:textId="77777777" w:rsidR="00405A38" w:rsidRPr="009901FA" w:rsidRDefault="00405A38" w:rsidP="009D0FD1">
            <w:pPr>
              <w:spacing w:after="120" w:line="264" w:lineRule="auto"/>
              <w:jc w:val="center"/>
            </w:pPr>
            <w:r w:rsidRPr="009901FA">
              <w:rPr>
                <w:b/>
              </w:rPr>
              <w:t>Direct air capture</w:t>
            </w:r>
          </w:p>
        </w:tc>
        <w:tc>
          <w:tcPr>
            <w:tcW w:w="3753" w:type="dxa"/>
            <w:hideMark/>
          </w:tcPr>
          <w:p w14:paraId="1323E51A" w14:textId="77777777" w:rsidR="00405A38" w:rsidRPr="009901FA" w:rsidRDefault="00405A38" w:rsidP="009D0FD1">
            <w:pPr>
              <w:spacing w:after="120" w:line="264" w:lineRule="auto"/>
              <w:jc w:val="center"/>
            </w:pPr>
            <w:r w:rsidRPr="009901FA">
              <w:t>Atmospheric removal</w:t>
            </w:r>
          </w:p>
        </w:tc>
        <w:tc>
          <w:tcPr>
            <w:tcW w:w="0" w:type="auto"/>
            <w:hideMark/>
          </w:tcPr>
          <w:p w14:paraId="6318C187" w14:textId="2D9F830A" w:rsidR="00405A38" w:rsidRPr="009901FA" w:rsidRDefault="003E7E7D" w:rsidP="009D0FD1">
            <w:pPr>
              <w:spacing w:after="120" w:line="264" w:lineRule="auto"/>
              <w:jc w:val="center"/>
            </w:pPr>
            <w:r w:rsidRPr="009901FA">
              <w:t>0.</w:t>
            </w:r>
            <w:r w:rsidR="00F06958" w:rsidRPr="009901FA">
              <w:t>04 %</w:t>
            </w:r>
          </w:p>
        </w:tc>
      </w:tr>
      <w:tr w:rsidR="00405A38" w:rsidRPr="009901FA" w14:paraId="4D42EEF8" w14:textId="77777777" w:rsidTr="009D0FD1">
        <w:tc>
          <w:tcPr>
            <w:tcW w:w="3337" w:type="dxa"/>
            <w:hideMark/>
          </w:tcPr>
          <w:p w14:paraId="75A3FF6A" w14:textId="77777777" w:rsidR="00405A38" w:rsidRPr="009901FA" w:rsidRDefault="00405A38" w:rsidP="009D0FD1">
            <w:pPr>
              <w:spacing w:after="120" w:line="264" w:lineRule="auto"/>
              <w:jc w:val="center"/>
            </w:pPr>
            <w:r w:rsidRPr="009901FA">
              <w:rPr>
                <w:b/>
              </w:rPr>
              <w:t>Ocean-based capture</w:t>
            </w:r>
          </w:p>
        </w:tc>
        <w:tc>
          <w:tcPr>
            <w:tcW w:w="3753" w:type="dxa"/>
            <w:hideMark/>
          </w:tcPr>
          <w:p w14:paraId="2F8A7680" w14:textId="77777777" w:rsidR="00405A38" w:rsidRPr="009901FA" w:rsidRDefault="00405A38" w:rsidP="009D0FD1">
            <w:pPr>
              <w:spacing w:after="120" w:line="264" w:lineRule="auto"/>
              <w:jc w:val="center"/>
            </w:pPr>
            <w:r w:rsidRPr="009901FA">
              <w:t>Electrochemical or alkalinity-based CDR</w:t>
            </w:r>
          </w:p>
        </w:tc>
        <w:tc>
          <w:tcPr>
            <w:tcW w:w="0" w:type="auto"/>
            <w:hideMark/>
          </w:tcPr>
          <w:p w14:paraId="6DF0E30A" w14:textId="7B54E07A" w:rsidR="00405A38" w:rsidRPr="009901FA" w:rsidRDefault="00F06958" w:rsidP="009D0FD1">
            <w:pPr>
              <w:spacing w:after="120" w:line="264" w:lineRule="auto"/>
              <w:jc w:val="center"/>
            </w:pPr>
            <w:r w:rsidRPr="009901FA">
              <w:t>0.01 %</w:t>
            </w:r>
          </w:p>
        </w:tc>
      </w:tr>
    </w:tbl>
    <w:p w14:paraId="1BD66F25" w14:textId="7E880D92" w:rsidR="00405A38" w:rsidRPr="009901FA" w:rsidRDefault="00405A38" w:rsidP="00405A38"/>
    <w:p w14:paraId="4EEC5CB0" w14:textId="76B9E6A3" w:rsidR="00BF04D1" w:rsidRPr="009901FA" w:rsidRDefault="001B17BA" w:rsidP="00BF04D1">
      <w:r w:rsidRPr="009901FA">
        <w:rPr>
          <w:b/>
          <w:bCs/>
        </w:rPr>
        <w:t xml:space="preserve">Carbon capture systems are typically categorized by capture type </w:t>
      </w:r>
      <w:r w:rsidRPr="009901FA">
        <w:t xml:space="preserve">(point-source or direct), </w:t>
      </w:r>
      <w:r w:rsidRPr="009901FA">
        <w:rPr>
          <w:b/>
          <w:bCs/>
        </w:rPr>
        <w:t xml:space="preserve">system configuration </w:t>
      </w:r>
      <w:r w:rsidRPr="009901FA">
        <w:t>(e.g. process-integrated, end-of-pipe, combustion stage),</w:t>
      </w:r>
      <w:r w:rsidRPr="009901FA">
        <w:rPr>
          <w:b/>
          <w:bCs/>
        </w:rPr>
        <w:t xml:space="preserve"> and separation technology </w:t>
      </w:r>
      <w:r w:rsidRPr="009901FA">
        <w:t>(e.g. solvent-based absorption, membranes, adsorption, or electrochemical methods). Point-source capture accounts for the vast majority of global CCS capacity, though the specific breakdown between pre-combustion, post-combustion, and process separation routes varies by sector and geography</w:t>
      </w:r>
      <w:r w:rsidR="005F7FA4" w:rsidRPr="009901FA">
        <w:t xml:space="preserve"> (s</w:t>
      </w:r>
      <w:r w:rsidRPr="009901FA">
        <w:t xml:space="preserve">ee </w:t>
      </w:r>
      <w:r w:rsidR="009B1332" w:rsidRPr="009901FA">
        <w:fldChar w:fldCharType="begin"/>
      </w:r>
      <w:r w:rsidR="009B1332" w:rsidRPr="009901FA">
        <w:instrText xml:space="preserve"> REF _Ref203748899 \h </w:instrText>
      </w:r>
      <w:r w:rsidR="009051F3" w:rsidRPr="009901FA">
        <w:instrText xml:space="preserve"> \* MERGEFORMAT </w:instrText>
      </w:r>
      <w:r w:rsidR="009B1332" w:rsidRPr="009901FA">
        <w:fldChar w:fldCharType="separate"/>
      </w:r>
      <w:r w:rsidR="00DE378F" w:rsidRPr="009901FA">
        <w:t xml:space="preserve">Exhibit </w:t>
      </w:r>
      <w:r w:rsidR="00E61394">
        <w:rPr>
          <w:noProof/>
        </w:rPr>
        <w:t>4</w:t>
      </w:r>
      <w:r w:rsidR="00DE378F" w:rsidRPr="009901FA">
        <w:rPr>
          <w:noProof/>
        </w:rPr>
        <w:t>.2</w:t>
      </w:r>
      <w:r w:rsidR="009B1332" w:rsidRPr="009901FA">
        <w:fldChar w:fldCharType="end"/>
      </w:r>
      <w:r w:rsidR="009B1332" w:rsidRPr="009901FA">
        <w:t xml:space="preserve"> </w:t>
      </w:r>
      <w:r w:rsidRPr="009901FA">
        <w:t>for an indicative capacity distributio</w:t>
      </w:r>
      <w:r w:rsidR="009B1332" w:rsidRPr="009901FA">
        <w:t>n)</w:t>
      </w:r>
      <w:r w:rsidR="00BF04D1" w:rsidRPr="009901FA">
        <w:t xml:space="preserve">. </w:t>
      </w:r>
      <w:r w:rsidR="00556798" w:rsidRPr="009901FA">
        <w:t>While post-combustion systems constitute the largest single category by installed capacity, most operational projects today target high-purity CO</w:t>
      </w:r>
      <w:r w:rsidR="00556798" w:rsidRPr="00A247A6">
        <w:rPr>
          <w:rFonts w:ascii="Cambria Math" w:hAnsi="Cambria Math" w:cs="Cambria Math"/>
        </w:rPr>
        <w:t>₂</w:t>
      </w:r>
      <w:r w:rsidR="00556798" w:rsidRPr="009901FA">
        <w:t xml:space="preserve"> streams </w:t>
      </w:r>
      <w:r w:rsidR="00556798" w:rsidRPr="009901FA">
        <w:rPr>
          <w:rFonts w:cs="Arial Nova"/>
        </w:rPr>
        <w:t>—</w:t>
      </w:r>
      <w:r w:rsidR="00556798" w:rsidRPr="009901FA">
        <w:t xml:space="preserve"> such as those from natural gas processing, ammonia production or hydrogen reforming</w:t>
      </w:r>
      <w:r w:rsidR="00556798" w:rsidRPr="009901FA">
        <w:rPr>
          <w:rFonts w:cs="Arial Nova"/>
        </w:rPr>
        <w:t>—</w:t>
      </w:r>
      <w:r w:rsidR="00556798" w:rsidRPr="009901FA">
        <w:t xml:space="preserve"> where CO</w:t>
      </w:r>
      <w:r w:rsidR="00556798" w:rsidRPr="00A247A6">
        <w:rPr>
          <w:rFonts w:ascii="Cambria Math" w:hAnsi="Cambria Math" w:cs="Cambria Math"/>
        </w:rPr>
        <w:t>₂</w:t>
      </w:r>
      <w:r w:rsidR="00556798" w:rsidRPr="009901FA">
        <w:t xml:space="preserve"> is more concentrated and separation is less energy-intensive. </w:t>
      </w:r>
      <w:r w:rsidR="00BF04D1" w:rsidRPr="009901FA">
        <w:t>Direct capture methods, such</w:t>
      </w:r>
      <w:r w:rsidR="00DE54E4" w:rsidRPr="009901FA">
        <w:t xml:space="preserve"> as </w:t>
      </w:r>
      <w:r w:rsidR="00BF04D1" w:rsidRPr="009901FA">
        <w:t xml:space="preserve">air- or ocean-based systems, </w:t>
      </w:r>
      <w:r w:rsidR="00AB6A64" w:rsidRPr="009901FA">
        <w:t>represent a growing class of distributed removal technologies, but still comprise a small share of total installed capacity</w:t>
      </w:r>
      <w:r w:rsidR="00BF04D1" w:rsidRPr="009901FA">
        <w:t>.</w:t>
      </w:r>
      <w:r w:rsidR="00DA1657" w:rsidRPr="009901FA">
        <w:rPr>
          <w:rStyle w:val="FootnoteReference"/>
        </w:rPr>
        <w:footnoteReference w:id="59"/>
      </w:r>
    </w:p>
    <w:p w14:paraId="54AEA75B" w14:textId="18113953" w:rsidR="005B4AF9" w:rsidRPr="009901FA" w:rsidRDefault="005B4AF9" w:rsidP="005B4AF9">
      <w:pPr>
        <w:pStyle w:val="Caption"/>
        <w:keepNext/>
      </w:pPr>
      <w:bookmarkStart w:id="87" w:name="_Ref203748899"/>
      <w:r w:rsidRPr="009901FA">
        <w:lastRenderedPageBreak/>
        <w:t xml:space="preserve">Exhibit </w:t>
      </w:r>
      <w:r w:rsidR="00E61394">
        <w:t>4</w:t>
      </w:r>
      <w:r w:rsidR="008725B4" w:rsidRPr="009901FA">
        <w:t>.</w:t>
      </w:r>
      <w:fldSimple w:instr=" SEQ Exhibit \* ARABIC \s 2 ">
        <w:r w:rsidR="00DE378F" w:rsidRPr="009901FA">
          <w:rPr>
            <w:noProof/>
          </w:rPr>
          <w:t>2</w:t>
        </w:r>
      </w:fldSimple>
      <w:bookmarkEnd w:id="87"/>
    </w:p>
    <w:p w14:paraId="37320672" w14:textId="2F2A1409" w:rsidR="00A47B96" w:rsidRPr="009901FA" w:rsidRDefault="00A47B96" w:rsidP="00A47B96">
      <w:r w:rsidRPr="009901FA">
        <w:rPr>
          <w:noProof/>
        </w:rPr>
        <w:drawing>
          <wp:inline distT="0" distB="0" distL="0" distR="0" wp14:anchorId="7C4F747C" wp14:editId="37DBFF64">
            <wp:extent cx="6263640" cy="3112770"/>
            <wp:effectExtent l="0" t="0" r="3810" b="0"/>
            <wp:docPr id="478484112" name="Picture 1" descr="A chart with different colo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484112" name="Picture 1" descr="A chart with different colored squares&#10;&#10;AI-generated content may be incorrect."/>
                    <pic:cNvPicPr/>
                  </pic:nvPicPr>
                  <pic:blipFill>
                    <a:blip r:embed="rId79"/>
                    <a:stretch>
                      <a:fillRect/>
                    </a:stretch>
                  </pic:blipFill>
                  <pic:spPr>
                    <a:xfrm>
                      <a:off x="0" y="0"/>
                      <a:ext cx="6263640" cy="3112770"/>
                    </a:xfrm>
                    <a:prstGeom prst="rect">
                      <a:avLst/>
                    </a:prstGeom>
                  </pic:spPr>
                </pic:pic>
              </a:graphicData>
            </a:graphic>
          </wp:inline>
        </w:drawing>
      </w:r>
    </w:p>
    <w:p w14:paraId="142B4303" w14:textId="3DFCCD54" w:rsidR="00103BE5" w:rsidRPr="009901FA" w:rsidRDefault="00103BE5" w:rsidP="00405A38"/>
    <w:p w14:paraId="4E8CEE9C" w14:textId="6B1C2385" w:rsidR="006360BF" w:rsidRPr="009901FA" w:rsidRDefault="00DE512D" w:rsidP="00405A38">
      <w:r w:rsidRPr="009901FA">
        <w:rPr>
          <w:b/>
          <w:bCs/>
        </w:rPr>
        <w:t>Each capture approach presents specific trade-offs in energy intensity, cost, selectivity, and ease of integration.</w:t>
      </w:r>
      <w:r w:rsidRPr="009901FA">
        <w:t xml:space="preserve"> Process modifications</w:t>
      </w:r>
      <w:r w:rsidR="00FF259C" w:rsidRPr="009901FA">
        <w:t>,</w:t>
      </w:r>
      <w:r w:rsidRPr="009901FA">
        <w:t xml:space="preserve"> </w:t>
      </w:r>
      <w:r w:rsidR="00FF259C" w:rsidRPr="009901FA">
        <w:t>such as the Allam-Fetvedt Cycle, achieve high capture rates with low operational energy penalties. However, these cycles require new-build infrastructure and carry high capital expenditure, limiting near-term scalability. Oxy-fuel combustion simplifies downstream capture by generating a nearly pure CO</w:t>
      </w:r>
      <w:r w:rsidR="00FF259C" w:rsidRPr="00A247A6">
        <w:rPr>
          <w:rFonts w:ascii="Cambria Math" w:hAnsi="Cambria Math" w:cs="Cambria Math"/>
        </w:rPr>
        <w:t>₂</w:t>
      </w:r>
      <w:r w:rsidR="00FF259C" w:rsidRPr="009901FA">
        <w:t xml:space="preserve"> stream, reducing mechanical complexity. Yet the need for oxygen supply systems and plant retrofitting introduces significant cost and engineering hurdles. </w:t>
      </w:r>
      <w:r w:rsidR="005D7397" w:rsidRPr="009901FA">
        <w:t>Pre-combustion systems capture CO</w:t>
      </w:r>
      <w:r w:rsidR="005D7397" w:rsidRPr="00A247A6">
        <w:rPr>
          <w:rFonts w:ascii="Cambria Math" w:hAnsi="Cambria Math" w:cs="Cambria Math"/>
        </w:rPr>
        <w:t>₂</w:t>
      </w:r>
      <w:r w:rsidR="005D7397" w:rsidRPr="009901FA">
        <w:t xml:space="preserve"> before fuel is burned, typically through gasification or reforming processes, and are most effective in new, integrated facilities such as hydrogen or power production.</w:t>
      </w:r>
      <w:r w:rsidR="009051F3" w:rsidRPr="009901FA">
        <w:t xml:space="preserve"> </w:t>
      </w:r>
      <w:r w:rsidRPr="009901FA">
        <w:t xml:space="preserve">Post-combustion systems include absorption with chemical solvents, which are well established and effective, but energy-intensive and vulnerable to degradation from impurities like SOx and NOx. </w:t>
      </w:r>
      <w:r w:rsidR="00D813D6" w:rsidRPr="009901FA">
        <w:t>Adsorption technologies operate at lower regeneration temperatures, enabling lower thermal energy demand. Their CO</w:t>
      </w:r>
      <w:r w:rsidR="00D813D6" w:rsidRPr="00A247A6">
        <w:rPr>
          <w:rFonts w:ascii="Cambria Math" w:hAnsi="Cambria Math" w:cs="Cambria Math"/>
        </w:rPr>
        <w:t>₂</w:t>
      </w:r>
      <w:r w:rsidR="00D813D6" w:rsidRPr="009901FA">
        <w:t xml:space="preserve"> purity is often reduced because of residual gases trapped in the sorbent bed</w:t>
      </w:r>
      <w:r w:rsidR="00BA1CA5" w:rsidRPr="009901FA">
        <w:t>, and they</w:t>
      </w:r>
      <w:r w:rsidR="00D813D6" w:rsidRPr="009901FA">
        <w:t xml:space="preserve"> may also suffer performance degradation from acid gases, similarly to solvents.</w:t>
      </w:r>
      <w:r w:rsidRPr="009901FA">
        <w:t xml:space="preserve"> Membrane systems are modular and low-maintenance, but have poor capture efficiency at low partial pressures and may require gas recycling. Cryogenic separation achieves nearly complete CO</w:t>
      </w:r>
      <w:r w:rsidRPr="00A247A6">
        <w:rPr>
          <w:rFonts w:ascii="Cambria Math" w:hAnsi="Cambria Math" w:cs="Cambria Math"/>
        </w:rPr>
        <w:t>₂</w:t>
      </w:r>
      <w:r w:rsidRPr="009901FA">
        <w:t xml:space="preserve"> recovery but has high energy needs and risk of process blockage. Electrochemical methods, which are particularly promising for ocean-based </w:t>
      </w:r>
      <w:r w:rsidRPr="009901FA">
        <w:lastRenderedPageBreak/>
        <w:t>capture, offer fully electrified, low-energy operation and high selectivity, but remain in early development and are difficult to scale.</w:t>
      </w:r>
      <w:r w:rsidR="00C1321C" w:rsidRPr="009901FA">
        <w:rPr>
          <w:rStyle w:val="FootnoteReference"/>
        </w:rPr>
        <w:t xml:space="preserve"> </w:t>
      </w:r>
      <w:r w:rsidR="00C1321C" w:rsidRPr="009901FA">
        <w:rPr>
          <w:rStyle w:val="FootnoteReference"/>
        </w:rPr>
        <w:footnoteReference w:id="60"/>
      </w:r>
      <w:r w:rsidR="0052102D" w:rsidRPr="009901FA">
        <w:rPr>
          <w:vertAlign w:val="superscript"/>
        </w:rPr>
        <w:t>,</w:t>
      </w:r>
      <w:r w:rsidR="0052102D" w:rsidRPr="009901FA">
        <w:rPr>
          <w:rStyle w:val="FootnoteReference"/>
        </w:rPr>
        <w:footnoteReference w:id="61"/>
      </w:r>
    </w:p>
    <w:p w14:paraId="755DE28B" w14:textId="55B9A021" w:rsidR="005B4AF9" w:rsidRPr="009901FA" w:rsidRDefault="00156287" w:rsidP="00F85D1A">
      <w:r w:rsidRPr="009901FA">
        <w:t>O</w:t>
      </w:r>
      <w:r w:rsidR="00D34DDF" w:rsidRPr="009901FA">
        <w:t>ur analysis will focus on emerging technologies</w:t>
      </w:r>
      <w:r w:rsidRPr="009901FA">
        <w:t xml:space="preserve"> that can accelerate the development of carbon capture, as shown in </w:t>
      </w:r>
      <w:r w:rsidR="00104000" w:rsidRPr="009901FA">
        <w:fldChar w:fldCharType="begin"/>
      </w:r>
      <w:r w:rsidR="00104000" w:rsidRPr="009901FA">
        <w:instrText xml:space="preserve"> REF _Ref203749017 \h </w:instrText>
      </w:r>
      <w:r w:rsidR="00A247A6">
        <w:instrText xml:space="preserve"> \* MERGEFORMAT </w:instrText>
      </w:r>
      <w:r w:rsidR="00104000" w:rsidRPr="009901FA">
        <w:fldChar w:fldCharType="separate"/>
      </w:r>
      <w:r w:rsidR="00DE378F" w:rsidRPr="009901FA">
        <w:t xml:space="preserve">Exhibit </w:t>
      </w:r>
      <w:r w:rsidR="00E61394">
        <w:rPr>
          <w:noProof/>
        </w:rPr>
        <w:t>4</w:t>
      </w:r>
      <w:r w:rsidR="00DE378F" w:rsidRPr="009901FA">
        <w:t>.</w:t>
      </w:r>
      <w:r w:rsidR="00DE378F" w:rsidRPr="009901FA">
        <w:rPr>
          <w:noProof/>
        </w:rPr>
        <w:t>3</w:t>
      </w:r>
      <w:r w:rsidR="00104000" w:rsidRPr="009901FA">
        <w:fldChar w:fldCharType="end"/>
      </w:r>
      <w:r w:rsidRPr="009901FA">
        <w:t>.</w:t>
      </w:r>
      <w:r w:rsidR="00F85D1A" w:rsidRPr="009901FA">
        <w:t xml:space="preserve"> </w:t>
      </w:r>
    </w:p>
    <w:p w14:paraId="2DC8D2AD" w14:textId="4F1410A5" w:rsidR="005B4AF9" w:rsidRPr="009901FA" w:rsidRDefault="005B4AF9" w:rsidP="005B4AF9">
      <w:pPr>
        <w:pStyle w:val="Caption"/>
        <w:keepNext/>
      </w:pPr>
      <w:bookmarkStart w:id="88" w:name="_Ref203749017"/>
      <w:r w:rsidRPr="009901FA">
        <w:t xml:space="preserve">Exhibit </w:t>
      </w:r>
      <w:r w:rsidR="00E61394">
        <w:t>4</w:t>
      </w:r>
      <w:r w:rsidR="008725B4" w:rsidRPr="009901FA">
        <w:t>.</w:t>
      </w:r>
      <w:fldSimple w:instr=" SEQ Exhibit \* ARABIC \s 2 ">
        <w:r w:rsidR="00DE378F" w:rsidRPr="009901FA">
          <w:rPr>
            <w:noProof/>
          </w:rPr>
          <w:t>3</w:t>
        </w:r>
      </w:fldSimple>
      <w:bookmarkEnd w:id="88"/>
    </w:p>
    <w:p w14:paraId="024B38FA" w14:textId="10B3E26F" w:rsidR="004D7D87" w:rsidRPr="009901FA" w:rsidRDefault="00C93803" w:rsidP="00405A38">
      <w:r w:rsidRPr="009901FA">
        <w:rPr>
          <w:noProof/>
        </w:rPr>
        <w:drawing>
          <wp:inline distT="0" distB="0" distL="0" distR="0" wp14:anchorId="3D2A1C1D" wp14:editId="4E2BA5A4">
            <wp:extent cx="6484882" cy="3648075"/>
            <wp:effectExtent l="0" t="0" r="0" b="0"/>
            <wp:docPr id="19229050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905095" name=""/>
                    <pic:cNvPicPr/>
                  </pic:nvPicPr>
                  <pic:blipFill>
                    <a:blip r:embed="rId80">
                      <a:extLst>
                        <a:ext uri="{96DAC541-7B7A-43D3-8B79-37D633B846F1}">
                          <asvg:svgBlip xmlns:asvg="http://schemas.microsoft.com/office/drawing/2016/SVG/main" r:embed="rId81"/>
                        </a:ext>
                      </a:extLst>
                    </a:blip>
                    <a:stretch>
                      <a:fillRect/>
                    </a:stretch>
                  </pic:blipFill>
                  <pic:spPr>
                    <a:xfrm>
                      <a:off x="0" y="0"/>
                      <a:ext cx="6485144" cy="3648222"/>
                    </a:xfrm>
                    <a:prstGeom prst="rect">
                      <a:avLst/>
                    </a:prstGeom>
                  </pic:spPr>
                </pic:pic>
              </a:graphicData>
            </a:graphic>
          </wp:inline>
        </w:drawing>
      </w:r>
    </w:p>
    <w:p w14:paraId="234DB73D" w14:textId="77777777" w:rsidR="006360BF" w:rsidRPr="009901FA" w:rsidRDefault="006360BF" w:rsidP="00405A38"/>
    <w:p w14:paraId="511B2904" w14:textId="1FCF973F" w:rsidR="006360BF" w:rsidRPr="009901FA" w:rsidRDefault="005C4C40" w:rsidP="00857421">
      <w:pPr>
        <w:pStyle w:val="Heading3"/>
        <w:ind w:firstLine="720"/>
      </w:pPr>
      <w:bookmarkStart w:id="89" w:name="_Toc205392463"/>
      <w:bookmarkStart w:id="90" w:name="_Toc205554232"/>
      <w:r>
        <w:t>4</w:t>
      </w:r>
      <w:r w:rsidR="002E1A2E" w:rsidRPr="009901FA">
        <w:t xml:space="preserve">.1.1 </w:t>
      </w:r>
      <w:r w:rsidR="00B234B8" w:rsidRPr="009901FA">
        <w:t>Direct</w:t>
      </w:r>
      <w:r w:rsidR="00356AE7" w:rsidRPr="009901FA">
        <w:t xml:space="preserve"> Capture </w:t>
      </w:r>
      <w:r w:rsidR="00B234B8" w:rsidRPr="009901FA">
        <w:t>(Atmospheric and Oceanic)</w:t>
      </w:r>
      <w:bookmarkEnd w:id="89"/>
      <w:bookmarkEnd w:id="90"/>
    </w:p>
    <w:p w14:paraId="3612FBB1" w14:textId="79041259" w:rsidR="00267CD3" w:rsidRPr="009901FA" w:rsidRDefault="00267CD3" w:rsidP="00B72DE7">
      <w:pPr>
        <w:pStyle w:val="Heading5"/>
        <w:rPr>
          <w:rFonts w:ascii="Century Gothic" w:eastAsia="MS Gothic" w:hAnsi="Century Gothic" w:cs="Times New Roman"/>
          <w:color w:val="585854"/>
          <w:sz w:val="26"/>
          <w:szCs w:val="24"/>
        </w:rPr>
      </w:pPr>
      <w:r w:rsidRPr="009901FA">
        <w:rPr>
          <w:rFonts w:ascii="Century Gothic" w:eastAsia="MS Gothic" w:hAnsi="Century Gothic" w:cs="Times New Roman"/>
          <w:color w:val="585854"/>
          <w:sz w:val="26"/>
          <w:szCs w:val="24"/>
        </w:rPr>
        <w:t>Overview</w:t>
      </w:r>
    </w:p>
    <w:p w14:paraId="0DD3845C" w14:textId="1669F832" w:rsidR="009A4416" w:rsidRPr="009901FA" w:rsidRDefault="009A4416" w:rsidP="00356AE7">
      <w:r w:rsidRPr="009901FA">
        <w:rPr>
          <w:b/>
          <w:bCs/>
        </w:rPr>
        <w:t>As global attention turns to large-scale carbon dioxide removal, Direct Air Capture (DAC) stands out as a leading technology.</w:t>
      </w:r>
      <w:r w:rsidRPr="009901FA">
        <w:t xml:space="preserve"> Its ability to extract CO</w:t>
      </w:r>
      <w:r w:rsidRPr="00A247A6">
        <w:rPr>
          <w:rFonts w:ascii="Cambria Math" w:hAnsi="Cambria Math" w:cs="Cambria Math"/>
        </w:rPr>
        <w:t>₂</w:t>
      </w:r>
      <w:r w:rsidRPr="009901FA">
        <w:t xml:space="preserve"> directly from ambient air makes it vital for offsetting residual emissions and supporting carbon circularity in hard-to-abate sectors. However, DAC faces notable technical and economic hurdles. This chapter explores DAC configurations, cost trajectories, and the potential rise of ocean-based CDR (o-CDR) as a viable alternative.</w:t>
      </w:r>
    </w:p>
    <w:p w14:paraId="6B167EBB" w14:textId="610BAEA6" w:rsidR="00027E3B" w:rsidRPr="009901FA" w:rsidRDefault="00EC7315" w:rsidP="007300CC">
      <w:r w:rsidRPr="009901FA">
        <w:rPr>
          <w:b/>
          <w:bCs/>
        </w:rPr>
        <w:t xml:space="preserve">DAC </w:t>
      </w:r>
      <w:r w:rsidR="00611FDA" w:rsidRPr="009901FA">
        <w:rPr>
          <w:b/>
          <w:bCs/>
        </w:rPr>
        <w:t>aims</w:t>
      </w:r>
      <w:r w:rsidR="00D925A3" w:rsidRPr="009901FA">
        <w:rPr>
          <w:b/>
          <w:bCs/>
        </w:rPr>
        <w:t xml:space="preserve"> to </w:t>
      </w:r>
      <w:r w:rsidR="00611FDA" w:rsidRPr="009901FA">
        <w:rPr>
          <w:b/>
          <w:bCs/>
        </w:rPr>
        <w:t>capture CO</w:t>
      </w:r>
      <w:r w:rsidR="00611FDA" w:rsidRPr="00A247A6">
        <w:rPr>
          <w:rFonts w:ascii="Cambria Math" w:hAnsi="Cambria Math" w:cs="Cambria Math"/>
          <w:b/>
          <w:bCs/>
        </w:rPr>
        <w:t>₂</w:t>
      </w:r>
      <w:r w:rsidR="00D925A3" w:rsidRPr="009901FA">
        <w:rPr>
          <w:b/>
          <w:bCs/>
        </w:rPr>
        <w:t xml:space="preserve"> from the atmosphere, where concentrations are low and diffuse.</w:t>
      </w:r>
      <w:r w:rsidR="00D925A3" w:rsidRPr="009901FA">
        <w:t xml:space="preserve"> These systems </w:t>
      </w:r>
      <w:r w:rsidR="00611FDA" w:rsidRPr="009901FA">
        <w:t>use</w:t>
      </w:r>
      <w:r w:rsidR="00D925A3" w:rsidRPr="009901FA">
        <w:t xml:space="preserve"> engineered materials or chemical processes to extract CO</w:t>
      </w:r>
      <w:r w:rsidR="00D925A3" w:rsidRPr="00A247A6">
        <w:rPr>
          <w:rFonts w:ascii="Cambria Math" w:hAnsi="Cambria Math" w:cs="Cambria Math"/>
        </w:rPr>
        <w:t>₂</w:t>
      </w:r>
      <w:r w:rsidR="00D925A3" w:rsidRPr="009901FA">
        <w:t xml:space="preserve"> and then regenerate the </w:t>
      </w:r>
      <w:r w:rsidR="00611FDA" w:rsidRPr="009901FA">
        <w:t>capture</w:t>
      </w:r>
      <w:r w:rsidR="00D925A3" w:rsidRPr="009901FA">
        <w:t xml:space="preserve"> medium</w:t>
      </w:r>
      <w:r w:rsidR="00611FDA" w:rsidRPr="009901FA">
        <w:t>.</w:t>
      </w:r>
      <w:r w:rsidR="00D925A3" w:rsidRPr="009901FA">
        <w:t xml:space="preserve"> While </w:t>
      </w:r>
      <w:r w:rsidR="00611FDA" w:rsidRPr="009901FA">
        <w:t>conceptually</w:t>
      </w:r>
      <w:r w:rsidR="00D925A3" w:rsidRPr="009901FA">
        <w:t xml:space="preserve"> simple, implementation is energy-intensive</w:t>
      </w:r>
      <w:r w:rsidR="00611FDA" w:rsidRPr="009901FA">
        <w:t xml:space="preserve"> and requires</w:t>
      </w:r>
      <w:r w:rsidR="00D925A3" w:rsidRPr="009901FA">
        <w:t xml:space="preserve"> careful </w:t>
      </w:r>
      <w:r w:rsidR="00611FDA" w:rsidRPr="009901FA">
        <w:t>optimization for</w:t>
      </w:r>
      <w:r w:rsidR="00D925A3" w:rsidRPr="009901FA">
        <w:t xml:space="preserve"> cost and </w:t>
      </w:r>
      <w:r w:rsidR="00611FDA" w:rsidRPr="009901FA">
        <w:t>scale.</w:t>
      </w:r>
      <w:r w:rsidR="005F1532" w:rsidRPr="009901FA">
        <w:t xml:space="preserve"> </w:t>
      </w:r>
      <w:r w:rsidR="007300CC" w:rsidRPr="009901FA">
        <w:t xml:space="preserve">DAC </w:t>
      </w:r>
      <w:r w:rsidR="00611FDA" w:rsidRPr="009901FA">
        <w:t>is commonly classified</w:t>
      </w:r>
      <w:r w:rsidR="007300CC" w:rsidRPr="009901FA">
        <w:t xml:space="preserve"> into three </w:t>
      </w:r>
      <w:r w:rsidR="00611FDA" w:rsidRPr="009901FA">
        <w:t>types</w:t>
      </w:r>
      <w:r w:rsidR="007300CC" w:rsidRPr="009901FA">
        <w:t xml:space="preserve">: solid sorbent, liquid solvent, and </w:t>
      </w:r>
      <w:r w:rsidR="007300CC" w:rsidRPr="009901FA">
        <w:lastRenderedPageBreak/>
        <w:t>electrochemical</w:t>
      </w:r>
      <w:r w:rsidR="00B92373" w:rsidRPr="009901FA">
        <w:t xml:space="preserve"> which differ in maturity and on-going developments</w:t>
      </w:r>
      <w:r w:rsidR="00027E3B" w:rsidRPr="009901FA">
        <w:t xml:space="preserve">, as shown in </w:t>
      </w:r>
      <w:r w:rsidR="00156287" w:rsidRPr="009901FA">
        <w:fldChar w:fldCharType="begin"/>
      </w:r>
      <w:r w:rsidR="00156287" w:rsidRPr="009901FA">
        <w:instrText xml:space="preserve"> REF _Ref203749111 \h </w:instrText>
      </w:r>
      <w:r w:rsidR="00A247A6">
        <w:instrText xml:space="preserve"> \* MERGEFORMAT </w:instrText>
      </w:r>
      <w:r w:rsidR="00156287" w:rsidRPr="009901FA">
        <w:fldChar w:fldCharType="separate"/>
      </w:r>
      <w:r w:rsidR="00DE378F" w:rsidRPr="009901FA">
        <w:t xml:space="preserve">Exhibit </w:t>
      </w:r>
      <w:r w:rsidR="00E61394">
        <w:rPr>
          <w:noProof/>
        </w:rPr>
        <w:t>4</w:t>
      </w:r>
      <w:r w:rsidR="00DE378F" w:rsidRPr="009901FA">
        <w:t>.</w:t>
      </w:r>
      <w:r w:rsidR="00DE378F" w:rsidRPr="009901FA">
        <w:rPr>
          <w:noProof/>
        </w:rPr>
        <w:t>4</w:t>
      </w:r>
      <w:r w:rsidR="00156287" w:rsidRPr="009901FA">
        <w:fldChar w:fldCharType="end"/>
      </w:r>
      <w:r w:rsidR="00B92373" w:rsidRPr="009901FA">
        <w:rPr>
          <w:rStyle w:val="FootnoteReference"/>
        </w:rPr>
        <w:t xml:space="preserve"> </w:t>
      </w:r>
      <w:r w:rsidR="005F1532" w:rsidRPr="009901FA">
        <w:rPr>
          <w:rStyle w:val="FootnoteReference"/>
        </w:rPr>
        <w:footnoteReference w:id="62"/>
      </w:r>
      <w:r w:rsidR="00611FDA" w:rsidRPr="009901FA">
        <w:t>:</w:t>
      </w:r>
    </w:p>
    <w:p w14:paraId="501AB7DC" w14:textId="3552299F" w:rsidR="00156287" w:rsidRPr="009901FA" w:rsidRDefault="00156287" w:rsidP="00156287">
      <w:pPr>
        <w:pStyle w:val="Caption"/>
        <w:keepNext/>
      </w:pPr>
      <w:bookmarkStart w:id="91" w:name="_Ref203749111"/>
      <w:r w:rsidRPr="009901FA">
        <w:t xml:space="preserve">Exhibit </w:t>
      </w:r>
      <w:r w:rsidR="00E61394">
        <w:t>4</w:t>
      </w:r>
      <w:r w:rsidR="008725B4" w:rsidRPr="009901FA">
        <w:t>.</w:t>
      </w:r>
      <w:fldSimple w:instr=" SEQ Exhibit \* ARABIC \s 2 ">
        <w:r w:rsidR="00DE378F" w:rsidRPr="009901FA">
          <w:rPr>
            <w:noProof/>
          </w:rPr>
          <w:t>4</w:t>
        </w:r>
      </w:fldSimple>
      <w:bookmarkEnd w:id="91"/>
    </w:p>
    <w:p w14:paraId="61F42DF7" w14:textId="4B0FB11D" w:rsidR="00356AE7" w:rsidRPr="009901FA" w:rsidRDefault="00A907A6" w:rsidP="00356AE7">
      <w:r w:rsidRPr="009901FA">
        <w:rPr>
          <w:noProof/>
        </w:rPr>
        <w:drawing>
          <wp:inline distT="0" distB="0" distL="0" distR="0" wp14:anchorId="340A8E5C" wp14:editId="43C2BD2C">
            <wp:extent cx="6263640" cy="3536315"/>
            <wp:effectExtent l="0" t="0" r="3810" b="6985"/>
            <wp:docPr id="119380200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802008" name="Picture 1" descr="A screenshot of a computer&#10;&#10;AI-generated content may be incorrect."/>
                    <pic:cNvPicPr/>
                  </pic:nvPicPr>
                  <pic:blipFill>
                    <a:blip r:embed="rId82"/>
                    <a:stretch>
                      <a:fillRect/>
                    </a:stretch>
                  </pic:blipFill>
                  <pic:spPr>
                    <a:xfrm>
                      <a:off x="0" y="0"/>
                      <a:ext cx="6263640" cy="3536315"/>
                    </a:xfrm>
                    <a:prstGeom prst="rect">
                      <a:avLst/>
                    </a:prstGeom>
                  </pic:spPr>
                </pic:pic>
              </a:graphicData>
            </a:graphic>
          </wp:inline>
        </w:drawing>
      </w:r>
    </w:p>
    <w:p w14:paraId="163A15E8" w14:textId="066D49CD" w:rsidR="00D86AE9" w:rsidRPr="009901FA" w:rsidRDefault="00920CD6" w:rsidP="006B3D80">
      <w:pPr>
        <w:spacing w:after="0"/>
      </w:pPr>
      <w:r w:rsidRPr="009901FA">
        <w:rPr>
          <w:b/>
          <w:bCs/>
        </w:rPr>
        <w:t xml:space="preserve">Initial </w:t>
      </w:r>
      <w:r w:rsidR="00695DE9" w:rsidRPr="009901FA">
        <w:rPr>
          <w:b/>
          <w:bCs/>
        </w:rPr>
        <w:t xml:space="preserve">DAC cost </w:t>
      </w:r>
      <w:r w:rsidRPr="009901FA">
        <w:rPr>
          <w:b/>
          <w:bCs/>
        </w:rPr>
        <w:t>projections were highly optimistic</w:t>
      </w:r>
      <w:r w:rsidR="003E14F7" w:rsidRPr="009901FA">
        <w:rPr>
          <w:b/>
          <w:bCs/>
        </w:rPr>
        <w:t xml:space="preserve"> driven by </w:t>
      </w:r>
      <w:r w:rsidR="00510173" w:rsidRPr="009901FA">
        <w:rPr>
          <w:b/>
          <w:bCs/>
        </w:rPr>
        <w:t>expectations around capital costs</w:t>
      </w:r>
      <w:r w:rsidRPr="009901FA">
        <w:t xml:space="preserve">. </w:t>
      </w:r>
      <w:r w:rsidR="00695DE9" w:rsidRPr="009901FA">
        <w:t>The</w:t>
      </w:r>
      <w:r w:rsidRPr="009901FA">
        <w:t xml:space="preserve"> 2021 ETC outlook anticipated</w:t>
      </w:r>
      <w:r w:rsidR="00695DE9" w:rsidRPr="009901FA">
        <w:t xml:space="preserve"> rapid cost reductions </w:t>
      </w:r>
      <w:r w:rsidRPr="009901FA">
        <w:t xml:space="preserve">to $100–200 per tonne by mid-century. However, </w:t>
      </w:r>
      <w:r w:rsidR="00695DE9" w:rsidRPr="009901FA">
        <w:t>new</w:t>
      </w:r>
      <w:r w:rsidRPr="009901FA">
        <w:t xml:space="preserve"> data from </w:t>
      </w:r>
      <w:r w:rsidR="00695DE9" w:rsidRPr="009901FA">
        <w:t>early commercial</w:t>
      </w:r>
      <w:r w:rsidRPr="009901FA">
        <w:t xml:space="preserve"> projects </w:t>
      </w:r>
      <w:r w:rsidR="00695DE9" w:rsidRPr="009901FA">
        <w:t>prompted significant</w:t>
      </w:r>
      <w:r w:rsidRPr="009901FA">
        <w:t xml:space="preserve"> upward revisions which </w:t>
      </w:r>
      <w:r w:rsidR="00BA78BA" w:rsidRPr="009901FA">
        <w:t>underline</w:t>
      </w:r>
      <w:r w:rsidR="006B3D80" w:rsidRPr="009901FA">
        <w:t>s</w:t>
      </w:r>
      <w:r w:rsidRPr="009901FA">
        <w:t xml:space="preserve"> the need for technology-specific data </w:t>
      </w:r>
      <w:r w:rsidR="00BA78BA" w:rsidRPr="009901FA">
        <w:t xml:space="preserve">in cost models </w:t>
      </w:r>
      <w:r w:rsidRPr="009901FA">
        <w:t xml:space="preserve">rather than </w:t>
      </w:r>
      <w:r w:rsidR="00BA78BA" w:rsidRPr="009901FA">
        <w:t xml:space="preserve">generalized </w:t>
      </w:r>
      <w:r w:rsidRPr="009901FA">
        <w:t>analogues.</w:t>
      </w:r>
      <w:r w:rsidR="00BA78BA" w:rsidRPr="009901FA">
        <w:t xml:space="preserve"> </w:t>
      </w:r>
      <w:r w:rsidR="00D86AE9" w:rsidRPr="009901FA">
        <w:t xml:space="preserve">As </w:t>
      </w:r>
      <w:r w:rsidR="00BA78BA" w:rsidRPr="009901FA">
        <w:t>DAC</w:t>
      </w:r>
      <w:r w:rsidR="00D86AE9" w:rsidRPr="009901FA">
        <w:t xml:space="preserve"> limitations become </w:t>
      </w:r>
      <w:r w:rsidR="00BA78BA" w:rsidRPr="009901FA">
        <w:t xml:space="preserve">clearer, </w:t>
      </w:r>
      <w:r w:rsidR="00D86AE9" w:rsidRPr="009901FA">
        <w:t>o-CDR</w:t>
      </w:r>
      <w:r w:rsidR="00BA78BA" w:rsidRPr="009901FA">
        <w:t xml:space="preserve"> is gaining attention</w:t>
      </w:r>
      <w:r w:rsidR="00D86AE9" w:rsidRPr="009901FA">
        <w:t xml:space="preserve"> as a complementary or alternative </w:t>
      </w:r>
      <w:r w:rsidR="00BA78BA" w:rsidRPr="009901FA">
        <w:t>approach.</w:t>
      </w:r>
      <w:r w:rsidR="00D86AE9" w:rsidRPr="009901FA">
        <w:t xml:space="preserve"> </w:t>
      </w:r>
      <w:r w:rsidR="00E13DB3" w:rsidRPr="009901FA">
        <w:t xml:space="preserve">As illustrated in </w:t>
      </w:r>
      <w:r w:rsidR="00E13DB3" w:rsidRPr="009901FA">
        <w:fldChar w:fldCharType="begin"/>
      </w:r>
      <w:r w:rsidR="00E13DB3" w:rsidRPr="009901FA">
        <w:instrText xml:space="preserve"> REF _Ref203749170 \h </w:instrText>
      </w:r>
      <w:r w:rsidR="00A247A6">
        <w:instrText xml:space="preserve"> \* MERGEFORMAT </w:instrText>
      </w:r>
      <w:r w:rsidR="00E13DB3" w:rsidRPr="009901FA">
        <w:fldChar w:fldCharType="separate"/>
      </w:r>
      <w:r w:rsidR="00DE378F" w:rsidRPr="009901FA">
        <w:t xml:space="preserve">Exhibit </w:t>
      </w:r>
      <w:r w:rsidR="00E61394">
        <w:rPr>
          <w:noProof/>
        </w:rPr>
        <w:t>4</w:t>
      </w:r>
      <w:r w:rsidR="00DE378F" w:rsidRPr="009901FA">
        <w:t>.</w:t>
      </w:r>
      <w:r w:rsidR="00DE378F" w:rsidRPr="009901FA">
        <w:rPr>
          <w:noProof/>
        </w:rPr>
        <w:t>5</w:t>
      </w:r>
      <w:r w:rsidR="00E13DB3" w:rsidRPr="009901FA">
        <w:fldChar w:fldCharType="end"/>
      </w:r>
      <w:r w:rsidR="00E13DB3" w:rsidRPr="009901FA">
        <w:t>, t</w:t>
      </w:r>
      <w:r w:rsidR="00D86AE9" w:rsidRPr="009901FA">
        <w:t xml:space="preserve">hese </w:t>
      </w:r>
      <w:r w:rsidR="00BA78BA" w:rsidRPr="009901FA">
        <w:t xml:space="preserve">systems enhance </w:t>
      </w:r>
      <w:r w:rsidR="00D86AE9" w:rsidRPr="009901FA">
        <w:t xml:space="preserve">the ocean’s </w:t>
      </w:r>
      <w:r w:rsidR="00BA78BA" w:rsidRPr="009901FA">
        <w:t>carbon uptake using</w:t>
      </w:r>
      <w:r w:rsidR="00D86AE9" w:rsidRPr="009901FA">
        <w:t xml:space="preserve"> electrochemical processes</w:t>
      </w:r>
      <w:r w:rsidR="00BA78BA" w:rsidRPr="009901FA">
        <w:t xml:space="preserve"> that</w:t>
      </w:r>
      <w:r w:rsidR="00D86AE9" w:rsidRPr="009901FA">
        <w:t xml:space="preserve"> manipulate seawater chemistry.</w:t>
      </w:r>
    </w:p>
    <w:p w14:paraId="5A8EC191" w14:textId="1CA4AC5A" w:rsidR="00156287" w:rsidRPr="009901FA" w:rsidRDefault="00156287" w:rsidP="00D86AE9"/>
    <w:p w14:paraId="31A4B4AA" w14:textId="1E6F81BC" w:rsidR="00156287" w:rsidRPr="009901FA" w:rsidRDefault="00156287" w:rsidP="00156287">
      <w:pPr>
        <w:pStyle w:val="Caption"/>
        <w:keepNext/>
      </w:pPr>
      <w:bookmarkStart w:id="92" w:name="_Ref203749170"/>
      <w:r w:rsidRPr="009901FA">
        <w:lastRenderedPageBreak/>
        <w:t xml:space="preserve">Exhibit </w:t>
      </w:r>
      <w:r w:rsidR="00E61394">
        <w:t>4</w:t>
      </w:r>
      <w:r w:rsidR="008725B4" w:rsidRPr="009901FA">
        <w:t>.</w:t>
      </w:r>
      <w:fldSimple w:instr=" SEQ Exhibit \* ARABIC \s 2 ">
        <w:r w:rsidR="00DE378F" w:rsidRPr="009901FA">
          <w:rPr>
            <w:noProof/>
          </w:rPr>
          <w:t>5</w:t>
        </w:r>
      </w:fldSimple>
      <w:bookmarkEnd w:id="92"/>
    </w:p>
    <w:p w14:paraId="38E48894" w14:textId="7E5377F3" w:rsidR="00CC6626" w:rsidRPr="009901FA" w:rsidRDefault="00B96BCE" w:rsidP="00D86AE9">
      <w:r w:rsidRPr="009901FA">
        <w:rPr>
          <w:noProof/>
        </w:rPr>
        <w:drawing>
          <wp:inline distT="0" distB="0" distL="0" distR="0" wp14:anchorId="632D92E5" wp14:editId="4C516251">
            <wp:extent cx="6263640" cy="3350260"/>
            <wp:effectExtent l="0" t="0" r="3810" b="2540"/>
            <wp:docPr id="703189768" name="Picture 1" descr="A diagram of a carbon dioxide proc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189768" name="Picture 1" descr="A diagram of a carbon dioxide process&#10;&#10;AI-generated content may be incorrect."/>
                    <pic:cNvPicPr/>
                  </pic:nvPicPr>
                  <pic:blipFill>
                    <a:blip r:embed="rId83"/>
                    <a:stretch>
                      <a:fillRect/>
                    </a:stretch>
                  </pic:blipFill>
                  <pic:spPr>
                    <a:xfrm>
                      <a:off x="0" y="0"/>
                      <a:ext cx="6263640" cy="3350260"/>
                    </a:xfrm>
                    <a:prstGeom prst="rect">
                      <a:avLst/>
                    </a:prstGeom>
                  </pic:spPr>
                </pic:pic>
              </a:graphicData>
            </a:graphic>
          </wp:inline>
        </w:drawing>
      </w:r>
    </w:p>
    <w:p w14:paraId="4D672A5D" w14:textId="6DF466F7" w:rsidR="00D86AE9" w:rsidRPr="009901FA" w:rsidRDefault="00D86AE9" w:rsidP="00D86AE9">
      <w:r w:rsidRPr="009901FA">
        <w:t xml:space="preserve">Ocean-based electrochemical carbon removal can involve one of </w:t>
      </w:r>
      <w:r w:rsidRPr="009901FA">
        <w:rPr>
          <w:b/>
        </w:rPr>
        <w:t>two primary processes: electrodialysis</w:t>
      </w:r>
      <w:r w:rsidRPr="009901FA">
        <w:t xml:space="preserve"> or </w:t>
      </w:r>
      <w:r w:rsidRPr="009901FA">
        <w:rPr>
          <w:b/>
        </w:rPr>
        <w:t>electrolysis</w:t>
      </w:r>
      <w:r w:rsidRPr="009901FA">
        <w:t>, each resulting in a different carbon removal pathway and chemical outcome. In both approaches, seawater is split into two distinct streams — acidic and alkaline — through the application of electric current.</w:t>
      </w:r>
      <w:r w:rsidR="00C01AE0" w:rsidRPr="009901FA">
        <w:rPr>
          <w:rStyle w:val="FootnoteReference"/>
        </w:rPr>
        <w:footnoteReference w:id="63"/>
      </w:r>
    </w:p>
    <w:p w14:paraId="09D11DC3" w14:textId="4C59050F" w:rsidR="00D86AE9" w:rsidRPr="009901FA" w:rsidRDefault="00D86AE9" w:rsidP="00D86AE9">
      <w:r w:rsidRPr="009901FA">
        <w:rPr>
          <w:b/>
        </w:rPr>
        <w:t>CO</w:t>
      </w:r>
      <w:r w:rsidRPr="00A247A6">
        <w:rPr>
          <w:rFonts w:ascii="Cambria Math" w:hAnsi="Cambria Math" w:cs="Cambria Math"/>
          <w:b/>
        </w:rPr>
        <w:t>₂</w:t>
      </w:r>
      <w:r w:rsidRPr="009901FA">
        <w:rPr>
          <w:b/>
        </w:rPr>
        <w:t xml:space="preserve"> removal is possible to occur in both streams</w:t>
      </w:r>
      <w:r w:rsidRPr="009901FA">
        <w:t>, but the actual mechanism depends on the technology used:</w:t>
      </w:r>
      <w:r w:rsidR="00650ABE" w:rsidRPr="009901FA">
        <w:rPr>
          <w:rStyle w:val="FootnoteReference"/>
        </w:rPr>
        <w:footnoteReference w:id="64"/>
      </w:r>
    </w:p>
    <w:p w14:paraId="21DAEBA9" w14:textId="55AC5097" w:rsidR="00724F4D" w:rsidRPr="009901FA" w:rsidRDefault="00D86AE9" w:rsidP="002C2B3F">
      <w:pPr>
        <w:numPr>
          <w:ilvl w:val="0"/>
          <w:numId w:val="15"/>
        </w:numPr>
      </w:pPr>
      <w:r w:rsidRPr="009901FA">
        <w:rPr>
          <w:b/>
        </w:rPr>
        <w:t>Electrodialysis-based systems</w:t>
      </w:r>
      <w:r w:rsidRPr="009901FA">
        <w:t xml:space="preserve">: </w:t>
      </w:r>
      <w:r w:rsidR="00334A3C" w:rsidRPr="009901FA">
        <w:t>In this configuration, seawater is separated</w:t>
      </w:r>
      <w:r w:rsidR="00724F4D" w:rsidRPr="009901FA">
        <w:t xml:space="preserve"> into </w:t>
      </w:r>
      <w:r w:rsidR="00334A3C" w:rsidRPr="009901FA">
        <w:t xml:space="preserve">an </w:t>
      </w:r>
      <w:r w:rsidR="00724F4D" w:rsidRPr="009901FA">
        <w:t xml:space="preserve">acidic </w:t>
      </w:r>
      <w:r w:rsidR="00334A3C" w:rsidRPr="009901FA">
        <w:t xml:space="preserve">stream </w:t>
      </w:r>
      <w:r w:rsidR="00724F4D" w:rsidRPr="009901FA">
        <w:t xml:space="preserve">and </w:t>
      </w:r>
      <w:r w:rsidR="00334A3C" w:rsidRPr="009901FA">
        <w:t xml:space="preserve">an </w:t>
      </w:r>
      <w:r w:rsidR="00724F4D" w:rsidRPr="009901FA">
        <w:t xml:space="preserve">alkaline </w:t>
      </w:r>
      <w:r w:rsidR="00334A3C" w:rsidRPr="009901FA">
        <w:t xml:space="preserve">stream. </w:t>
      </w:r>
      <w:r w:rsidR="001001F0" w:rsidRPr="009901FA">
        <w:t>In the acidic stream, the reduction in pH shifts the carbonate equilibrium toward gaseous CO</w:t>
      </w:r>
      <w:r w:rsidR="001001F0" w:rsidRPr="00A247A6">
        <w:rPr>
          <w:rFonts w:ascii="Cambria Math" w:hAnsi="Cambria Math" w:cs="Cambria Math"/>
        </w:rPr>
        <w:t>₂</w:t>
      </w:r>
      <w:r w:rsidR="001001F0" w:rsidRPr="009901FA">
        <w:t xml:space="preserve"> release</w:t>
      </w:r>
      <w:r w:rsidR="001001F0" w:rsidRPr="009901FA">
        <w:rPr>
          <w:rFonts w:cs="Arial Nova"/>
        </w:rPr>
        <w:t xml:space="preserve">, </w:t>
      </w:r>
      <w:r w:rsidR="001001F0" w:rsidRPr="009901FA">
        <w:t>as dissolved bicarbonate and carbonate ions convert back to CO</w:t>
      </w:r>
      <w:r w:rsidR="001001F0" w:rsidRPr="00A247A6">
        <w:rPr>
          <w:rFonts w:ascii="Cambria Math" w:hAnsi="Cambria Math" w:cs="Cambria Math"/>
        </w:rPr>
        <w:t>₂</w:t>
      </w:r>
      <w:r w:rsidR="001001F0" w:rsidRPr="009901FA">
        <w:t xml:space="preserve"> gas. This evolved CO</w:t>
      </w:r>
      <w:r w:rsidR="001001F0" w:rsidRPr="00A247A6">
        <w:rPr>
          <w:rFonts w:ascii="Cambria Math" w:hAnsi="Cambria Math" w:cs="Cambria Math"/>
        </w:rPr>
        <w:t>₂</w:t>
      </w:r>
      <w:r w:rsidR="001001F0" w:rsidRPr="009901FA">
        <w:t xml:space="preserve"> is captured, typically through vacuum stripping. The acidic and alkaline streams are subsequently recombined, yielding seawater with slightly higher pH and enhanced capacity to reabsorb atmospheric CO</w:t>
      </w:r>
      <w:r w:rsidR="001001F0" w:rsidRPr="00A247A6">
        <w:rPr>
          <w:rFonts w:ascii="Cambria Math" w:hAnsi="Cambria Math" w:cs="Cambria Math"/>
        </w:rPr>
        <w:t>₂</w:t>
      </w:r>
      <w:r w:rsidR="001001F0" w:rsidRPr="009901FA">
        <w:t xml:space="preserve"> upon discharge. Thus, the net removal occurs at the point of CO</w:t>
      </w:r>
      <w:r w:rsidR="001001F0" w:rsidRPr="00A247A6">
        <w:rPr>
          <w:rFonts w:ascii="Cambria Math" w:hAnsi="Cambria Math" w:cs="Cambria Math"/>
        </w:rPr>
        <w:t>₂</w:t>
      </w:r>
      <w:r w:rsidR="001001F0" w:rsidRPr="009901FA">
        <w:t xml:space="preserve"> gas evolution, with indirect drawdown from the atmosphere occurring as the ocean re-equilibrates over tim</w:t>
      </w:r>
      <w:r w:rsidR="00247638" w:rsidRPr="009901FA">
        <w:t>e.</w:t>
      </w:r>
    </w:p>
    <w:p w14:paraId="6B7BE709" w14:textId="5223E31E" w:rsidR="00D86AE9" w:rsidRPr="009901FA" w:rsidRDefault="00D86AE9" w:rsidP="002C2B3F">
      <w:pPr>
        <w:numPr>
          <w:ilvl w:val="0"/>
          <w:numId w:val="15"/>
        </w:numPr>
      </w:pPr>
      <w:r w:rsidRPr="009901FA">
        <w:rPr>
          <w:b/>
        </w:rPr>
        <w:t>Electrolysis-based systems</w:t>
      </w:r>
      <w:r w:rsidRPr="009901FA">
        <w:t xml:space="preserve">: </w:t>
      </w:r>
      <w:r w:rsidR="00153E0E" w:rsidRPr="009901FA">
        <w:t>In this configuration</w:t>
      </w:r>
      <w:r w:rsidRPr="009901FA">
        <w:t>, water electrolysis produces an alkaline stream capable of absorbing CO</w:t>
      </w:r>
      <w:r w:rsidRPr="00A247A6">
        <w:rPr>
          <w:rFonts w:ascii="Cambria Math" w:hAnsi="Cambria Math" w:cs="Cambria Math"/>
        </w:rPr>
        <w:t>₂</w:t>
      </w:r>
      <w:r w:rsidRPr="009901FA">
        <w:t xml:space="preserve"> directly from the atmosphere. This </w:t>
      </w:r>
      <w:r w:rsidRPr="009901FA">
        <w:lastRenderedPageBreak/>
        <w:t>absorbed CO</w:t>
      </w:r>
      <w:r w:rsidRPr="00A247A6">
        <w:rPr>
          <w:rFonts w:ascii="Cambria Math" w:hAnsi="Cambria Math" w:cs="Cambria Math"/>
        </w:rPr>
        <w:t>₂</w:t>
      </w:r>
      <w:r w:rsidRPr="009901FA">
        <w:t xml:space="preserve"> reacts with naturally occurring calcium (Ca</w:t>
      </w:r>
      <w:r w:rsidRPr="009901FA">
        <w:rPr>
          <w:rFonts w:cs="Century Gothic"/>
        </w:rPr>
        <w:t>²</w:t>
      </w:r>
      <w:r w:rsidRPr="00A247A6">
        <w:rPr>
          <w:rFonts w:ascii="Cambria Math" w:hAnsi="Cambria Math" w:cs="Cambria Math"/>
        </w:rPr>
        <w:t>⁺</w:t>
      </w:r>
      <w:r w:rsidRPr="009901FA">
        <w:t>) and magnesium (Mg</w:t>
      </w:r>
      <w:r w:rsidRPr="009901FA">
        <w:rPr>
          <w:rFonts w:cs="Century Gothic"/>
        </w:rPr>
        <w:t>²</w:t>
      </w:r>
      <w:r w:rsidRPr="00A247A6">
        <w:rPr>
          <w:rFonts w:ascii="Cambria Math" w:hAnsi="Cambria Math" w:cs="Cambria Math"/>
        </w:rPr>
        <w:t>⁺</w:t>
      </w:r>
      <w:r w:rsidRPr="009901FA">
        <w:t xml:space="preserve">) ions in seawater to form solid carbonate minerals (precipitation). </w:t>
      </w:r>
      <w:r w:rsidR="00A53C71" w:rsidRPr="009901FA">
        <w:t>This represents atmospheric CO</w:t>
      </w:r>
      <w:r w:rsidR="00A53C71" w:rsidRPr="00A247A6">
        <w:rPr>
          <w:rFonts w:ascii="Cambria Math" w:hAnsi="Cambria Math" w:cs="Cambria Math"/>
        </w:rPr>
        <w:t>₂</w:t>
      </w:r>
      <w:r w:rsidR="00A53C71" w:rsidRPr="009901FA">
        <w:t xml:space="preserve"> removal via mineralization, rather than extraction from seawater. In parallel, an acidic stream is also generated from the anode compartment and must be neutralized to avoid ecological harm</w:t>
      </w:r>
      <w:r w:rsidR="0017095C" w:rsidRPr="009901FA">
        <w:t>, which typically involves adding</w:t>
      </w:r>
      <w:r w:rsidR="004B7F69" w:rsidRPr="009901FA">
        <w:t xml:space="preserve"> alkaline minerals (ground rock)</w:t>
      </w:r>
      <w:r w:rsidR="00A53C71" w:rsidRPr="009901FA">
        <w:t>.</w:t>
      </w:r>
      <w:r w:rsidR="00A53C71" w:rsidRPr="009901FA">
        <w:br/>
      </w:r>
      <w:r w:rsidR="00A52576" w:rsidRPr="009901FA">
        <w:t>The solid form of the captured CO</w:t>
      </w:r>
      <w:r w:rsidR="00A52576" w:rsidRPr="009901FA">
        <w:rPr>
          <w:vertAlign w:val="subscript"/>
        </w:rPr>
        <w:t>2</w:t>
      </w:r>
      <w:r w:rsidR="00A52576" w:rsidRPr="009901FA">
        <w:t xml:space="preserve"> makes it </w:t>
      </w:r>
      <w:r w:rsidR="00891E09" w:rsidRPr="009901FA">
        <w:t xml:space="preserve">unable to be utilised as </w:t>
      </w:r>
      <w:r w:rsidR="00605DA2" w:rsidRPr="009901FA">
        <w:t>a gas</w:t>
      </w:r>
      <w:r w:rsidR="00A52576" w:rsidRPr="009901FA">
        <w:t xml:space="preserve">, but it could hold small value </w:t>
      </w:r>
      <w:r w:rsidR="00CF084D" w:rsidRPr="009901FA">
        <w:t>as a mineral making it a potential by-product.</w:t>
      </w:r>
      <w:r w:rsidRPr="009901FA">
        <w:t xml:space="preserve"> Additionally, H</w:t>
      </w:r>
      <w:r w:rsidRPr="00A247A6">
        <w:rPr>
          <w:rFonts w:ascii="Cambria Math" w:hAnsi="Cambria Math" w:cs="Cambria Math"/>
        </w:rPr>
        <w:t>₂</w:t>
      </w:r>
      <w:r w:rsidRPr="009901FA">
        <w:t xml:space="preserve"> is generated as a useful by-product.</w:t>
      </w:r>
    </w:p>
    <w:p w14:paraId="4E72A025" w14:textId="5612F47F" w:rsidR="00D86AE9" w:rsidRPr="009901FA" w:rsidRDefault="00637925" w:rsidP="00D86AE9">
      <w:r w:rsidRPr="009901FA">
        <w:t>Though o-CDR shares the objective of atmospheric CO</w:t>
      </w:r>
      <w:r w:rsidRPr="00A247A6">
        <w:rPr>
          <w:rFonts w:ascii="Cambria Math" w:hAnsi="Cambria Math" w:cs="Cambria Math"/>
        </w:rPr>
        <w:t>₂</w:t>
      </w:r>
      <w:r w:rsidRPr="009901FA">
        <w:t xml:space="preserve"> removal with DAC, it operates through a different medium and mechanism, skipping the air-capture step and reducing energy demand by </w:t>
      </w:r>
      <w:r w:rsidR="009113FE" w:rsidRPr="009901FA">
        <w:t>up to 40%</w:t>
      </w:r>
      <w:r w:rsidRPr="009901FA">
        <w:t xml:space="preserve"> per tonne. Properly designed systems may also help combat ocean acidification. However, o-CDR remains early-stage</w:t>
      </w:r>
      <w:r w:rsidR="000548FA" w:rsidRPr="009901FA">
        <w:t>,</w:t>
      </w:r>
      <w:r w:rsidRPr="009901FA">
        <w:t xml:space="preserve"> and key assumptions </w:t>
      </w:r>
      <w:r w:rsidRPr="009901FA">
        <w:rPr>
          <w:rFonts w:cs="Arial Nova"/>
        </w:rPr>
        <w:t>—</w:t>
      </w:r>
      <w:r w:rsidRPr="009901FA">
        <w:t xml:space="preserve"> especially that CO</w:t>
      </w:r>
      <w:r w:rsidRPr="00A247A6">
        <w:rPr>
          <w:rFonts w:ascii="Cambria Math" w:hAnsi="Cambria Math" w:cs="Cambria Math"/>
        </w:rPr>
        <w:t>₂</w:t>
      </w:r>
      <w:r w:rsidRPr="009901FA">
        <w:t xml:space="preserve"> removed from seawater will be fully replaced by atmospheric drawdown </w:t>
      </w:r>
      <w:r w:rsidRPr="009901FA">
        <w:rPr>
          <w:rFonts w:cs="Arial Nova"/>
        </w:rPr>
        <w:t>—</w:t>
      </w:r>
      <w:r w:rsidRPr="009901FA">
        <w:t xml:space="preserve"> are still under investigation. Re-equilibration rates vary by location and can take days to months, posing challenges for carbon accounting and certification. Its future success depends on site-specific deployment, access to clean electricity, and robust MRV frameworks. Until those are in place, o-CDR should be seen as a promising but emerging complement to more mature CO</w:t>
      </w:r>
      <w:r w:rsidRPr="00A247A6">
        <w:rPr>
          <w:rFonts w:ascii="Cambria Math" w:hAnsi="Cambria Math" w:cs="Cambria Math"/>
        </w:rPr>
        <w:t>₂</w:t>
      </w:r>
      <w:r w:rsidRPr="009901FA">
        <w:t xml:space="preserve"> removal pathways like DAC</w:t>
      </w:r>
      <w:r w:rsidR="00890A87" w:rsidRPr="009901FA">
        <w:t>.</w:t>
      </w:r>
    </w:p>
    <w:p w14:paraId="05D8A44A" w14:textId="2BF73D34" w:rsidR="00E71F32" w:rsidRPr="009901FA" w:rsidRDefault="00E71F32" w:rsidP="00E71F32">
      <w:pPr>
        <w:spacing w:after="200"/>
        <w:rPr>
          <w:b/>
          <w:bCs/>
          <w:color w:val="00146D" w:themeColor="text2"/>
        </w:rPr>
      </w:pPr>
      <w:r w:rsidRPr="009901FA">
        <w:t xml:space="preserve">Table </w:t>
      </w:r>
      <w:fldSimple w:instr=" SEQ Table \* ARABIC ">
        <w:r w:rsidR="00DE378F" w:rsidRPr="009901FA">
          <w:rPr>
            <w:noProof/>
          </w:rPr>
          <w:t>2</w:t>
        </w:r>
      </w:fldSimple>
      <w:r w:rsidRPr="009901FA">
        <w:t xml:space="preserve">: </w:t>
      </w:r>
      <w:r w:rsidRPr="009901FA">
        <w:rPr>
          <w:b/>
          <w:color w:val="00146D" w:themeColor="text2"/>
        </w:rPr>
        <w:t>Comparison of key characteristics of o-CDR and DAC</w:t>
      </w:r>
    </w:p>
    <w:tbl>
      <w:tblPr>
        <w:tblStyle w:val="Systemiq-Table1"/>
        <w:tblW w:w="0" w:type="auto"/>
        <w:tblLook w:val="04A0" w:firstRow="1" w:lastRow="0" w:firstColumn="1" w:lastColumn="0" w:noHBand="0" w:noVBand="1"/>
      </w:tblPr>
      <w:tblGrid>
        <w:gridCol w:w="2607"/>
        <w:gridCol w:w="3901"/>
        <w:gridCol w:w="3324"/>
      </w:tblGrid>
      <w:tr w:rsidR="00340E11" w:rsidRPr="009901FA" w14:paraId="40CADD58" w14:textId="77777777">
        <w:trPr>
          <w:cnfStyle w:val="100000000000" w:firstRow="1" w:lastRow="0" w:firstColumn="0" w:lastColumn="0" w:oddVBand="0" w:evenVBand="0" w:oddHBand="0" w:evenHBand="0" w:firstRowFirstColumn="0" w:firstRowLastColumn="0" w:lastRowFirstColumn="0" w:lastRowLastColumn="0"/>
        </w:trPr>
        <w:tc>
          <w:tcPr>
            <w:tcW w:w="0" w:type="auto"/>
            <w:hideMark/>
          </w:tcPr>
          <w:p w14:paraId="1E7693D2" w14:textId="77777777" w:rsidR="00D86AE9" w:rsidRPr="009901FA" w:rsidRDefault="00D86AE9">
            <w:pPr>
              <w:spacing w:after="120" w:line="264" w:lineRule="auto"/>
              <w:rPr>
                <w:sz w:val="20"/>
              </w:rPr>
            </w:pPr>
            <w:r w:rsidRPr="009901FA">
              <w:rPr>
                <w:sz w:val="20"/>
              </w:rPr>
              <w:t>Parameter</w:t>
            </w:r>
          </w:p>
        </w:tc>
        <w:tc>
          <w:tcPr>
            <w:tcW w:w="0" w:type="auto"/>
            <w:hideMark/>
          </w:tcPr>
          <w:p w14:paraId="461193BD" w14:textId="77777777" w:rsidR="00D86AE9" w:rsidRPr="009901FA" w:rsidRDefault="00D86AE9">
            <w:pPr>
              <w:spacing w:after="120" w:line="264" w:lineRule="auto"/>
              <w:rPr>
                <w:sz w:val="20"/>
              </w:rPr>
            </w:pPr>
            <w:r w:rsidRPr="009901FA">
              <w:rPr>
                <w:sz w:val="20"/>
              </w:rPr>
              <w:t>o-CDR</w:t>
            </w:r>
          </w:p>
        </w:tc>
        <w:tc>
          <w:tcPr>
            <w:tcW w:w="0" w:type="auto"/>
            <w:hideMark/>
          </w:tcPr>
          <w:p w14:paraId="2B5D9932" w14:textId="77777777" w:rsidR="00D86AE9" w:rsidRPr="009901FA" w:rsidRDefault="00D86AE9">
            <w:pPr>
              <w:spacing w:after="120" w:line="264" w:lineRule="auto"/>
              <w:rPr>
                <w:sz w:val="20"/>
              </w:rPr>
            </w:pPr>
            <w:r w:rsidRPr="009901FA">
              <w:rPr>
                <w:sz w:val="20"/>
              </w:rPr>
              <w:t>DAC</w:t>
            </w:r>
          </w:p>
        </w:tc>
      </w:tr>
      <w:tr w:rsidR="00D86AE9" w:rsidRPr="009901FA" w14:paraId="7AAB5F64" w14:textId="77777777">
        <w:tc>
          <w:tcPr>
            <w:tcW w:w="0" w:type="auto"/>
            <w:hideMark/>
          </w:tcPr>
          <w:p w14:paraId="419A4C11" w14:textId="77777777" w:rsidR="00D86AE9" w:rsidRPr="009901FA" w:rsidRDefault="00D86AE9">
            <w:pPr>
              <w:spacing w:after="120" w:line="264" w:lineRule="auto"/>
            </w:pPr>
            <w:r w:rsidRPr="009901FA">
              <w:rPr>
                <w:b/>
              </w:rPr>
              <w:t>CO</w:t>
            </w:r>
            <w:r w:rsidRPr="00A247A6">
              <w:rPr>
                <w:rFonts w:ascii="Cambria Math" w:hAnsi="Cambria Math" w:cs="Cambria Math"/>
                <w:b/>
              </w:rPr>
              <w:t>₂</w:t>
            </w:r>
            <w:r w:rsidRPr="009901FA">
              <w:rPr>
                <w:b/>
              </w:rPr>
              <w:t xml:space="preserve"> source medium</w:t>
            </w:r>
          </w:p>
        </w:tc>
        <w:tc>
          <w:tcPr>
            <w:tcW w:w="0" w:type="auto"/>
            <w:hideMark/>
          </w:tcPr>
          <w:p w14:paraId="5764EC82" w14:textId="77777777" w:rsidR="00D86AE9" w:rsidRPr="009901FA" w:rsidRDefault="00D86AE9">
            <w:pPr>
              <w:spacing w:after="120" w:line="264" w:lineRule="auto"/>
            </w:pPr>
            <w:r w:rsidRPr="009901FA">
              <w:t>Seawater</w:t>
            </w:r>
          </w:p>
        </w:tc>
        <w:tc>
          <w:tcPr>
            <w:tcW w:w="0" w:type="auto"/>
            <w:hideMark/>
          </w:tcPr>
          <w:p w14:paraId="55D22A3E" w14:textId="77777777" w:rsidR="00D86AE9" w:rsidRPr="009901FA" w:rsidRDefault="00D86AE9">
            <w:pPr>
              <w:spacing w:after="120" w:line="264" w:lineRule="auto"/>
            </w:pPr>
            <w:r w:rsidRPr="009901FA">
              <w:t>Ambient air</w:t>
            </w:r>
          </w:p>
        </w:tc>
      </w:tr>
      <w:tr w:rsidR="00D86AE9" w:rsidRPr="009901FA" w14:paraId="096BB5A7" w14:textId="77777777">
        <w:tc>
          <w:tcPr>
            <w:tcW w:w="0" w:type="auto"/>
            <w:hideMark/>
          </w:tcPr>
          <w:p w14:paraId="33920702" w14:textId="77777777" w:rsidR="00D86AE9" w:rsidRPr="009901FA" w:rsidRDefault="00D86AE9">
            <w:pPr>
              <w:spacing w:after="120" w:line="264" w:lineRule="auto"/>
            </w:pPr>
            <w:r w:rsidRPr="009901FA">
              <w:rPr>
                <w:b/>
              </w:rPr>
              <w:t>Mechanism</w:t>
            </w:r>
          </w:p>
        </w:tc>
        <w:tc>
          <w:tcPr>
            <w:tcW w:w="0" w:type="auto"/>
            <w:hideMark/>
          </w:tcPr>
          <w:p w14:paraId="0423A07C" w14:textId="77777777" w:rsidR="00D86AE9" w:rsidRPr="009901FA" w:rsidRDefault="00D86AE9">
            <w:pPr>
              <w:spacing w:after="120" w:line="264" w:lineRule="auto"/>
            </w:pPr>
            <w:r w:rsidRPr="009901FA">
              <w:t>Only desorption or precipitation</w:t>
            </w:r>
          </w:p>
        </w:tc>
        <w:tc>
          <w:tcPr>
            <w:tcW w:w="0" w:type="auto"/>
            <w:hideMark/>
          </w:tcPr>
          <w:p w14:paraId="65D076D5" w14:textId="77777777" w:rsidR="00D86AE9" w:rsidRPr="009901FA" w:rsidRDefault="00D86AE9">
            <w:pPr>
              <w:spacing w:after="120" w:line="264" w:lineRule="auto"/>
            </w:pPr>
            <w:r w:rsidRPr="009901FA">
              <w:t>Absorption and desorption</w:t>
            </w:r>
          </w:p>
        </w:tc>
      </w:tr>
      <w:tr w:rsidR="00D86AE9" w:rsidRPr="009901FA" w14:paraId="416F0C31" w14:textId="77777777">
        <w:tc>
          <w:tcPr>
            <w:tcW w:w="0" w:type="auto"/>
            <w:hideMark/>
          </w:tcPr>
          <w:p w14:paraId="04248D35" w14:textId="77777777" w:rsidR="00D86AE9" w:rsidRPr="009901FA" w:rsidRDefault="00D86AE9">
            <w:pPr>
              <w:spacing w:after="120" w:line="264" w:lineRule="auto"/>
            </w:pPr>
            <w:r w:rsidRPr="009901FA">
              <w:rPr>
                <w:b/>
              </w:rPr>
              <w:t>Energy requirement</w:t>
            </w:r>
          </w:p>
        </w:tc>
        <w:tc>
          <w:tcPr>
            <w:tcW w:w="0" w:type="auto"/>
            <w:hideMark/>
          </w:tcPr>
          <w:p w14:paraId="0949CCF3" w14:textId="77777777" w:rsidR="00D86AE9" w:rsidRPr="009901FA" w:rsidRDefault="00D86AE9">
            <w:pPr>
              <w:spacing w:after="120" w:line="264" w:lineRule="auto"/>
            </w:pPr>
            <w:r w:rsidRPr="009901FA">
              <w:t>~1.3–1.7 kWh/kg CO</w:t>
            </w:r>
            <w:r w:rsidRPr="00A247A6">
              <w:rPr>
                <w:rFonts w:ascii="Cambria Math" w:hAnsi="Cambria Math" w:cs="Cambria Math"/>
              </w:rPr>
              <w:t>₂</w:t>
            </w:r>
          </w:p>
        </w:tc>
        <w:tc>
          <w:tcPr>
            <w:tcW w:w="0" w:type="auto"/>
            <w:hideMark/>
          </w:tcPr>
          <w:p w14:paraId="6F483D92" w14:textId="77777777" w:rsidR="00D86AE9" w:rsidRPr="009901FA" w:rsidRDefault="00D86AE9">
            <w:pPr>
              <w:spacing w:after="120" w:line="264" w:lineRule="auto"/>
            </w:pPr>
            <w:r w:rsidRPr="009901FA">
              <w:t>~1.5–2.5 kWh/kg CO</w:t>
            </w:r>
            <w:r w:rsidRPr="00A247A6">
              <w:rPr>
                <w:rFonts w:ascii="Cambria Math" w:hAnsi="Cambria Math" w:cs="Cambria Math"/>
              </w:rPr>
              <w:t>₂</w:t>
            </w:r>
          </w:p>
        </w:tc>
      </w:tr>
      <w:tr w:rsidR="00D86AE9" w:rsidRPr="009901FA" w14:paraId="1F7CCD1D" w14:textId="77777777">
        <w:tc>
          <w:tcPr>
            <w:tcW w:w="0" w:type="auto"/>
            <w:hideMark/>
          </w:tcPr>
          <w:p w14:paraId="5C337AE8" w14:textId="77777777" w:rsidR="00D86AE9" w:rsidRPr="009901FA" w:rsidRDefault="00D86AE9">
            <w:pPr>
              <w:spacing w:after="120" w:line="264" w:lineRule="auto"/>
            </w:pPr>
            <w:r w:rsidRPr="009901FA">
              <w:rPr>
                <w:b/>
              </w:rPr>
              <w:t>Temperature</w:t>
            </w:r>
          </w:p>
        </w:tc>
        <w:tc>
          <w:tcPr>
            <w:tcW w:w="0" w:type="auto"/>
            <w:hideMark/>
          </w:tcPr>
          <w:p w14:paraId="3DFEFE95" w14:textId="77777777" w:rsidR="00D86AE9" w:rsidRPr="009901FA" w:rsidRDefault="00D86AE9">
            <w:pPr>
              <w:spacing w:after="120" w:line="264" w:lineRule="auto"/>
            </w:pPr>
            <w:r w:rsidRPr="009901FA">
              <w:t>Ambient or low</w:t>
            </w:r>
          </w:p>
        </w:tc>
        <w:tc>
          <w:tcPr>
            <w:tcW w:w="0" w:type="auto"/>
            <w:hideMark/>
          </w:tcPr>
          <w:p w14:paraId="7A796DF8" w14:textId="77777777" w:rsidR="00D86AE9" w:rsidRPr="009901FA" w:rsidRDefault="00D86AE9">
            <w:pPr>
              <w:spacing w:after="120" w:line="264" w:lineRule="auto"/>
            </w:pPr>
            <w:r w:rsidRPr="009901FA">
              <w:t>80–900°C</w:t>
            </w:r>
          </w:p>
        </w:tc>
      </w:tr>
      <w:tr w:rsidR="00D86AE9" w:rsidRPr="009901FA" w14:paraId="222A297E" w14:textId="77777777">
        <w:tc>
          <w:tcPr>
            <w:tcW w:w="0" w:type="auto"/>
            <w:hideMark/>
          </w:tcPr>
          <w:p w14:paraId="11D59B7E" w14:textId="77777777" w:rsidR="00D86AE9" w:rsidRPr="009901FA" w:rsidRDefault="00D86AE9">
            <w:pPr>
              <w:spacing w:after="120" w:line="264" w:lineRule="auto"/>
            </w:pPr>
            <w:r w:rsidRPr="009901FA">
              <w:rPr>
                <w:b/>
              </w:rPr>
              <w:t>System type</w:t>
            </w:r>
          </w:p>
        </w:tc>
        <w:tc>
          <w:tcPr>
            <w:tcW w:w="0" w:type="auto"/>
            <w:hideMark/>
          </w:tcPr>
          <w:p w14:paraId="4ABAEEF7" w14:textId="77777777" w:rsidR="00D86AE9" w:rsidRPr="009901FA" w:rsidRDefault="00D86AE9">
            <w:pPr>
              <w:spacing w:after="120" w:line="264" w:lineRule="auto"/>
            </w:pPr>
            <w:r w:rsidRPr="009901FA">
              <w:t>Offshore or decentralized</w:t>
            </w:r>
          </w:p>
        </w:tc>
        <w:tc>
          <w:tcPr>
            <w:tcW w:w="0" w:type="auto"/>
            <w:hideMark/>
          </w:tcPr>
          <w:p w14:paraId="006E4A6F" w14:textId="77777777" w:rsidR="00D86AE9" w:rsidRPr="009901FA" w:rsidRDefault="00D86AE9">
            <w:pPr>
              <w:spacing w:after="120" w:line="264" w:lineRule="auto"/>
            </w:pPr>
            <w:r w:rsidRPr="009901FA">
              <w:t>Modular and scalable</w:t>
            </w:r>
          </w:p>
        </w:tc>
      </w:tr>
      <w:tr w:rsidR="00D86AE9" w:rsidRPr="009901FA" w14:paraId="4695B6DD" w14:textId="77777777">
        <w:tc>
          <w:tcPr>
            <w:tcW w:w="0" w:type="auto"/>
            <w:hideMark/>
          </w:tcPr>
          <w:p w14:paraId="46867DD9" w14:textId="77777777" w:rsidR="00D86AE9" w:rsidRPr="009901FA" w:rsidRDefault="00D86AE9">
            <w:pPr>
              <w:spacing w:after="120" w:line="264" w:lineRule="auto"/>
            </w:pPr>
            <w:r w:rsidRPr="009901FA">
              <w:rPr>
                <w:b/>
              </w:rPr>
              <w:t>By-product potential</w:t>
            </w:r>
          </w:p>
        </w:tc>
        <w:tc>
          <w:tcPr>
            <w:tcW w:w="0" w:type="auto"/>
            <w:hideMark/>
          </w:tcPr>
          <w:p w14:paraId="3096C038" w14:textId="77777777" w:rsidR="00D86AE9" w:rsidRPr="009901FA" w:rsidRDefault="00D86AE9">
            <w:pPr>
              <w:spacing w:after="120" w:line="264" w:lineRule="auto"/>
            </w:pPr>
            <w:r w:rsidRPr="009901FA">
              <w:t>Hydrogen (if electrolysis is used)</w:t>
            </w:r>
          </w:p>
        </w:tc>
        <w:tc>
          <w:tcPr>
            <w:tcW w:w="0" w:type="auto"/>
            <w:hideMark/>
          </w:tcPr>
          <w:p w14:paraId="2258DFFD" w14:textId="77777777" w:rsidR="00D86AE9" w:rsidRPr="009901FA" w:rsidRDefault="00D86AE9">
            <w:pPr>
              <w:spacing w:after="120" w:line="264" w:lineRule="auto"/>
            </w:pPr>
            <w:r w:rsidRPr="009901FA">
              <w:t>None</w:t>
            </w:r>
          </w:p>
        </w:tc>
      </w:tr>
    </w:tbl>
    <w:p w14:paraId="799C0E69" w14:textId="77777777" w:rsidR="00267CD3" w:rsidRPr="009901FA" w:rsidRDefault="00267CD3" w:rsidP="00920CD6"/>
    <w:p w14:paraId="5CF06AD6" w14:textId="4E9705DD" w:rsidR="00267CD3" w:rsidRPr="009901FA" w:rsidRDefault="00267CD3" w:rsidP="00B72DE7">
      <w:pPr>
        <w:pStyle w:val="Heading5"/>
        <w:rPr>
          <w:rFonts w:ascii="Century Gothic" w:hAnsi="Century Gothic"/>
        </w:rPr>
      </w:pPr>
      <w:r w:rsidRPr="009901FA">
        <w:rPr>
          <w:rFonts w:ascii="Century Gothic" w:hAnsi="Century Gothic"/>
        </w:rPr>
        <w:t>Costs</w:t>
      </w:r>
    </w:p>
    <w:p w14:paraId="7B1371A1" w14:textId="26FE177B" w:rsidR="001904EF" w:rsidRPr="009901FA" w:rsidRDefault="001904EF" w:rsidP="001904EF">
      <w:pPr>
        <w:spacing w:after="0"/>
      </w:pPr>
      <w:r w:rsidRPr="009901FA">
        <w:t xml:space="preserve">A major challenge in projecting DAC costs is the limited installed capacity and lack of historical deployment data. Most models rely on assumptions and analogies from </w:t>
      </w:r>
      <w:r w:rsidRPr="009901FA">
        <w:lastRenderedPageBreak/>
        <w:t>mature sectors like solar PV or wind, which may not apply to DAC. Learning rate assumptions vary widely</w:t>
      </w:r>
      <w:r w:rsidR="00512170" w:rsidRPr="009901FA">
        <w:rPr>
          <w:rStyle w:val="FootnoteReference"/>
        </w:rPr>
        <w:footnoteReference w:id="65"/>
      </w:r>
      <w:r w:rsidR="0074256C" w:rsidRPr="009901FA">
        <w:rPr>
          <w:vertAlign w:val="superscript"/>
        </w:rPr>
        <w:t>,</w:t>
      </w:r>
      <w:r w:rsidR="0074256C" w:rsidRPr="009901FA">
        <w:rPr>
          <w:rStyle w:val="FootnoteReference"/>
        </w:rPr>
        <w:footnoteReference w:id="66"/>
      </w:r>
      <w:r w:rsidR="0074256C" w:rsidRPr="009901FA">
        <w:rPr>
          <w:vertAlign w:val="superscript"/>
        </w:rPr>
        <w:t>,</w:t>
      </w:r>
      <w:r w:rsidR="0074256C" w:rsidRPr="009901FA">
        <w:rPr>
          <w:rStyle w:val="FootnoteReference"/>
        </w:rPr>
        <w:footnoteReference w:id="67"/>
      </w:r>
      <w:r w:rsidRPr="009901FA">
        <w:t xml:space="preserve">: </w:t>
      </w:r>
    </w:p>
    <w:p w14:paraId="33FB14CE" w14:textId="77777777" w:rsidR="001904EF" w:rsidRPr="009901FA" w:rsidRDefault="001904EF" w:rsidP="002C2B3F">
      <w:pPr>
        <w:pStyle w:val="ListParagraph"/>
        <w:numPr>
          <w:ilvl w:val="0"/>
          <w:numId w:val="13"/>
        </w:numPr>
      </w:pPr>
      <w:r w:rsidRPr="009901FA">
        <w:rPr>
          <w:b/>
        </w:rPr>
        <w:t>Capital expenditure (CAPEX):</w:t>
      </w:r>
      <w:r w:rsidRPr="009901FA">
        <w:t xml:space="preserve"> Assumed learning rates range from 10% to 20%.</w:t>
      </w:r>
    </w:p>
    <w:p w14:paraId="4259FFF9" w14:textId="77777777" w:rsidR="001904EF" w:rsidRPr="009901FA" w:rsidRDefault="001904EF" w:rsidP="002C2B3F">
      <w:pPr>
        <w:pStyle w:val="ListParagraph"/>
        <w:numPr>
          <w:ilvl w:val="0"/>
          <w:numId w:val="13"/>
        </w:numPr>
      </w:pPr>
      <w:r w:rsidRPr="009901FA">
        <w:rPr>
          <w:b/>
        </w:rPr>
        <w:t>Operational expenditure (OPEX):</w:t>
      </w:r>
      <w:r w:rsidRPr="009901FA">
        <w:t xml:space="preserve"> Learning rates range from 2% to 10%.</w:t>
      </w:r>
    </w:p>
    <w:p w14:paraId="11BDC4D5" w14:textId="77777777" w:rsidR="001904EF" w:rsidRPr="009901FA" w:rsidRDefault="001904EF" w:rsidP="001904EF">
      <w:pPr>
        <w:spacing w:after="0"/>
      </w:pPr>
      <w:r w:rsidRPr="009901FA">
        <w:t xml:space="preserve">Moreover, many studies use </w:t>
      </w:r>
      <w:r w:rsidRPr="009901FA">
        <w:rPr>
          <w:b/>
        </w:rPr>
        <w:t>single-component learning curves</w:t>
      </w:r>
      <w:r w:rsidRPr="009901FA">
        <w:t>, which carry two critical limitations:</w:t>
      </w:r>
    </w:p>
    <w:p w14:paraId="3834DCE5" w14:textId="77777777" w:rsidR="001904EF" w:rsidRPr="009901FA" w:rsidRDefault="001904EF" w:rsidP="002C2B3F">
      <w:pPr>
        <w:pStyle w:val="ListParagraph"/>
        <w:numPr>
          <w:ilvl w:val="0"/>
          <w:numId w:val="12"/>
        </w:numPr>
      </w:pPr>
      <w:r w:rsidRPr="009901FA">
        <w:t>They assume uniform learning across all system components, ignoring that many parts (e.g. compressors, heat exchangers) are already mature and will not benefit from deployment scale.</w:t>
      </w:r>
    </w:p>
    <w:p w14:paraId="5F0B1BE6" w14:textId="77777777" w:rsidR="001904EF" w:rsidRPr="009901FA" w:rsidRDefault="001904EF" w:rsidP="002C2B3F">
      <w:pPr>
        <w:pStyle w:val="ListParagraph"/>
        <w:numPr>
          <w:ilvl w:val="0"/>
          <w:numId w:val="12"/>
        </w:numPr>
      </w:pPr>
      <w:r w:rsidRPr="009901FA">
        <w:t>Even for novel components, learning rates can vary from 11% to 27%, depending on design, integration and manufacturing scale, making simple curve-based extrapolations unreliable.</w:t>
      </w:r>
    </w:p>
    <w:p w14:paraId="679172FB" w14:textId="03C9885E" w:rsidR="00BD4C82" w:rsidRPr="009901FA" w:rsidRDefault="001D0C55" w:rsidP="00A22F43">
      <w:r w:rsidRPr="009901FA">
        <w:rPr>
          <w:b/>
          <w:bCs/>
        </w:rPr>
        <w:t xml:space="preserve">As shown in </w:t>
      </w:r>
      <w:r w:rsidR="00BC6E9A" w:rsidRPr="009901FA">
        <w:rPr>
          <w:b/>
          <w:bCs/>
        </w:rPr>
        <w:fldChar w:fldCharType="begin"/>
      </w:r>
      <w:r w:rsidR="00BC6E9A" w:rsidRPr="009901FA">
        <w:rPr>
          <w:b/>
          <w:bCs/>
        </w:rPr>
        <w:instrText xml:space="preserve"> REF _Ref203749276 \h  \* MERGEFORMAT </w:instrText>
      </w:r>
      <w:r w:rsidR="00BC6E9A" w:rsidRPr="009901FA">
        <w:rPr>
          <w:b/>
          <w:bCs/>
        </w:rPr>
      </w:r>
      <w:r w:rsidR="00BC6E9A" w:rsidRPr="009901FA">
        <w:rPr>
          <w:b/>
          <w:bCs/>
        </w:rPr>
        <w:fldChar w:fldCharType="separate"/>
      </w:r>
      <w:r w:rsidR="00DE378F" w:rsidRPr="009901FA">
        <w:rPr>
          <w:b/>
          <w:bCs/>
        </w:rPr>
        <w:t xml:space="preserve">Exhibit </w:t>
      </w:r>
      <w:r w:rsidR="00E61394">
        <w:rPr>
          <w:noProof/>
        </w:rPr>
        <w:t>4</w:t>
      </w:r>
      <w:r w:rsidR="00DE378F" w:rsidRPr="009901FA">
        <w:rPr>
          <w:noProof/>
        </w:rPr>
        <w:t>.6</w:t>
      </w:r>
      <w:r w:rsidR="00BC6E9A" w:rsidRPr="009901FA">
        <w:rPr>
          <w:b/>
          <w:bCs/>
        </w:rPr>
        <w:fldChar w:fldCharType="end"/>
      </w:r>
      <w:r w:rsidRPr="009901FA">
        <w:rPr>
          <w:b/>
          <w:bCs/>
        </w:rPr>
        <w:t>, recent 2024 literature from ETH Zurich and MIT estimates DAC costs to be up to four times higher than those projected by the ETC in 2021</w:t>
      </w:r>
      <w:r w:rsidRPr="009901FA">
        <w:t>. These studies derived their estimates using expert interviews to assess the cost of individual system components, multi-component learning curves, or a combination of both approaches.</w:t>
      </w:r>
    </w:p>
    <w:p w14:paraId="37C59733" w14:textId="2A8A1F94" w:rsidR="00BC6E9A" w:rsidRPr="009901FA" w:rsidRDefault="00BC6E9A" w:rsidP="00BC6E9A">
      <w:pPr>
        <w:pStyle w:val="Caption"/>
        <w:keepNext/>
      </w:pPr>
      <w:bookmarkStart w:id="93" w:name="_Ref203749276"/>
      <w:r w:rsidRPr="009901FA">
        <w:lastRenderedPageBreak/>
        <w:t xml:space="preserve">Exhibit </w:t>
      </w:r>
      <w:r w:rsidR="00E61394">
        <w:t>4</w:t>
      </w:r>
      <w:r w:rsidR="008725B4" w:rsidRPr="009901FA">
        <w:t>.</w:t>
      </w:r>
      <w:fldSimple w:instr=" SEQ Exhibit \* ARABIC \s 2 ">
        <w:r w:rsidR="00DE378F" w:rsidRPr="009901FA">
          <w:rPr>
            <w:noProof/>
          </w:rPr>
          <w:t>6</w:t>
        </w:r>
      </w:fldSimple>
      <w:bookmarkEnd w:id="93"/>
    </w:p>
    <w:p w14:paraId="70325E34" w14:textId="6D471186" w:rsidR="00E77E1B" w:rsidRPr="009901FA" w:rsidRDefault="00E61FA7" w:rsidP="00A22F43">
      <w:r w:rsidRPr="009901FA">
        <w:rPr>
          <w:noProof/>
        </w:rPr>
        <w:drawing>
          <wp:inline distT="0" distB="0" distL="0" distR="0" wp14:anchorId="5A783E22" wp14:editId="47DBD293">
            <wp:extent cx="6263640" cy="3505200"/>
            <wp:effectExtent l="0" t="0" r="3810" b="0"/>
            <wp:docPr id="886196635" name="Picture 1"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196635" name="Picture 1" descr="A graph with numbers and lines&#10;&#10;AI-generated content may be incorrect."/>
                    <pic:cNvPicPr/>
                  </pic:nvPicPr>
                  <pic:blipFill>
                    <a:blip r:embed="rId84"/>
                    <a:stretch>
                      <a:fillRect/>
                    </a:stretch>
                  </pic:blipFill>
                  <pic:spPr>
                    <a:xfrm>
                      <a:off x="0" y="0"/>
                      <a:ext cx="6263640" cy="3505200"/>
                    </a:xfrm>
                    <a:prstGeom prst="rect">
                      <a:avLst/>
                    </a:prstGeom>
                  </pic:spPr>
                </pic:pic>
              </a:graphicData>
            </a:graphic>
          </wp:inline>
        </w:drawing>
      </w:r>
    </w:p>
    <w:p w14:paraId="6108C85F" w14:textId="1884D3A2" w:rsidR="00A22F43" w:rsidRPr="009901FA" w:rsidRDefault="00BD4C82" w:rsidP="00A22F43">
      <w:r w:rsidRPr="009901FA">
        <w:rPr>
          <w:b/>
          <w:bCs/>
        </w:rPr>
        <w:t>In light of updated data, the ETC has revised its internal projections for DAC costs in 2025 and beyond</w:t>
      </w:r>
      <w:r w:rsidRPr="009901FA">
        <w:t xml:space="preserve">. </w:t>
      </w:r>
      <w:r w:rsidR="00A22F43" w:rsidRPr="009901FA">
        <w:t>These revisions are informed by actual project experience, notably from Climeworks’ plant in Iceland, and reflect a more grounded outlook on technology learning and system design.</w:t>
      </w:r>
    </w:p>
    <w:p w14:paraId="28FBBECE" w14:textId="77777777" w:rsidR="00A22F43" w:rsidRPr="009901FA" w:rsidRDefault="00A22F43" w:rsidP="00EE7717">
      <w:pPr>
        <w:spacing w:after="0"/>
      </w:pPr>
      <w:r w:rsidRPr="009901FA">
        <w:t>Key updates include:</w:t>
      </w:r>
    </w:p>
    <w:p w14:paraId="5CD3A1FA" w14:textId="77777777" w:rsidR="00A22F43" w:rsidRPr="009901FA" w:rsidRDefault="00A22F43" w:rsidP="002C2B3F">
      <w:pPr>
        <w:numPr>
          <w:ilvl w:val="0"/>
          <w:numId w:val="14"/>
        </w:numPr>
        <w:spacing w:after="0"/>
      </w:pPr>
      <w:r w:rsidRPr="009901FA">
        <w:rPr>
          <w:b/>
        </w:rPr>
        <w:t>CAPEX revision:</w:t>
      </w:r>
      <w:r w:rsidRPr="009901FA">
        <w:t xml:space="preserve"> Upward adjustment from $1470 to $2500 per tonne CO</w:t>
      </w:r>
      <w:r w:rsidRPr="00A247A6">
        <w:rPr>
          <w:rFonts w:ascii="Cambria Math" w:hAnsi="Cambria Math" w:cs="Cambria Math"/>
        </w:rPr>
        <w:t>₂</w:t>
      </w:r>
      <w:r w:rsidRPr="009901FA">
        <w:t>/year capacity, based on Climeworks</w:t>
      </w:r>
      <w:r w:rsidRPr="009901FA">
        <w:rPr>
          <w:rFonts w:cs="Century Gothic"/>
        </w:rPr>
        <w:t>’</w:t>
      </w:r>
      <w:r w:rsidRPr="009901FA">
        <w:t xml:space="preserve"> recent deployment.</w:t>
      </w:r>
    </w:p>
    <w:p w14:paraId="3DF9D60D" w14:textId="77777777" w:rsidR="00A22F43" w:rsidRPr="009901FA" w:rsidRDefault="00A22F43" w:rsidP="002C2B3F">
      <w:pPr>
        <w:numPr>
          <w:ilvl w:val="0"/>
          <w:numId w:val="14"/>
        </w:numPr>
        <w:spacing w:after="0"/>
      </w:pPr>
      <w:r w:rsidRPr="009901FA">
        <w:rPr>
          <w:b/>
        </w:rPr>
        <w:t>Learning rate:</w:t>
      </w:r>
      <w:r w:rsidRPr="009901FA">
        <w:t xml:space="preserve"> Reduced from 12% to 6%, reflecting the slower-than-expected cost decline across major DAC components.</w:t>
      </w:r>
    </w:p>
    <w:p w14:paraId="04B6053B" w14:textId="7474C771" w:rsidR="00A36214" w:rsidRPr="009901FA" w:rsidRDefault="00A36214" w:rsidP="002C2B3F">
      <w:pPr>
        <w:numPr>
          <w:ilvl w:val="0"/>
          <w:numId w:val="14"/>
        </w:numPr>
        <w:spacing w:after="0"/>
      </w:pPr>
      <w:r w:rsidRPr="009901FA">
        <w:rPr>
          <w:b/>
        </w:rPr>
        <w:t>Electricity consumption:</w:t>
      </w:r>
      <w:r w:rsidRPr="009901FA">
        <w:t xml:space="preserve"> Increased from 250 to 370 kWh/tCO</w:t>
      </w:r>
      <w:r w:rsidRPr="00A247A6">
        <w:rPr>
          <w:rFonts w:ascii="Cambria Math" w:hAnsi="Cambria Math" w:cs="Cambria Math"/>
        </w:rPr>
        <w:t>₂</w:t>
      </w:r>
      <w:r w:rsidRPr="009901FA">
        <w:t>, aligned with new research and more realistic system configurations.</w:t>
      </w:r>
    </w:p>
    <w:p w14:paraId="68B21F51" w14:textId="77777777" w:rsidR="00A22F43" w:rsidRPr="009901FA" w:rsidRDefault="00A22F43" w:rsidP="002C2B3F">
      <w:pPr>
        <w:numPr>
          <w:ilvl w:val="0"/>
          <w:numId w:val="14"/>
        </w:numPr>
      </w:pPr>
      <w:r w:rsidRPr="009901FA">
        <w:rPr>
          <w:b/>
        </w:rPr>
        <w:t>OPEX implications:</w:t>
      </w:r>
      <w:r w:rsidRPr="009901FA">
        <w:t xml:space="preserve"> Higher base costs and a flatter learning curve translate into more conservative future cost reductions.</w:t>
      </w:r>
    </w:p>
    <w:p w14:paraId="1DB8690B" w14:textId="2A794B44" w:rsidR="00547100" w:rsidRPr="009901FA" w:rsidRDefault="00A22F43" w:rsidP="00920CD6">
      <w:r w:rsidRPr="009901FA">
        <w:rPr>
          <w:b/>
        </w:rPr>
        <w:t>These changes result in a projected cost of $478/tCO</w:t>
      </w:r>
      <w:r w:rsidRPr="00A247A6">
        <w:rPr>
          <w:rFonts w:ascii="Cambria Math" w:hAnsi="Cambria Math" w:cs="Cambria Math"/>
          <w:b/>
        </w:rPr>
        <w:t>₂</w:t>
      </w:r>
      <w:r w:rsidRPr="009901FA">
        <w:rPr>
          <w:b/>
        </w:rPr>
        <w:t xml:space="preserve"> in 2030, compared to earlier forecasts of around $270. </w:t>
      </w:r>
      <w:r w:rsidRPr="009901FA">
        <w:rPr>
          <w:b/>
          <w:bCs/>
        </w:rPr>
        <w:t>Even under optimistic deployment scenarios, the new ETC trajectory forecasts costs falling to around $234/tCO</w:t>
      </w:r>
      <w:r w:rsidRPr="00A247A6">
        <w:rPr>
          <w:rFonts w:ascii="Cambria Math" w:hAnsi="Cambria Math" w:cs="Cambria Math"/>
          <w:b/>
          <w:bCs/>
        </w:rPr>
        <w:t>₂</w:t>
      </w:r>
      <w:r w:rsidRPr="009901FA">
        <w:rPr>
          <w:b/>
          <w:bCs/>
        </w:rPr>
        <w:t xml:space="preserve"> by 2050, </w:t>
      </w:r>
      <w:r w:rsidR="00B1587C" w:rsidRPr="009901FA">
        <w:rPr>
          <w:b/>
          <w:bCs/>
        </w:rPr>
        <w:t>about twice as expensive in the long run compare to</w:t>
      </w:r>
      <w:r w:rsidRPr="009901FA">
        <w:rPr>
          <w:b/>
          <w:bCs/>
        </w:rPr>
        <w:t xml:space="preserve"> than the $100</w:t>
      </w:r>
      <w:r w:rsidRPr="009901FA">
        <w:rPr>
          <w:rFonts w:cs="Century Gothic"/>
          <w:b/>
          <w:bCs/>
        </w:rPr>
        <w:t>–</w:t>
      </w:r>
      <w:r w:rsidRPr="009901FA">
        <w:rPr>
          <w:b/>
          <w:bCs/>
        </w:rPr>
        <w:t>150 range envisioned in earlier literature</w:t>
      </w:r>
      <w:r w:rsidRPr="009901FA">
        <w:t>.</w:t>
      </w:r>
      <w:r w:rsidR="00264C18" w:rsidRPr="009901FA">
        <w:t xml:space="preserve"> </w:t>
      </w:r>
      <w:r w:rsidRPr="009901FA">
        <w:t>The revised estimates emphasize that while DAC remains a crucial tool for net-zero transitions, its scalability and economic viability depend heavily on continued innovation, policy support and the integration of low-cost, renewable energy infrastructure.</w:t>
      </w:r>
      <w:r w:rsidR="00CB5983" w:rsidRPr="009901FA">
        <w:t xml:space="preserve"> </w:t>
      </w:r>
      <w:r w:rsidR="00547100" w:rsidRPr="009901FA">
        <w:t xml:space="preserve">A detailed breakdown of the updated levelized cost components is provided in the accompanying </w:t>
      </w:r>
      <w:r w:rsidR="00BC6E9A" w:rsidRPr="009901FA">
        <w:fldChar w:fldCharType="begin"/>
      </w:r>
      <w:r w:rsidR="00BC6E9A" w:rsidRPr="009901FA">
        <w:instrText xml:space="preserve"> REF _Ref203749299 \h </w:instrText>
      </w:r>
      <w:r w:rsidR="00A247A6">
        <w:instrText xml:space="preserve"> \* MERGEFORMAT </w:instrText>
      </w:r>
      <w:r w:rsidR="00BC6E9A" w:rsidRPr="009901FA">
        <w:fldChar w:fldCharType="separate"/>
      </w:r>
      <w:r w:rsidR="00DE378F" w:rsidRPr="009901FA">
        <w:t xml:space="preserve">Exhibit </w:t>
      </w:r>
      <w:r w:rsidR="00E61394">
        <w:rPr>
          <w:noProof/>
        </w:rPr>
        <w:t>4</w:t>
      </w:r>
      <w:r w:rsidR="00DE378F" w:rsidRPr="009901FA">
        <w:t>.</w:t>
      </w:r>
      <w:r w:rsidR="00DE378F" w:rsidRPr="009901FA">
        <w:rPr>
          <w:noProof/>
        </w:rPr>
        <w:t>7</w:t>
      </w:r>
      <w:r w:rsidR="00BC6E9A" w:rsidRPr="009901FA">
        <w:fldChar w:fldCharType="end"/>
      </w:r>
      <w:r w:rsidR="00547100" w:rsidRPr="009901FA">
        <w:t>.</w:t>
      </w:r>
    </w:p>
    <w:p w14:paraId="2AFB8A29" w14:textId="370D5CE3" w:rsidR="00BC6E9A" w:rsidRPr="009901FA" w:rsidRDefault="00BC6E9A" w:rsidP="00BC6E9A">
      <w:pPr>
        <w:pStyle w:val="Caption"/>
        <w:keepNext/>
      </w:pPr>
      <w:bookmarkStart w:id="94" w:name="_Ref203749299"/>
      <w:r w:rsidRPr="009901FA">
        <w:lastRenderedPageBreak/>
        <w:t xml:space="preserve">Exhibit </w:t>
      </w:r>
      <w:r w:rsidR="00E61394">
        <w:t>4</w:t>
      </w:r>
      <w:r w:rsidR="008725B4" w:rsidRPr="009901FA">
        <w:t>.</w:t>
      </w:r>
      <w:fldSimple w:instr=" SEQ Exhibit \* ARABIC \s 2 ">
        <w:r w:rsidR="00DE378F" w:rsidRPr="009901FA">
          <w:rPr>
            <w:noProof/>
          </w:rPr>
          <w:t>7</w:t>
        </w:r>
      </w:fldSimple>
      <w:bookmarkEnd w:id="94"/>
      <w:r w:rsidR="00DB2A13" w:rsidRPr="009901FA">
        <w:rPr>
          <w:color w:val="00146D" w:themeColor="text2"/>
          <w:highlight w:val="yellow"/>
        </w:rPr>
        <w:t xml:space="preserve"> </w:t>
      </w:r>
    </w:p>
    <w:p w14:paraId="7EF4E4F1" w14:textId="60027245" w:rsidR="00232F14" w:rsidRPr="009901FA" w:rsidRDefault="0097030B" w:rsidP="00920CD6">
      <w:r w:rsidRPr="009901FA">
        <w:rPr>
          <w:noProof/>
        </w:rPr>
        <w:drawing>
          <wp:inline distT="0" distB="0" distL="0" distR="0" wp14:anchorId="45A8FFD1" wp14:editId="6F4CB652">
            <wp:extent cx="6263640" cy="2330450"/>
            <wp:effectExtent l="0" t="0" r="3810" b="0"/>
            <wp:docPr id="1164558592"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558592" name="Picture 1" descr="A screenshot of a graph&#10;&#10;Description automatically generated"/>
                    <pic:cNvPicPr/>
                  </pic:nvPicPr>
                  <pic:blipFill>
                    <a:blip r:embed="rId85"/>
                    <a:stretch>
                      <a:fillRect/>
                    </a:stretch>
                  </pic:blipFill>
                  <pic:spPr>
                    <a:xfrm>
                      <a:off x="0" y="0"/>
                      <a:ext cx="6263640" cy="2330450"/>
                    </a:xfrm>
                    <a:prstGeom prst="rect">
                      <a:avLst/>
                    </a:prstGeom>
                  </pic:spPr>
                </pic:pic>
              </a:graphicData>
            </a:graphic>
          </wp:inline>
        </w:drawing>
      </w:r>
    </w:p>
    <w:p w14:paraId="090B7C26" w14:textId="77777777" w:rsidR="004D5E83" w:rsidRPr="009901FA" w:rsidRDefault="004D5E83" w:rsidP="005A113D"/>
    <w:p w14:paraId="38BD94DA" w14:textId="77777777" w:rsidR="00E666FB" w:rsidRPr="009901FA" w:rsidRDefault="00E666FB" w:rsidP="00E666FB">
      <w:r w:rsidRPr="009901FA">
        <w:rPr>
          <w:b/>
        </w:rPr>
        <w:t xml:space="preserve">The Equatic process represents an ocean-based carbon removal pathway that relies on seawater electrolysis. </w:t>
      </w:r>
      <w:r w:rsidRPr="009901FA">
        <w:t>Functioning similarly to an alkaline electrolyzer, the system uses ion-selective membranes to separate seawater into acidic and alkaline streams. Within this configuration, the alkaline stream absorbs atmospheric CO</w:t>
      </w:r>
      <w:r w:rsidRPr="00A247A6">
        <w:rPr>
          <w:rFonts w:ascii="Cambria Math" w:hAnsi="Cambria Math" w:cs="Cambria Math"/>
        </w:rPr>
        <w:t>₂</w:t>
      </w:r>
      <w:r w:rsidRPr="009901FA">
        <w:t xml:space="preserve"> and facilitates its precipitation into stable carbonate minerals, while the process simultaneously produces hydrogen gas as a valuable co-product. The acidic stream is subsequently neutralized using low-cost crushed rock, allowing for environmentally safe discharge back into the ocean.</w:t>
      </w:r>
    </w:p>
    <w:p w14:paraId="5C04376D" w14:textId="77777777" w:rsidR="00E666FB" w:rsidRPr="009901FA" w:rsidRDefault="00E666FB" w:rsidP="00E666FB">
      <w:r w:rsidRPr="009901FA">
        <w:rPr>
          <w:b/>
        </w:rPr>
        <w:t>Cost estimates for this system are anchored to benchmarks for alkaline electrolyzers</w:t>
      </w:r>
      <w:r w:rsidRPr="009901FA">
        <w:t>, albeit adjusted slightly upward to account for the dual-function nature of the Equatic design. Mineral by-products, while generated during the process, are currently not monetized due to limited market maturity, although they may offer modest additional value in the future. A further cost advantage arises from the system’s ability to bypass desalination, significantly reducing overall operating expenses.</w:t>
      </w:r>
    </w:p>
    <w:p w14:paraId="46BC4617" w14:textId="28CA578A" w:rsidR="00433FAB" w:rsidRPr="009901FA" w:rsidRDefault="00E666FB" w:rsidP="005627DA">
      <w:r w:rsidRPr="009901FA">
        <w:rPr>
          <w:b/>
        </w:rPr>
        <w:t>Equatic’s pilot project, scheduled for deployment in 2028, is designed to capture 36,000 tonnes of CO</w:t>
      </w:r>
      <w:r w:rsidRPr="00A247A6">
        <w:rPr>
          <w:rFonts w:ascii="Cambria Math" w:hAnsi="Cambria Math" w:cs="Cambria Math"/>
          <w:b/>
        </w:rPr>
        <w:t>₂</w:t>
      </w:r>
      <w:r w:rsidRPr="009901FA">
        <w:rPr>
          <w:b/>
        </w:rPr>
        <w:t xml:space="preserve"> annually while producing 3,600 tonnes of hydrogen</w:t>
      </w:r>
      <w:r w:rsidR="00BB3577" w:rsidRPr="009901FA">
        <w:rPr>
          <w:rStyle w:val="FootnoteReference"/>
        </w:rPr>
        <w:footnoteReference w:id="68"/>
      </w:r>
      <w:r w:rsidR="00BB3577" w:rsidRPr="009901FA">
        <w:rPr>
          <w:vertAlign w:val="superscript"/>
        </w:rPr>
        <w:t>,</w:t>
      </w:r>
      <w:r w:rsidR="000977B4" w:rsidRPr="009901FA">
        <w:rPr>
          <w:rStyle w:val="FootnoteReference"/>
        </w:rPr>
        <w:footnoteReference w:id="69"/>
      </w:r>
      <w:r w:rsidR="00BB3577" w:rsidRPr="009901FA">
        <w:t>.</w:t>
      </w:r>
      <w:r w:rsidR="005627DA" w:rsidRPr="009901FA">
        <w:t xml:space="preserve"> </w:t>
      </w:r>
      <w:r w:rsidR="00C7008E" w:rsidRPr="009901FA">
        <w:t>In many cases, this</w:t>
      </w:r>
      <w:r w:rsidR="005627DA" w:rsidRPr="009901FA">
        <w:t xml:space="preserve"> hydrogen </w:t>
      </w:r>
      <w:r w:rsidR="00C7008E" w:rsidRPr="009901FA">
        <w:t>is valued at around $</w:t>
      </w:r>
      <w:r w:rsidR="005627DA" w:rsidRPr="009901FA">
        <w:t>3</w:t>
      </w:r>
      <w:r w:rsidR="00C7008E" w:rsidRPr="009901FA">
        <w:t xml:space="preserve"> per kilogram, a price point that reflects expectations for future green hydrogen markets</w:t>
      </w:r>
      <w:r w:rsidR="000E22EF" w:rsidRPr="009901FA">
        <w:t xml:space="preserve">. </w:t>
      </w:r>
      <w:r w:rsidR="005627DA" w:rsidRPr="009901FA">
        <w:t>At</w:t>
      </w:r>
      <w:r w:rsidR="000E22EF" w:rsidRPr="009901FA">
        <w:t xml:space="preserve"> that price range,</w:t>
      </w:r>
      <w:r w:rsidR="00823481" w:rsidRPr="009901FA">
        <w:t xml:space="preserve"> H</w:t>
      </w:r>
      <w:r w:rsidR="00823481" w:rsidRPr="009901FA">
        <w:rPr>
          <w:vertAlign w:val="subscript"/>
        </w:rPr>
        <w:t>2</w:t>
      </w:r>
      <w:r w:rsidR="005627DA" w:rsidRPr="009901FA">
        <w:t xml:space="preserve"> co-product substantially offsets system costs, reducing the net CO</w:t>
      </w:r>
      <w:r w:rsidR="005627DA" w:rsidRPr="00A247A6">
        <w:rPr>
          <w:rFonts w:ascii="Cambria Math" w:hAnsi="Cambria Math" w:cs="Cambria Math"/>
        </w:rPr>
        <w:t>₂</w:t>
      </w:r>
      <w:r w:rsidR="005627DA" w:rsidRPr="009901FA">
        <w:t xml:space="preserve"> removal cost to an estimated $150</w:t>
      </w:r>
      <w:r w:rsidR="005627DA" w:rsidRPr="009901FA">
        <w:rPr>
          <w:rFonts w:cs="Century Gothic"/>
        </w:rPr>
        <w:t>–</w:t>
      </w:r>
      <w:r w:rsidR="005627DA" w:rsidRPr="009901FA">
        <w:t>250</w:t>
      </w:r>
      <w:r w:rsidR="00AD022F" w:rsidRPr="009901FA">
        <w:t xml:space="preserve"> per tonne</w:t>
      </w:r>
      <w:r w:rsidR="005627DA" w:rsidRPr="009901FA">
        <w:t xml:space="preserve">. This is up to 68% lower than the updated ETC estimate for DAC, which places 2030 DAC costs around $478 per tonne. </w:t>
      </w:r>
      <w:r w:rsidR="00EA2F84" w:rsidRPr="009901FA">
        <w:t xml:space="preserve">However, it is important to note that the DAC estimate reflects real-world project experience and </w:t>
      </w:r>
      <w:r w:rsidR="00EA2F84" w:rsidRPr="009901FA">
        <w:lastRenderedPageBreak/>
        <w:t>commercial-scale learning, while the lower cost range projected for Equatic remains theoretical and subject to revision as the technology matures.</w:t>
      </w:r>
      <w:r w:rsidR="00073EB5" w:rsidRPr="009901FA">
        <w:t xml:space="preserve"> </w:t>
      </w:r>
      <w:r w:rsidR="00433FAB" w:rsidRPr="009901FA">
        <w:t>A detailed breakdown of these cost components is shown in</w:t>
      </w:r>
      <w:r w:rsidR="00433FAB" w:rsidRPr="009901FA">
        <w:rPr>
          <w:color w:val="EE0000"/>
        </w:rPr>
        <w:t xml:space="preserve"> </w:t>
      </w:r>
      <w:r w:rsidR="00BC6E9A" w:rsidRPr="009901FA">
        <w:rPr>
          <w:color w:val="EE0000"/>
        </w:rPr>
        <w:fldChar w:fldCharType="begin"/>
      </w:r>
      <w:r w:rsidR="00BC6E9A" w:rsidRPr="009901FA">
        <w:rPr>
          <w:color w:val="EE0000"/>
        </w:rPr>
        <w:instrText xml:space="preserve"> REF _Ref203749312 \h </w:instrText>
      </w:r>
      <w:r w:rsidR="00A247A6">
        <w:rPr>
          <w:color w:val="EE0000"/>
        </w:rPr>
        <w:instrText xml:space="preserve"> \* MERGEFORMAT </w:instrText>
      </w:r>
      <w:r w:rsidR="00BC6E9A" w:rsidRPr="009901FA">
        <w:rPr>
          <w:color w:val="EE0000"/>
        </w:rPr>
      </w:r>
      <w:r w:rsidR="00BC6E9A" w:rsidRPr="009901FA">
        <w:rPr>
          <w:color w:val="EE0000"/>
        </w:rPr>
        <w:fldChar w:fldCharType="separate"/>
      </w:r>
      <w:r w:rsidR="00DE378F" w:rsidRPr="009901FA">
        <w:t xml:space="preserve">Exhibit </w:t>
      </w:r>
      <w:r w:rsidR="00E61394">
        <w:rPr>
          <w:noProof/>
        </w:rPr>
        <w:t>4</w:t>
      </w:r>
      <w:r w:rsidR="00DE378F" w:rsidRPr="009901FA">
        <w:t>.</w:t>
      </w:r>
      <w:r w:rsidR="00DE378F" w:rsidRPr="009901FA">
        <w:rPr>
          <w:noProof/>
        </w:rPr>
        <w:t>8</w:t>
      </w:r>
      <w:r w:rsidR="00BC6E9A" w:rsidRPr="009901FA">
        <w:rPr>
          <w:color w:val="EE0000"/>
        </w:rPr>
        <w:fldChar w:fldCharType="end"/>
      </w:r>
      <w:r w:rsidR="00433FAB" w:rsidRPr="009901FA">
        <w:t>.</w:t>
      </w:r>
    </w:p>
    <w:p w14:paraId="2F65FC40" w14:textId="3DF75082" w:rsidR="00BC6E9A" w:rsidRPr="009901FA" w:rsidRDefault="00BC6E9A" w:rsidP="00BC6E9A">
      <w:pPr>
        <w:pStyle w:val="Caption"/>
        <w:keepNext/>
      </w:pPr>
      <w:bookmarkStart w:id="95" w:name="_Ref203749312"/>
      <w:r w:rsidRPr="009901FA">
        <w:t xml:space="preserve">Exhibit </w:t>
      </w:r>
      <w:r w:rsidR="00E61394">
        <w:t>4</w:t>
      </w:r>
      <w:r w:rsidR="008725B4" w:rsidRPr="009901FA">
        <w:t>.</w:t>
      </w:r>
      <w:fldSimple w:instr=" SEQ Exhibit \* ARABIC \s 2 ">
        <w:r w:rsidR="00DE378F" w:rsidRPr="009901FA">
          <w:rPr>
            <w:noProof/>
          </w:rPr>
          <w:t>8</w:t>
        </w:r>
      </w:fldSimple>
      <w:bookmarkEnd w:id="95"/>
    </w:p>
    <w:p w14:paraId="65EF1D2A" w14:textId="506A9EE5" w:rsidR="005627DA" w:rsidRPr="009901FA" w:rsidRDefault="00AE1C2E" w:rsidP="005627DA">
      <w:r w:rsidRPr="009901FA">
        <w:rPr>
          <w:noProof/>
        </w:rPr>
        <w:drawing>
          <wp:inline distT="0" distB="0" distL="0" distR="0" wp14:anchorId="255E93F4" wp14:editId="0B6E4AC4">
            <wp:extent cx="6263640" cy="3222625"/>
            <wp:effectExtent l="0" t="0" r="3810" b="0"/>
            <wp:docPr id="187945735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457352" name="Picture 1" descr="A screenshot of a computer&#10;&#10;AI-generated content may be incorrect."/>
                    <pic:cNvPicPr/>
                  </pic:nvPicPr>
                  <pic:blipFill>
                    <a:blip r:embed="rId86"/>
                    <a:stretch>
                      <a:fillRect/>
                    </a:stretch>
                  </pic:blipFill>
                  <pic:spPr>
                    <a:xfrm>
                      <a:off x="0" y="0"/>
                      <a:ext cx="6263640" cy="3222625"/>
                    </a:xfrm>
                    <a:prstGeom prst="rect">
                      <a:avLst/>
                    </a:prstGeom>
                  </pic:spPr>
                </pic:pic>
              </a:graphicData>
            </a:graphic>
          </wp:inline>
        </w:drawing>
      </w:r>
    </w:p>
    <w:p w14:paraId="13B13E6A" w14:textId="6C84BA55" w:rsidR="00372C69" w:rsidRPr="009901FA" w:rsidRDefault="00AD022F" w:rsidP="00372C69">
      <w:r w:rsidRPr="009901FA">
        <w:rPr>
          <w:b/>
        </w:rPr>
        <w:t>Equatic’s internal projections are even more ambitious, targeting costs below $100/tCO</w:t>
      </w:r>
      <w:r w:rsidRPr="009901FA">
        <w:rPr>
          <w:b/>
          <w:vertAlign w:val="subscript"/>
        </w:rPr>
        <w:t>2</w:t>
      </w:r>
      <w:r w:rsidRPr="009901FA">
        <w:rPr>
          <w:b/>
        </w:rPr>
        <w:t xml:space="preserve"> by 2030</w:t>
      </w:r>
      <w:r w:rsidRPr="009901FA">
        <w:t xml:space="preserve"> through continued process optimization and scale-up. If these targets are realized, ocean-based electrolysis could become one of the most competitive and scalable carbon removal solutions, particularly in coastal regions with abundant renewable energy infrastructure</w:t>
      </w:r>
      <w:r w:rsidR="00372C69" w:rsidRPr="009901FA">
        <w:t>.</w:t>
      </w:r>
      <w:r w:rsidR="00140044" w:rsidRPr="009901FA">
        <w:t xml:space="preserve"> However, this figure assumes ideal power conditions, including access to very low-cost, reliable electricity. With a production ratio of roughly 0.1 tonnes of H</w:t>
      </w:r>
      <w:r w:rsidR="00140044" w:rsidRPr="00A247A6">
        <w:rPr>
          <w:rFonts w:ascii="Cambria Math" w:hAnsi="Cambria Math" w:cs="Cambria Math"/>
        </w:rPr>
        <w:t>₂</w:t>
      </w:r>
      <w:r w:rsidR="00140044" w:rsidRPr="009901FA">
        <w:t xml:space="preserve"> per tonne of CO</w:t>
      </w:r>
      <w:r w:rsidR="00140044" w:rsidRPr="00A247A6">
        <w:rPr>
          <w:rFonts w:ascii="Cambria Math" w:hAnsi="Cambria Math" w:cs="Cambria Math"/>
        </w:rPr>
        <w:t>₂</w:t>
      </w:r>
      <w:r w:rsidR="00140044" w:rsidRPr="009901FA">
        <w:t>, the energy required exceeds 4 MWh per tonne of CO</w:t>
      </w:r>
      <w:r w:rsidR="00140044" w:rsidRPr="00A247A6">
        <w:rPr>
          <w:rFonts w:ascii="Cambria Math" w:hAnsi="Cambria Math" w:cs="Cambria Math"/>
        </w:rPr>
        <w:t>₂</w:t>
      </w:r>
      <w:r w:rsidR="00140044" w:rsidRPr="009901FA">
        <w:t xml:space="preserve"> </w:t>
      </w:r>
      <w:r w:rsidR="00140044" w:rsidRPr="009901FA">
        <w:rPr>
          <w:rFonts w:cs="Arial Nova"/>
        </w:rPr>
        <w:t>—</w:t>
      </w:r>
      <w:r w:rsidR="00140044" w:rsidRPr="009901FA">
        <w:t xml:space="preserve"> already pushing costs near $100 at typical power prices. In practice, cheap electricity and local hydrogen demand rarely coincide, and renewable intermittency may further inflate costs. As such, the &lt;$100 estimate should be seen as an optimistic best case, not a near-term commercial benchmark.</w:t>
      </w:r>
    </w:p>
    <w:p w14:paraId="255A6397" w14:textId="03811C3E" w:rsidR="00D86AE9" w:rsidRPr="009901FA" w:rsidRDefault="00D86AE9" w:rsidP="00B72DE7">
      <w:pPr>
        <w:pStyle w:val="Heading5"/>
        <w:rPr>
          <w:rFonts w:ascii="Century Gothic" w:hAnsi="Century Gothic"/>
        </w:rPr>
      </w:pPr>
      <w:r w:rsidRPr="009901FA">
        <w:rPr>
          <w:rFonts w:ascii="Century Gothic" w:hAnsi="Century Gothic"/>
        </w:rPr>
        <w:t>Impact</w:t>
      </w:r>
    </w:p>
    <w:p w14:paraId="5FC0ED7C" w14:textId="2CC47037" w:rsidR="00783A6D" w:rsidRPr="009901FA" w:rsidRDefault="00B429DE" w:rsidP="0071647E">
      <w:r w:rsidRPr="009901FA">
        <w:rPr>
          <w:b/>
          <w:bCs/>
        </w:rPr>
        <w:t>If demonstrated successfully at scale, o-CDR could replace a substantial portion of projected DAC deployment.</w:t>
      </w:r>
      <w:r w:rsidRPr="009901FA">
        <w:t xml:space="preserve"> According to ETC estimates, achieving net-zero by 2050 may require up to 2.8 GtCO</w:t>
      </w:r>
      <w:r w:rsidRPr="00A247A6">
        <w:rPr>
          <w:rFonts w:ascii="Cambria Math" w:hAnsi="Cambria Math" w:cs="Cambria Math"/>
        </w:rPr>
        <w:t>₂</w:t>
      </w:r>
      <w:r w:rsidRPr="009901FA">
        <w:t xml:space="preserve">/year of removals from DAC, as shown in </w:t>
      </w:r>
      <w:r w:rsidR="00BC6E9A" w:rsidRPr="009901FA">
        <w:rPr>
          <w:color w:val="EE0000"/>
        </w:rPr>
        <w:fldChar w:fldCharType="begin"/>
      </w:r>
      <w:r w:rsidR="00BC6E9A" w:rsidRPr="009901FA">
        <w:instrText xml:space="preserve"> REF _Ref203749323 \h </w:instrText>
      </w:r>
      <w:r w:rsidR="00A247A6">
        <w:rPr>
          <w:color w:val="EE0000"/>
        </w:rPr>
        <w:instrText xml:space="preserve"> \* MERGEFORMAT </w:instrText>
      </w:r>
      <w:r w:rsidR="00BC6E9A" w:rsidRPr="009901FA">
        <w:rPr>
          <w:color w:val="EE0000"/>
        </w:rPr>
      </w:r>
      <w:r w:rsidR="00BC6E9A" w:rsidRPr="009901FA">
        <w:rPr>
          <w:color w:val="EE0000"/>
        </w:rPr>
        <w:fldChar w:fldCharType="separate"/>
      </w:r>
      <w:r w:rsidR="00DE378F" w:rsidRPr="009901FA">
        <w:t xml:space="preserve">Exhibit </w:t>
      </w:r>
      <w:r w:rsidR="00E61394">
        <w:rPr>
          <w:noProof/>
        </w:rPr>
        <w:t>4</w:t>
      </w:r>
      <w:r w:rsidR="00DE378F" w:rsidRPr="009901FA">
        <w:t>.</w:t>
      </w:r>
      <w:r w:rsidR="00DE378F" w:rsidRPr="009901FA">
        <w:rPr>
          <w:noProof/>
        </w:rPr>
        <w:t>9</w:t>
      </w:r>
      <w:r w:rsidR="00BC6E9A" w:rsidRPr="009901FA">
        <w:rPr>
          <w:color w:val="EE0000"/>
        </w:rPr>
        <w:fldChar w:fldCharType="end"/>
      </w:r>
      <w:r w:rsidRPr="009901FA">
        <w:t>. As o-CDR technologies advance and prove cost-effective, they could capture a meaningful share of this volume</w:t>
      </w:r>
      <w:r w:rsidR="00F00C1A" w:rsidRPr="009901FA">
        <w:t xml:space="preserve">, </w:t>
      </w:r>
      <w:r w:rsidRPr="009901FA">
        <w:t>offering a promising alternative pathway for atmospheric CO</w:t>
      </w:r>
      <w:r w:rsidRPr="00A247A6">
        <w:rPr>
          <w:rFonts w:ascii="Cambria Math" w:hAnsi="Cambria Math" w:cs="Cambria Math"/>
        </w:rPr>
        <w:t>₂</w:t>
      </w:r>
      <w:r w:rsidRPr="009901FA">
        <w:t xml:space="preserve"> remova</w:t>
      </w:r>
      <w:r w:rsidR="00C35FF3" w:rsidRPr="009901FA">
        <w:t>l</w:t>
      </w:r>
      <w:r w:rsidR="00BB7B5C" w:rsidRPr="009901FA">
        <w:t>.</w:t>
      </w:r>
    </w:p>
    <w:p w14:paraId="1B9FA38D" w14:textId="4E76A89E" w:rsidR="00BC6E9A" w:rsidRPr="009901FA" w:rsidRDefault="00BC6E9A" w:rsidP="00BC6E9A">
      <w:pPr>
        <w:pStyle w:val="Caption"/>
        <w:keepNext/>
      </w:pPr>
      <w:bookmarkStart w:id="96" w:name="_Ref203749323"/>
      <w:r w:rsidRPr="009901FA">
        <w:lastRenderedPageBreak/>
        <w:t xml:space="preserve">Exhibit </w:t>
      </w:r>
      <w:r w:rsidR="00E61394">
        <w:t>4</w:t>
      </w:r>
      <w:r w:rsidR="008725B4" w:rsidRPr="009901FA">
        <w:t>.</w:t>
      </w:r>
      <w:fldSimple w:instr=" SEQ Exhibit \* ARABIC \s 2 ">
        <w:r w:rsidR="00DE378F" w:rsidRPr="009901FA">
          <w:rPr>
            <w:noProof/>
          </w:rPr>
          <w:t>9</w:t>
        </w:r>
      </w:fldSimple>
      <w:bookmarkEnd w:id="96"/>
    </w:p>
    <w:p w14:paraId="47A7D78E" w14:textId="77777777" w:rsidR="00783A6D" w:rsidRPr="009901FA" w:rsidRDefault="00783A6D" w:rsidP="0071647E">
      <w:r w:rsidRPr="009901FA">
        <w:rPr>
          <w:noProof/>
        </w:rPr>
        <w:drawing>
          <wp:inline distT="0" distB="0" distL="0" distR="0" wp14:anchorId="7FBA933E" wp14:editId="3BF3FC78">
            <wp:extent cx="6162675" cy="2688201"/>
            <wp:effectExtent l="0" t="0" r="0" b="0"/>
            <wp:docPr id="755270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270687" name="Picture 1"/>
                    <pic:cNvPicPr/>
                  </pic:nvPicPr>
                  <pic:blipFill>
                    <a:blip r:embed="rId87">
                      <a:extLst>
                        <a:ext uri="{28A0092B-C50C-407E-A947-70E740481C1C}">
                          <a14:useLocalDpi xmlns:a14="http://schemas.microsoft.com/office/drawing/2010/main" val="0"/>
                        </a:ext>
                      </a:extLst>
                    </a:blip>
                    <a:stretch>
                      <a:fillRect/>
                    </a:stretch>
                  </pic:blipFill>
                  <pic:spPr>
                    <a:xfrm>
                      <a:off x="0" y="0"/>
                      <a:ext cx="6182901" cy="2697024"/>
                    </a:xfrm>
                    <a:prstGeom prst="rect">
                      <a:avLst/>
                    </a:prstGeom>
                  </pic:spPr>
                </pic:pic>
              </a:graphicData>
            </a:graphic>
          </wp:inline>
        </w:drawing>
      </w:r>
    </w:p>
    <w:p w14:paraId="49A74EC6" w14:textId="77777777" w:rsidR="0071647E" w:rsidRPr="009901FA" w:rsidRDefault="0071647E" w:rsidP="005C5675">
      <w:pPr>
        <w:spacing w:after="0"/>
      </w:pPr>
      <w:r w:rsidRPr="009901FA">
        <w:rPr>
          <w:b/>
        </w:rPr>
        <w:t>Potential:</w:t>
      </w:r>
    </w:p>
    <w:p w14:paraId="3285D89F" w14:textId="77777777" w:rsidR="0071647E" w:rsidRPr="009901FA" w:rsidRDefault="0071647E" w:rsidP="002C2B3F">
      <w:pPr>
        <w:numPr>
          <w:ilvl w:val="0"/>
          <w:numId w:val="8"/>
        </w:numPr>
        <w:spacing w:after="0"/>
      </w:pPr>
      <w:r w:rsidRPr="009901FA">
        <w:t>Rapidly scalable if economic and environmental barriers are addressed.</w:t>
      </w:r>
    </w:p>
    <w:p w14:paraId="53D42BAB" w14:textId="77777777" w:rsidR="0071647E" w:rsidRPr="009901FA" w:rsidRDefault="0071647E" w:rsidP="002C2B3F">
      <w:pPr>
        <w:numPr>
          <w:ilvl w:val="0"/>
          <w:numId w:val="8"/>
        </w:numPr>
      </w:pPr>
      <w:r w:rsidRPr="009901FA">
        <w:t>Could help restore marine ecosystems and reduce ocean acidification.</w:t>
      </w:r>
    </w:p>
    <w:p w14:paraId="0D9C2C25" w14:textId="77777777" w:rsidR="0071647E" w:rsidRPr="009901FA" w:rsidRDefault="0071647E" w:rsidP="005C5675">
      <w:pPr>
        <w:spacing w:after="0"/>
      </w:pPr>
      <w:r w:rsidRPr="009901FA">
        <w:rPr>
          <w:b/>
        </w:rPr>
        <w:t>Limitations:</w:t>
      </w:r>
    </w:p>
    <w:p w14:paraId="0A053C8A" w14:textId="5859B6C9" w:rsidR="0091606E" w:rsidRPr="009901FA" w:rsidRDefault="0091606E" w:rsidP="002C2B3F">
      <w:pPr>
        <w:pStyle w:val="ListParagraph"/>
        <w:numPr>
          <w:ilvl w:val="0"/>
          <w:numId w:val="9"/>
        </w:numPr>
        <w:spacing w:after="0"/>
      </w:pPr>
      <w:r w:rsidRPr="009901FA">
        <w:t>Operational complexity is significant, particularly around solids precipitation, fouling, and equipment maintenance. Exposing electrochemical systems to raw seawater introduces challenges that have proven demanding even in simpler processes like reverse osmosis.</w:t>
      </w:r>
    </w:p>
    <w:p w14:paraId="3B5645EF" w14:textId="35A159F8" w:rsidR="0071647E" w:rsidRPr="009901FA" w:rsidRDefault="0071647E" w:rsidP="002C2B3F">
      <w:pPr>
        <w:numPr>
          <w:ilvl w:val="0"/>
          <w:numId w:val="9"/>
        </w:numPr>
        <w:spacing w:after="0"/>
      </w:pPr>
      <w:r w:rsidRPr="009901FA">
        <w:t>TRL remains low. Most systems are still at lab or small pilot scale.</w:t>
      </w:r>
    </w:p>
    <w:p w14:paraId="77C5A807" w14:textId="77777777" w:rsidR="0071647E" w:rsidRPr="009901FA" w:rsidRDefault="0071647E" w:rsidP="002C2B3F">
      <w:pPr>
        <w:numPr>
          <w:ilvl w:val="0"/>
          <w:numId w:val="9"/>
        </w:numPr>
      </w:pPr>
      <w:r w:rsidRPr="009901FA">
        <w:t>Risks to ocean chemistry and biodiversity must be carefully managed.</w:t>
      </w:r>
    </w:p>
    <w:p w14:paraId="199D4495" w14:textId="4470F3F1" w:rsidR="00D15EDC" w:rsidRPr="009901FA" w:rsidRDefault="0045750B" w:rsidP="00356AE7">
      <w:r w:rsidRPr="009901FA">
        <w:t>Direct Air Capture remains a critical carbon removal pathway, especially for hard-to-abate emissions, but faces persistent cost and energy barriers confirmed by recent data. Ocean-based capture has gained momentum as a complementary solution, with potential co-benefits such as hydrogen production and local ecosystem support. However, its success hinges not just on scalability, but on resolving major reliability and process engineering issues. In the near term, DAC may focus on modular, high-purity applications, while larger-scale removal could shift toward ocean-based or hybrid approaches—if these can meet environmental and operational performance thresholds</w:t>
      </w:r>
      <w:r w:rsidR="00096DCD" w:rsidRPr="009901FA">
        <w:t>.</w:t>
      </w:r>
    </w:p>
    <w:p w14:paraId="129A6A9E" w14:textId="77777777" w:rsidR="00D86AE9" w:rsidRPr="009901FA" w:rsidRDefault="00D86AE9" w:rsidP="00B72DE7">
      <w:pPr>
        <w:pStyle w:val="Heading5"/>
        <w:rPr>
          <w:rFonts w:ascii="Century Gothic" w:hAnsi="Century Gothic"/>
        </w:rPr>
      </w:pPr>
      <w:r w:rsidRPr="009901FA">
        <w:rPr>
          <w:rFonts w:ascii="Century Gothic" w:hAnsi="Century Gothic"/>
        </w:rPr>
        <w:t>Barriers and Enablers</w:t>
      </w:r>
    </w:p>
    <w:p w14:paraId="1D4D2623" w14:textId="49CBAC40" w:rsidR="00F8321B" w:rsidRPr="009901FA" w:rsidRDefault="00F8321B" w:rsidP="00427B75">
      <w:r w:rsidRPr="009901FA">
        <w:t xml:space="preserve">For DAC and ocean-based carbon removal to contribute meaningfully to a net-zero future, key technical, economic, and policy milestones must be reached. Despite innovation, both remain limited by high costs, energy needs, and deployment complexity. </w:t>
      </w:r>
      <w:r w:rsidRPr="009901FA">
        <w:rPr>
          <w:b/>
        </w:rPr>
        <w:t>The following enablers are critical for scaling these technologies</w:t>
      </w:r>
      <w:r w:rsidR="00744461" w:rsidRPr="009901FA">
        <w:rPr>
          <w:b/>
        </w:rPr>
        <w:t>:</w:t>
      </w:r>
    </w:p>
    <w:p w14:paraId="647FCF75" w14:textId="47B36FBE" w:rsidR="00427B75" w:rsidRPr="009901FA" w:rsidRDefault="00427B75" w:rsidP="00744461">
      <w:pPr>
        <w:spacing w:after="0"/>
      </w:pPr>
      <w:r w:rsidRPr="009901FA">
        <w:t xml:space="preserve">• </w:t>
      </w:r>
      <w:r w:rsidRPr="009901FA">
        <w:rPr>
          <w:b/>
        </w:rPr>
        <w:t>Technology development and system innovation</w:t>
      </w:r>
      <w:r w:rsidR="00744461" w:rsidRPr="009901FA">
        <w:rPr>
          <w:b/>
        </w:rPr>
        <w:t xml:space="preserve">: </w:t>
      </w:r>
      <w:r w:rsidR="009853CE" w:rsidRPr="009901FA">
        <w:t xml:space="preserve">Continued progress in sorbents, solvents, membranes, and overall system architecture is essential. Modular platforms enhance deployment flexibility, while digital tools such as AI can accelerate </w:t>
      </w:r>
      <w:r w:rsidR="009853CE" w:rsidRPr="009901FA">
        <w:lastRenderedPageBreak/>
        <w:t>material discovery. For ocean-based systems, improving the efficiency and stability of electrochemical processes and mineral precipitation will be particularly important</w:t>
      </w:r>
      <w:r w:rsidRPr="009901FA">
        <w:t>.</w:t>
      </w:r>
      <w:r w:rsidR="00B21118" w:rsidRPr="009901FA">
        <w:rPr>
          <w:rStyle w:val="FootnoteReference"/>
        </w:rPr>
        <w:footnoteReference w:id="70"/>
      </w:r>
    </w:p>
    <w:p w14:paraId="16469C2A" w14:textId="7B900B30" w:rsidR="00427B75" w:rsidRPr="009901FA" w:rsidRDefault="00427B75" w:rsidP="00744461">
      <w:pPr>
        <w:spacing w:after="0"/>
      </w:pPr>
      <w:r w:rsidRPr="009901FA">
        <w:t xml:space="preserve">• </w:t>
      </w:r>
      <w:r w:rsidR="002D42AF" w:rsidRPr="009901FA">
        <w:rPr>
          <w:b/>
        </w:rPr>
        <w:t>Access to low-cost, zero-carbon energy</w:t>
      </w:r>
      <w:r w:rsidR="00744461" w:rsidRPr="009901FA">
        <w:rPr>
          <w:b/>
        </w:rPr>
        <w:t xml:space="preserve">: </w:t>
      </w:r>
      <w:r w:rsidR="002D42AF" w:rsidRPr="009901FA">
        <w:t>T</w:t>
      </w:r>
      <w:r w:rsidR="009853CE" w:rsidRPr="009901FA">
        <w:t>he viability of both approaches is intrinsically tied to the availability of affordable, clean energy. While some pilots are already leveraging geothermal</w:t>
      </w:r>
      <w:r w:rsidR="008C6C62" w:rsidRPr="009901FA">
        <w:t>, nuclear</w:t>
      </w:r>
      <w:r w:rsidR="009853CE" w:rsidRPr="009901FA">
        <w:t xml:space="preserve"> and solar inputs, broader deployment will depend on stable access to renewable power at scale</w:t>
      </w:r>
      <w:r w:rsidR="000E17B0" w:rsidRPr="009901FA">
        <w:t>.</w:t>
      </w:r>
    </w:p>
    <w:p w14:paraId="2DE1B6E0" w14:textId="0548745C" w:rsidR="00427B75" w:rsidRPr="009901FA" w:rsidRDefault="00427B75" w:rsidP="00744461">
      <w:pPr>
        <w:spacing w:after="0"/>
      </w:pPr>
      <w:r w:rsidRPr="009901FA">
        <w:t xml:space="preserve">• </w:t>
      </w:r>
      <w:r w:rsidRPr="009901FA">
        <w:rPr>
          <w:b/>
        </w:rPr>
        <w:t>Site-specific deployment strategies</w:t>
      </w:r>
      <w:r w:rsidR="00744461" w:rsidRPr="009901FA">
        <w:rPr>
          <w:b/>
        </w:rPr>
        <w:t xml:space="preserve">: </w:t>
      </w:r>
      <w:r w:rsidR="000B3A95" w:rsidRPr="009901FA">
        <w:t>Strategic siting near renewable energy hubs, CO</w:t>
      </w:r>
      <w:r w:rsidR="000B3A95" w:rsidRPr="00A247A6">
        <w:rPr>
          <w:rFonts w:ascii="Cambria Math" w:hAnsi="Cambria Math" w:cs="Cambria Math"/>
        </w:rPr>
        <w:t>₂</w:t>
      </w:r>
      <w:r w:rsidR="000B3A95" w:rsidRPr="009901FA">
        <w:t xml:space="preserve"> infrastructure, and suitable marine environments can reduce costs and simplify logistics. For DAC, proximity to storage or utilization sites is essential. o-CDR requires coastal access, permitting support, and local supplies of alkaline minerals (e.g. crushed rock) for neutralization. Sites must also enable disposal or reuse of mineralized CO</w:t>
      </w:r>
      <w:r w:rsidR="000B3A95" w:rsidRPr="00A247A6">
        <w:rPr>
          <w:rFonts w:ascii="Cambria Math" w:hAnsi="Cambria Math" w:cs="Cambria Math"/>
        </w:rPr>
        <w:t>₂</w:t>
      </w:r>
      <w:r w:rsidR="000B3A95" w:rsidRPr="009901FA">
        <w:t>, and ideally provide access to hydrogen markets to monetize co-produced H</w:t>
      </w:r>
      <w:r w:rsidR="000B3A95" w:rsidRPr="00A247A6">
        <w:rPr>
          <w:rFonts w:ascii="Cambria Math" w:hAnsi="Cambria Math" w:cs="Cambria Math"/>
        </w:rPr>
        <w:t>₂</w:t>
      </w:r>
      <w:r w:rsidR="000B3A95" w:rsidRPr="009901FA">
        <w:t>.</w:t>
      </w:r>
    </w:p>
    <w:p w14:paraId="47316B05" w14:textId="26D0E202" w:rsidR="00427B75" w:rsidRPr="009901FA" w:rsidRDefault="00427B75" w:rsidP="00744461">
      <w:pPr>
        <w:spacing w:after="0"/>
      </w:pPr>
      <w:r w:rsidRPr="009901FA">
        <w:t xml:space="preserve">• </w:t>
      </w:r>
      <w:r w:rsidRPr="009901FA">
        <w:rPr>
          <w:b/>
        </w:rPr>
        <w:t>Market frameworks and certification standards</w:t>
      </w:r>
      <w:r w:rsidR="00744461" w:rsidRPr="009901FA">
        <w:rPr>
          <w:b/>
        </w:rPr>
        <w:t xml:space="preserve">: </w:t>
      </w:r>
      <w:r w:rsidR="00E32112" w:rsidRPr="009901FA">
        <w:t>Clear and credible rules for quantifying net CO</w:t>
      </w:r>
      <w:r w:rsidR="00E32112" w:rsidRPr="00A247A6">
        <w:rPr>
          <w:rFonts w:ascii="Cambria Math" w:hAnsi="Cambria Math" w:cs="Cambria Math"/>
        </w:rPr>
        <w:t>₂</w:t>
      </w:r>
      <w:r w:rsidR="00E32112" w:rsidRPr="009901FA">
        <w:t xml:space="preserve"> removals are foundational. Momentum is building through instruments such as the EU Carbon Removal Certification Framework (CRCF) and RED III. Full integration into compliance and voluntary markets will be critical for long-term investment and scalability</w:t>
      </w:r>
      <w:r w:rsidR="000C2F63" w:rsidRPr="009901FA">
        <w:t>.</w:t>
      </w:r>
      <w:r w:rsidR="00A3662B" w:rsidRPr="009901FA">
        <w:t xml:space="preserve"> </w:t>
      </w:r>
      <w:r w:rsidR="00531444" w:rsidRPr="009901FA">
        <w:rPr>
          <w:rStyle w:val="FootnoteReference"/>
        </w:rPr>
        <w:footnoteReference w:id="71"/>
      </w:r>
      <w:r w:rsidR="00531444" w:rsidRPr="009901FA">
        <w:rPr>
          <w:vertAlign w:val="superscript"/>
        </w:rPr>
        <w:t>,</w:t>
      </w:r>
      <w:r w:rsidR="00A3662B" w:rsidRPr="009901FA">
        <w:rPr>
          <w:rStyle w:val="FootnoteReference"/>
        </w:rPr>
        <w:footnoteReference w:id="72"/>
      </w:r>
    </w:p>
    <w:p w14:paraId="4DE368C5" w14:textId="367B3E18" w:rsidR="00427B75" w:rsidRPr="009901FA" w:rsidRDefault="00427B75" w:rsidP="00427B75">
      <w:r w:rsidRPr="009901FA">
        <w:t xml:space="preserve">• </w:t>
      </w:r>
      <w:r w:rsidRPr="009901FA">
        <w:rPr>
          <w:b/>
        </w:rPr>
        <w:t>Environmental safeguards and public trust</w:t>
      </w:r>
      <w:r w:rsidR="00744461" w:rsidRPr="009901FA">
        <w:rPr>
          <w:b/>
        </w:rPr>
        <w:t xml:space="preserve">: </w:t>
      </w:r>
      <w:r w:rsidR="00E32112" w:rsidRPr="009901FA">
        <w:t>Maintaining environmental integrity is a prerequisite for social license to operate. DAC systems must mitigate concerns related to solvent use, water consumption, and land impact. Ocean-based systems must be designed to avoid ecological disruption through careful pH management and trace metal monitoring. Early pilot projects suggest low environmental impact, but long-term monitoring and transparency are essential.</w:t>
      </w:r>
    </w:p>
    <w:p w14:paraId="21C88AF0" w14:textId="77777777" w:rsidR="004904C4" w:rsidRPr="009901FA" w:rsidRDefault="00427B75" w:rsidP="004904C4">
      <w:pPr>
        <w:rPr>
          <w:b/>
        </w:rPr>
      </w:pPr>
      <w:r w:rsidRPr="009901FA">
        <w:rPr>
          <w:b/>
        </w:rPr>
        <w:t>Key barriers to scale-up remain:</w:t>
      </w:r>
    </w:p>
    <w:p w14:paraId="6107E79F" w14:textId="0710D1C7" w:rsidR="00F434F4" w:rsidRPr="009901FA" w:rsidRDefault="00275070" w:rsidP="004904C4">
      <w:pPr>
        <w:spacing w:after="0"/>
      </w:pPr>
      <w:r w:rsidRPr="009901FA">
        <w:t>• Early technology readiness levels for ocean-based removal systems, with limited large-scale demonstrations</w:t>
      </w:r>
    </w:p>
    <w:p w14:paraId="688A9FF5" w14:textId="2C8CD158" w:rsidR="00427B75" w:rsidRPr="009901FA" w:rsidRDefault="00427B75" w:rsidP="00826DD0">
      <w:pPr>
        <w:spacing w:after="0"/>
      </w:pPr>
      <w:r w:rsidRPr="009901FA">
        <w:t>• High capital and operational costs, particularly for early-stage DAC and o-CDR systems</w:t>
      </w:r>
      <w:r w:rsidRPr="009901FA">
        <w:br/>
        <w:t xml:space="preserve">• Uncertain long-term revenue streams and limited integration </w:t>
      </w:r>
      <w:r w:rsidR="00A63BB6" w:rsidRPr="009901FA">
        <w:t>due to the lack of liquid</w:t>
      </w:r>
      <w:r w:rsidRPr="009901FA">
        <w:t xml:space="preserve"> markets</w:t>
      </w:r>
      <w:r w:rsidR="00A63BB6" w:rsidRPr="009901FA">
        <w:t xml:space="preserve"> and reliable offtakers.</w:t>
      </w:r>
      <w:r w:rsidRPr="009901FA">
        <w:br/>
        <w:t xml:space="preserve">• Potential ecological </w:t>
      </w:r>
      <w:r w:rsidR="00A12059" w:rsidRPr="009901FA">
        <w:t>trade-offs</w:t>
      </w:r>
      <w:r w:rsidRPr="009901FA">
        <w:t xml:space="preserve"> and public opposition in the absence of strong governance</w:t>
      </w:r>
      <w:r w:rsidR="00A12059" w:rsidRPr="009901FA">
        <w:t>; environmental impacts still require further research and validation</w:t>
      </w:r>
    </w:p>
    <w:p w14:paraId="09AD412D" w14:textId="17C4B353" w:rsidR="00826DD0" w:rsidRPr="009901FA" w:rsidRDefault="00826DD0" w:rsidP="00356AE7">
      <w:r w:rsidRPr="009901FA">
        <w:t>• Operational risk under real-world conditions, including performance variability due to weather, air quality, and seawater composition, as seen in cases like Climeworks’ Orca plant, where output fell short of expectations</w:t>
      </w:r>
      <w:r w:rsidR="002A5ABA" w:rsidRPr="009901FA">
        <w:t>.</w:t>
      </w:r>
    </w:p>
    <w:p w14:paraId="42EECF00" w14:textId="3983A066" w:rsidR="003C5064" w:rsidRPr="009901FA" w:rsidRDefault="00427B75" w:rsidP="00356AE7">
      <w:r w:rsidRPr="009901FA">
        <w:lastRenderedPageBreak/>
        <w:t xml:space="preserve">While technology is advancing rapidly, large-scale deployment of DAC and o-CDR will depend on aligning system innovation, energy infrastructure, market incentives and regulatory safeguards. These systems are uniquely positioned to deliver durable, high-integrity removals if the enabling environment continues to mature in parallel with technical </w:t>
      </w:r>
      <w:r w:rsidR="00933888" w:rsidRPr="009901FA">
        <w:t>readiness</w:t>
      </w:r>
      <w:r w:rsidR="00FC06C7" w:rsidRPr="009901FA">
        <w:t>.</w:t>
      </w:r>
    </w:p>
    <w:p w14:paraId="48B93024" w14:textId="77777777" w:rsidR="00951917" w:rsidRPr="009901FA" w:rsidRDefault="00951917" w:rsidP="00356AE7"/>
    <w:p w14:paraId="3A20EF21" w14:textId="23FE818B" w:rsidR="002136EF" w:rsidRPr="009901FA" w:rsidRDefault="005C4C40" w:rsidP="00857421">
      <w:pPr>
        <w:pStyle w:val="Heading3"/>
        <w:ind w:firstLine="720"/>
      </w:pPr>
      <w:bookmarkStart w:id="97" w:name="_Toc205392464"/>
      <w:bookmarkStart w:id="98" w:name="_Toc205554233"/>
      <w:r>
        <w:t>4</w:t>
      </w:r>
      <w:r w:rsidR="00B72DE7" w:rsidRPr="009901FA">
        <w:t xml:space="preserve">.1.2 </w:t>
      </w:r>
      <w:r w:rsidR="00951917" w:rsidRPr="009901FA">
        <w:t>Point</w:t>
      </w:r>
      <w:r w:rsidR="002136EF" w:rsidRPr="009901FA">
        <w:t>-S</w:t>
      </w:r>
      <w:r w:rsidR="00951917" w:rsidRPr="009901FA">
        <w:t>ource carbon capture</w:t>
      </w:r>
      <w:bookmarkEnd w:id="97"/>
      <w:bookmarkEnd w:id="98"/>
    </w:p>
    <w:p w14:paraId="6183B7CE" w14:textId="77777777" w:rsidR="00D93DAD" w:rsidRPr="009901FA" w:rsidRDefault="00D93DAD" w:rsidP="00B72DE7">
      <w:pPr>
        <w:pStyle w:val="Heading5"/>
        <w:rPr>
          <w:rFonts w:ascii="Century Gothic" w:hAnsi="Century Gothic"/>
        </w:rPr>
      </w:pPr>
      <w:r w:rsidRPr="009901FA">
        <w:rPr>
          <w:rFonts w:ascii="Century Gothic" w:hAnsi="Century Gothic"/>
        </w:rPr>
        <w:t>Overview</w:t>
      </w:r>
    </w:p>
    <w:p w14:paraId="12BA6FEB" w14:textId="57FBC5C6" w:rsidR="002136EF" w:rsidRPr="009901FA" w:rsidRDefault="002136EF" w:rsidP="002136EF">
      <w:r w:rsidRPr="009901FA">
        <w:t>Point-source carbon capture is essential for reducing emissions from high-volume industrial emitters. Unlike direct capture methods that extract CO</w:t>
      </w:r>
      <w:r w:rsidRPr="00A247A6">
        <w:rPr>
          <w:rFonts w:ascii="Cambria Math" w:hAnsi="Cambria Math" w:cs="Cambria Math"/>
        </w:rPr>
        <w:t>₂</w:t>
      </w:r>
      <w:r w:rsidRPr="009901FA">
        <w:t xml:space="preserve"> from </w:t>
      </w:r>
      <w:r w:rsidR="00683906" w:rsidRPr="009901FA">
        <w:t xml:space="preserve">ambient </w:t>
      </w:r>
      <w:r w:rsidRPr="009901FA">
        <w:t xml:space="preserve">air or water, point-source systems target emissions where they are most concentrated. This makes them </w:t>
      </w:r>
      <w:r w:rsidR="00683906" w:rsidRPr="009901FA">
        <w:t>well-suited</w:t>
      </w:r>
      <w:r w:rsidRPr="009901FA">
        <w:t xml:space="preserve"> for sectors such as power, cement, and heavy industry. However, viability depends </w:t>
      </w:r>
      <w:r w:rsidR="00683906" w:rsidRPr="009901FA">
        <w:t>on</w:t>
      </w:r>
      <w:r w:rsidRPr="009901FA">
        <w:t xml:space="preserve"> CO</w:t>
      </w:r>
      <w:r w:rsidRPr="00A247A6">
        <w:rPr>
          <w:rFonts w:ascii="Cambria Math" w:hAnsi="Cambria Math" w:cs="Cambria Math"/>
        </w:rPr>
        <w:t>₂</w:t>
      </w:r>
      <w:r w:rsidRPr="009901FA">
        <w:t xml:space="preserve"> concentration in the exhaust stream, thermal integration opportunities, and technology</w:t>
      </w:r>
      <w:r w:rsidR="00683906" w:rsidRPr="009901FA">
        <w:t xml:space="preserve"> maturity.</w:t>
      </w:r>
    </w:p>
    <w:p w14:paraId="292E561F" w14:textId="726893E1" w:rsidR="003D1730" w:rsidRPr="009901FA" w:rsidRDefault="003D1730" w:rsidP="003D1730">
      <w:pPr>
        <w:pStyle w:val="Caption"/>
        <w:keepNext/>
      </w:pPr>
      <w:bookmarkStart w:id="99" w:name="_Ref203749349"/>
      <w:r w:rsidRPr="009901FA">
        <w:t xml:space="preserve">Exhibit </w:t>
      </w:r>
      <w:r w:rsidR="00E61394">
        <w:t>4</w:t>
      </w:r>
      <w:r w:rsidR="008725B4" w:rsidRPr="009901FA">
        <w:t>.</w:t>
      </w:r>
      <w:fldSimple w:instr=" SEQ Exhibit \* ARABIC \s 2 ">
        <w:r w:rsidR="00DE378F" w:rsidRPr="009901FA">
          <w:rPr>
            <w:noProof/>
          </w:rPr>
          <w:t>10</w:t>
        </w:r>
      </w:fldSimple>
      <w:bookmarkEnd w:id="99"/>
    </w:p>
    <w:p w14:paraId="6D06E4AB" w14:textId="77777777" w:rsidR="00753946" w:rsidRPr="009901FA" w:rsidRDefault="00FC06C7" w:rsidP="003E4855">
      <w:r w:rsidRPr="009901FA">
        <w:rPr>
          <w:noProof/>
        </w:rPr>
        <w:drawing>
          <wp:inline distT="0" distB="0" distL="0" distR="0" wp14:anchorId="706BC161" wp14:editId="598F8D9F">
            <wp:extent cx="5991225" cy="2822984"/>
            <wp:effectExtent l="0" t="0" r="0" b="0"/>
            <wp:docPr id="1086804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804233" name="Picture 1"/>
                    <pic:cNvPicPr/>
                  </pic:nvPicPr>
                  <pic:blipFill>
                    <a:blip r:embed="rId88">
                      <a:extLst>
                        <a:ext uri="{28A0092B-C50C-407E-A947-70E740481C1C}">
                          <a14:useLocalDpi xmlns:a14="http://schemas.microsoft.com/office/drawing/2010/main" val="0"/>
                        </a:ext>
                      </a:extLst>
                    </a:blip>
                    <a:stretch>
                      <a:fillRect/>
                    </a:stretch>
                  </pic:blipFill>
                  <pic:spPr>
                    <a:xfrm>
                      <a:off x="0" y="0"/>
                      <a:ext cx="5995504" cy="2825000"/>
                    </a:xfrm>
                    <a:prstGeom prst="rect">
                      <a:avLst/>
                    </a:prstGeom>
                  </pic:spPr>
                </pic:pic>
              </a:graphicData>
            </a:graphic>
          </wp:inline>
        </w:drawing>
      </w:r>
    </w:p>
    <w:p w14:paraId="3D8FCD4B" w14:textId="1D9470B8" w:rsidR="003E4855" w:rsidRPr="009901FA" w:rsidRDefault="00FC06C7" w:rsidP="003E4855">
      <w:r w:rsidRPr="009901FA">
        <w:t xml:space="preserve">As shown in </w:t>
      </w:r>
      <w:r w:rsidR="003D1730" w:rsidRPr="009901FA">
        <w:rPr>
          <w:color w:val="EE0000"/>
        </w:rPr>
        <w:fldChar w:fldCharType="begin"/>
      </w:r>
      <w:r w:rsidR="003D1730" w:rsidRPr="009901FA">
        <w:instrText xml:space="preserve"> REF _Ref203749349 \h </w:instrText>
      </w:r>
      <w:r w:rsidR="00A247A6">
        <w:rPr>
          <w:color w:val="EE0000"/>
        </w:rPr>
        <w:instrText xml:space="preserve"> \* MERGEFORMAT </w:instrText>
      </w:r>
      <w:r w:rsidR="003D1730" w:rsidRPr="009901FA">
        <w:rPr>
          <w:color w:val="EE0000"/>
        </w:rPr>
      </w:r>
      <w:r w:rsidR="003D1730" w:rsidRPr="009901FA">
        <w:rPr>
          <w:color w:val="EE0000"/>
        </w:rPr>
        <w:fldChar w:fldCharType="separate"/>
      </w:r>
      <w:r w:rsidR="00DE378F" w:rsidRPr="009901FA">
        <w:t xml:space="preserve">Exhibit </w:t>
      </w:r>
      <w:r w:rsidR="00E61394">
        <w:rPr>
          <w:noProof/>
        </w:rPr>
        <w:t>4</w:t>
      </w:r>
      <w:r w:rsidR="00DE378F" w:rsidRPr="009901FA">
        <w:t>.</w:t>
      </w:r>
      <w:r w:rsidR="00DE378F" w:rsidRPr="009901FA">
        <w:rPr>
          <w:noProof/>
        </w:rPr>
        <w:t>10</w:t>
      </w:r>
      <w:r w:rsidR="003D1730" w:rsidRPr="009901FA">
        <w:rPr>
          <w:color w:val="EE0000"/>
        </w:rPr>
        <w:fldChar w:fldCharType="end"/>
      </w:r>
      <w:r w:rsidRPr="009901FA">
        <w:t>, t</w:t>
      </w:r>
      <w:r w:rsidR="003E4855" w:rsidRPr="009901FA">
        <w:t xml:space="preserve">here is a strong inverse relationship between </w:t>
      </w:r>
      <w:r w:rsidR="003E4855" w:rsidRPr="009901FA">
        <w:rPr>
          <w:b/>
        </w:rPr>
        <w:t>CO</w:t>
      </w:r>
      <w:r w:rsidR="003E4855" w:rsidRPr="00A247A6">
        <w:rPr>
          <w:rFonts w:ascii="Cambria Math" w:hAnsi="Cambria Math" w:cs="Cambria Math"/>
          <w:b/>
        </w:rPr>
        <w:t>₂</w:t>
      </w:r>
      <w:r w:rsidR="003E4855" w:rsidRPr="009901FA">
        <w:rPr>
          <w:b/>
        </w:rPr>
        <w:t xml:space="preserve"> concentration in flue gas</w:t>
      </w:r>
      <w:r w:rsidR="003E4855" w:rsidRPr="009901FA">
        <w:t xml:space="preserve"> and the </w:t>
      </w:r>
      <w:r w:rsidR="003E4855" w:rsidRPr="009901FA">
        <w:rPr>
          <w:b/>
        </w:rPr>
        <w:t>cost of capture</w:t>
      </w:r>
      <w:r w:rsidR="005707E8" w:rsidRPr="009901FA">
        <w:rPr>
          <w:b/>
        </w:rPr>
        <w:t xml:space="preserve"> </w:t>
      </w:r>
      <w:r w:rsidR="005707E8" w:rsidRPr="009901FA">
        <w:rPr>
          <w:rStyle w:val="FootnoteReference"/>
          <w:b/>
        </w:rPr>
        <w:footnoteReference w:id="73"/>
      </w:r>
      <w:r w:rsidR="00AD022F" w:rsidRPr="009901FA">
        <w:rPr>
          <w:b/>
          <w:vertAlign w:val="superscript"/>
        </w:rPr>
        <w:t>,</w:t>
      </w:r>
      <w:r w:rsidR="00C15F32" w:rsidRPr="009901FA">
        <w:rPr>
          <w:rStyle w:val="FootnoteReference"/>
          <w:b/>
        </w:rPr>
        <w:footnoteReference w:id="74"/>
      </w:r>
      <w:r w:rsidR="003E4855" w:rsidRPr="009901FA">
        <w:t>. The lower the concentration, the more energy and infrastructure is required to separate and purify the CO</w:t>
      </w:r>
      <w:r w:rsidR="003E4855" w:rsidRPr="00A247A6">
        <w:rPr>
          <w:rFonts w:ascii="Cambria Math" w:hAnsi="Cambria Math" w:cs="Cambria Math"/>
        </w:rPr>
        <w:t>₂</w:t>
      </w:r>
      <w:r w:rsidR="003E4855" w:rsidRPr="009901FA">
        <w:t>, leading to higher costs.</w:t>
      </w:r>
    </w:p>
    <w:p w14:paraId="50C39D92" w14:textId="495141F0" w:rsidR="003E4855" w:rsidRPr="009901FA" w:rsidRDefault="003E4855" w:rsidP="002C2B3F">
      <w:pPr>
        <w:numPr>
          <w:ilvl w:val="0"/>
          <w:numId w:val="16"/>
        </w:numPr>
      </w:pPr>
      <w:r w:rsidRPr="009901FA">
        <w:t>Gas power generation is the most expensive application, with typical CO</w:t>
      </w:r>
      <w:r w:rsidRPr="00A247A6">
        <w:rPr>
          <w:rFonts w:ascii="Cambria Math" w:hAnsi="Cambria Math" w:cs="Cambria Math"/>
        </w:rPr>
        <w:t>₂</w:t>
      </w:r>
      <w:r w:rsidRPr="009901FA">
        <w:t xml:space="preserve"> concentrations around 3–4</w:t>
      </w:r>
      <w:r w:rsidR="007407C6" w:rsidRPr="009901FA">
        <w:t>%</w:t>
      </w:r>
      <w:r w:rsidRPr="009901FA">
        <w:t>, pushing capture costs above $150 per tonne.</w:t>
      </w:r>
    </w:p>
    <w:p w14:paraId="7B80D662" w14:textId="14E10267" w:rsidR="003E4855" w:rsidRPr="009901FA" w:rsidRDefault="003E4855" w:rsidP="002C2B3F">
      <w:pPr>
        <w:numPr>
          <w:ilvl w:val="0"/>
          <w:numId w:val="16"/>
        </w:numPr>
      </w:pPr>
      <w:r w:rsidRPr="009901FA">
        <w:lastRenderedPageBreak/>
        <w:t>Cement and BECCS fall in the mid-range, with concentrations between 15–30</w:t>
      </w:r>
      <w:r w:rsidR="007407C6" w:rsidRPr="009901FA">
        <w:t>%</w:t>
      </w:r>
      <w:r w:rsidRPr="009901FA">
        <w:t>, and capture costs typically around $80–130 per tonne.</w:t>
      </w:r>
    </w:p>
    <w:p w14:paraId="18AD6078" w14:textId="3DB33EB1" w:rsidR="003E4855" w:rsidRPr="009901FA" w:rsidRDefault="00ED7B50" w:rsidP="002C2B3F">
      <w:pPr>
        <w:numPr>
          <w:ilvl w:val="0"/>
          <w:numId w:val="16"/>
        </w:numPr>
      </w:pPr>
      <w:r w:rsidRPr="009901FA">
        <w:t>Natural gas processing and chemical production offer the lowest capture costs, due to access to high-purity CO</w:t>
      </w:r>
      <w:r w:rsidRPr="00A247A6">
        <w:rPr>
          <w:rFonts w:ascii="Cambria Math" w:hAnsi="Cambria Math" w:cs="Cambria Math"/>
        </w:rPr>
        <w:t>₂</w:t>
      </w:r>
      <w:r w:rsidRPr="009901FA">
        <w:t xml:space="preserve"> streams</w:t>
      </w:r>
      <w:r w:rsidR="00C04F2E" w:rsidRPr="009901FA">
        <w:t>, typically</w:t>
      </w:r>
      <w:r w:rsidR="00DF5680" w:rsidRPr="009901FA">
        <w:t xml:space="preserve"> above </w:t>
      </w:r>
      <w:r w:rsidRPr="009901FA">
        <w:t>90% in chemical processes</w:t>
      </w:r>
      <w:r w:rsidR="003E4855" w:rsidRPr="009901FA">
        <w:t>.</w:t>
      </w:r>
    </w:p>
    <w:p w14:paraId="6C7F5D34" w14:textId="53071D36" w:rsidR="003D1730" w:rsidRPr="009901FA" w:rsidRDefault="00FB0646" w:rsidP="00F85D1A">
      <w:pPr>
        <w:pStyle w:val="ListParagraph"/>
        <w:spacing w:after="200"/>
        <w:ind w:left="360"/>
      </w:pPr>
      <w:r w:rsidRPr="009901FA">
        <w:rPr>
          <w:b/>
          <w:bCs/>
        </w:rPr>
        <w:t>Sectors with dilute streams</w:t>
      </w:r>
      <w:r w:rsidRPr="009901FA">
        <w:rPr>
          <w:rFonts w:cs="Arial Nova"/>
          <w:b/>
          <w:bCs/>
        </w:rPr>
        <w:t xml:space="preserve"> </w:t>
      </w:r>
      <w:r w:rsidRPr="009901FA">
        <w:rPr>
          <w:b/>
          <w:bCs/>
        </w:rPr>
        <w:t>require more advanced</w:t>
      </w:r>
      <w:r w:rsidR="000D73B2" w:rsidRPr="009901FA">
        <w:rPr>
          <w:b/>
          <w:bCs/>
        </w:rPr>
        <w:t>,</w:t>
      </w:r>
      <w:r w:rsidRPr="009901FA">
        <w:rPr>
          <w:b/>
          <w:bCs/>
        </w:rPr>
        <w:t xml:space="preserve"> integrated technologies</w:t>
      </w:r>
      <w:r w:rsidR="000D73B2" w:rsidRPr="009901FA">
        <w:t xml:space="preserve">. </w:t>
      </w:r>
      <w:r w:rsidR="00E769EA" w:rsidRPr="009901FA">
        <w:t>Additionally, as shown</w:t>
      </w:r>
      <w:r w:rsidR="000D73B2" w:rsidRPr="009901FA">
        <w:t xml:space="preserve"> </w:t>
      </w:r>
      <w:r w:rsidR="00DC0263" w:rsidRPr="009901FA">
        <w:t xml:space="preserve">in </w:t>
      </w:r>
      <w:r w:rsidR="003D1730" w:rsidRPr="009901FA">
        <w:fldChar w:fldCharType="begin"/>
      </w:r>
      <w:r w:rsidR="003D1730" w:rsidRPr="009901FA">
        <w:instrText xml:space="preserve"> REF _Ref203749372 \h </w:instrText>
      </w:r>
      <w:r w:rsidR="00A247A6">
        <w:instrText xml:space="preserve"> \* MERGEFORMAT </w:instrText>
      </w:r>
      <w:r w:rsidR="003D1730" w:rsidRPr="009901FA">
        <w:fldChar w:fldCharType="separate"/>
      </w:r>
      <w:r w:rsidR="00DE378F" w:rsidRPr="009901FA">
        <w:t xml:space="preserve">Exhibit </w:t>
      </w:r>
      <w:r w:rsidR="00E61394">
        <w:rPr>
          <w:noProof/>
        </w:rPr>
        <w:t>4</w:t>
      </w:r>
      <w:r w:rsidR="00DE378F" w:rsidRPr="009901FA">
        <w:t>.</w:t>
      </w:r>
      <w:r w:rsidR="00DE378F" w:rsidRPr="009901FA">
        <w:rPr>
          <w:noProof/>
        </w:rPr>
        <w:t>11</w:t>
      </w:r>
      <w:r w:rsidR="003D1730" w:rsidRPr="009901FA">
        <w:fldChar w:fldCharType="end"/>
      </w:r>
      <w:r w:rsidR="00DC0263" w:rsidRPr="009901FA">
        <w:t xml:space="preserve">, </w:t>
      </w:r>
      <w:r w:rsidR="00021F67" w:rsidRPr="009901FA">
        <w:t>gas</w:t>
      </w:r>
      <w:r w:rsidR="00D33A0C" w:rsidRPr="009901FA">
        <w:t xml:space="preserve"> </w:t>
      </w:r>
      <w:r w:rsidRPr="009901FA">
        <w:t xml:space="preserve">power and cement are also highly emission-intensive and </w:t>
      </w:r>
      <w:r w:rsidR="000D73B2" w:rsidRPr="009901FA">
        <w:t>challenging</w:t>
      </w:r>
      <w:r w:rsidRPr="009901FA">
        <w:t xml:space="preserve"> to decarbonize </w:t>
      </w:r>
      <w:r w:rsidR="000D73B2" w:rsidRPr="009901FA">
        <w:t>via</w:t>
      </w:r>
      <w:r w:rsidRPr="009901FA">
        <w:t xml:space="preserve"> electrification</w:t>
      </w:r>
      <w:r w:rsidR="000D73B2" w:rsidRPr="009901FA">
        <w:t>. These</w:t>
      </w:r>
      <w:r w:rsidRPr="009901FA">
        <w:t xml:space="preserve"> two sectors represent the </w:t>
      </w:r>
      <w:r w:rsidR="000D73B2" w:rsidRPr="009901FA">
        <w:t xml:space="preserve">highest projected </w:t>
      </w:r>
      <w:r w:rsidRPr="009901FA">
        <w:t>CO</w:t>
      </w:r>
      <w:r w:rsidRPr="00A247A6">
        <w:rPr>
          <w:rFonts w:ascii="Cambria Math" w:hAnsi="Cambria Math" w:cs="Cambria Math"/>
        </w:rPr>
        <w:t>₂</w:t>
      </w:r>
      <w:r w:rsidRPr="009901FA">
        <w:t xml:space="preserve"> capture volumes </w:t>
      </w:r>
      <w:r w:rsidR="000D73B2" w:rsidRPr="009901FA">
        <w:t>by</w:t>
      </w:r>
      <w:r w:rsidRPr="009901FA">
        <w:t xml:space="preserve"> 2050. While </w:t>
      </w:r>
      <w:r w:rsidR="00FD7F1D" w:rsidRPr="009901FA">
        <w:t>BECCS,</w:t>
      </w:r>
      <w:r w:rsidRPr="009901FA">
        <w:t xml:space="preserve"> steel</w:t>
      </w:r>
      <w:r w:rsidR="000D73B2" w:rsidRPr="009901FA">
        <w:t>,</w:t>
      </w:r>
      <w:r w:rsidRPr="009901FA">
        <w:t xml:space="preserve"> </w:t>
      </w:r>
      <w:r w:rsidR="00D33A0C" w:rsidRPr="009901FA">
        <w:t xml:space="preserve">and </w:t>
      </w:r>
      <w:r w:rsidRPr="009901FA">
        <w:t>chemicals are important, they contribute less volume</w:t>
      </w:r>
      <w:r w:rsidR="000D73B2" w:rsidRPr="009901FA">
        <w:t xml:space="preserve"> overall</w:t>
      </w:r>
      <w:r w:rsidR="003D5EEF" w:rsidRPr="009901FA">
        <w:t xml:space="preserve"> </w:t>
      </w:r>
      <w:r w:rsidR="003D5EEF" w:rsidRPr="009901FA">
        <w:rPr>
          <w:rStyle w:val="FootnoteReference"/>
        </w:rPr>
        <w:footnoteReference w:id="75"/>
      </w:r>
      <w:r w:rsidR="000D73B2" w:rsidRPr="009901FA">
        <w:t>.</w:t>
      </w:r>
      <w:r w:rsidRPr="009901FA">
        <w:t xml:space="preserve"> DAC</w:t>
      </w:r>
      <w:r w:rsidR="000D73B2" w:rsidRPr="009901FA">
        <w:t>, though significant, is assessed separately.</w:t>
      </w:r>
      <w:r w:rsidR="00C66BE3" w:rsidRPr="009901FA">
        <w:t xml:space="preserve"> Given the scale and cost challenges, power and cement sectors demand targeted technological solutions.</w:t>
      </w:r>
      <w:r w:rsidR="00E8250E" w:rsidRPr="009901FA">
        <w:rPr>
          <w:noProof/>
        </w:rPr>
        <w:t xml:space="preserve"> </w:t>
      </w:r>
    </w:p>
    <w:p w14:paraId="6D27978A" w14:textId="22170553" w:rsidR="003D1730" w:rsidRPr="009901FA" w:rsidRDefault="003D1730" w:rsidP="003D1730">
      <w:pPr>
        <w:pStyle w:val="Caption"/>
        <w:keepNext/>
      </w:pPr>
      <w:bookmarkStart w:id="100" w:name="_Ref203749372"/>
      <w:r w:rsidRPr="009901FA">
        <w:t xml:space="preserve">Exhibit </w:t>
      </w:r>
      <w:r w:rsidR="00E61394">
        <w:t>4</w:t>
      </w:r>
      <w:r w:rsidR="008725B4" w:rsidRPr="009901FA">
        <w:t>.</w:t>
      </w:r>
      <w:fldSimple w:instr=" SEQ Exhibit \* ARABIC \s 2 ">
        <w:r w:rsidR="00DE378F" w:rsidRPr="009901FA">
          <w:rPr>
            <w:noProof/>
          </w:rPr>
          <w:t>11</w:t>
        </w:r>
      </w:fldSimple>
      <w:bookmarkEnd w:id="100"/>
    </w:p>
    <w:p w14:paraId="44368956" w14:textId="32D5ADAA" w:rsidR="00834E26" w:rsidRPr="009901FA" w:rsidRDefault="00503DFB" w:rsidP="003E4855">
      <w:r w:rsidRPr="009901FA">
        <w:rPr>
          <w:noProof/>
        </w:rPr>
        <w:drawing>
          <wp:inline distT="0" distB="0" distL="0" distR="0" wp14:anchorId="4A7425A1" wp14:editId="29F58B69">
            <wp:extent cx="6263640" cy="3317240"/>
            <wp:effectExtent l="0" t="0" r="3810" b="0"/>
            <wp:docPr id="1563221385" name="Picture 1"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221385" name="Picture 1" descr="A graph of different colored bars&#10;&#10;Description automatically generated with medium confidence"/>
                    <pic:cNvPicPr/>
                  </pic:nvPicPr>
                  <pic:blipFill>
                    <a:blip r:embed="rId89"/>
                    <a:stretch>
                      <a:fillRect/>
                    </a:stretch>
                  </pic:blipFill>
                  <pic:spPr>
                    <a:xfrm>
                      <a:off x="0" y="0"/>
                      <a:ext cx="6263640" cy="3317240"/>
                    </a:xfrm>
                    <a:prstGeom prst="rect">
                      <a:avLst/>
                    </a:prstGeom>
                  </pic:spPr>
                </pic:pic>
              </a:graphicData>
            </a:graphic>
          </wp:inline>
        </w:drawing>
      </w:r>
    </w:p>
    <w:p w14:paraId="651EFB26" w14:textId="4D1C40CE" w:rsidR="00C41539" w:rsidRPr="009901FA" w:rsidRDefault="00B40C49" w:rsidP="00C41539">
      <w:r w:rsidRPr="009901FA">
        <w:rPr>
          <w:b/>
          <w:bCs/>
        </w:rPr>
        <w:t>Benchmark point-source</w:t>
      </w:r>
      <w:r w:rsidR="003E4855" w:rsidRPr="009901FA">
        <w:rPr>
          <w:b/>
        </w:rPr>
        <w:t xml:space="preserve"> carbon capture </w:t>
      </w:r>
      <w:r w:rsidRPr="009901FA">
        <w:rPr>
          <w:b/>
          <w:bCs/>
        </w:rPr>
        <w:t>technologies today are predominantly</w:t>
      </w:r>
      <w:r w:rsidR="003E4855" w:rsidRPr="009901FA">
        <w:rPr>
          <w:b/>
        </w:rPr>
        <w:t xml:space="preserve"> post-combustion </w:t>
      </w:r>
      <w:r w:rsidRPr="009901FA">
        <w:rPr>
          <w:b/>
          <w:bCs/>
        </w:rPr>
        <w:t>systems, using either</w:t>
      </w:r>
      <w:r w:rsidR="003E4855" w:rsidRPr="009901FA">
        <w:rPr>
          <w:b/>
        </w:rPr>
        <w:t xml:space="preserve"> liquid absorption </w:t>
      </w:r>
      <w:r w:rsidRPr="009901FA">
        <w:rPr>
          <w:b/>
          <w:bCs/>
        </w:rPr>
        <w:t>or</w:t>
      </w:r>
      <w:r w:rsidR="003E4855" w:rsidRPr="009901FA">
        <w:rPr>
          <w:b/>
        </w:rPr>
        <w:t xml:space="preserve"> solid adsorption</w:t>
      </w:r>
      <w:r w:rsidR="00C73506" w:rsidRPr="009901FA">
        <w:t xml:space="preserve">. </w:t>
      </w:r>
      <w:r w:rsidRPr="009901FA">
        <w:t>These methods</w:t>
      </w:r>
      <w:r w:rsidR="00C41539" w:rsidRPr="009901FA">
        <w:t xml:space="preserve"> remove CO</w:t>
      </w:r>
      <w:r w:rsidR="00C41539" w:rsidRPr="00A247A6">
        <w:rPr>
          <w:rFonts w:ascii="Cambria Math" w:hAnsi="Cambria Math" w:cs="Cambria Math"/>
        </w:rPr>
        <w:t>₂</w:t>
      </w:r>
      <w:r w:rsidR="00C41539" w:rsidRPr="009901FA">
        <w:t xml:space="preserve"> from flue gases after fossil fuel combustion </w:t>
      </w:r>
      <w:r w:rsidRPr="009901FA">
        <w:t>and are already widely deployed at pilot and semi-industrial scales.</w:t>
      </w:r>
      <w:r w:rsidR="00C41539" w:rsidRPr="009901FA">
        <w:t xml:space="preserve"> The process involves two key steps:</w:t>
      </w:r>
    </w:p>
    <w:p w14:paraId="7095C2E3" w14:textId="77777777" w:rsidR="00C41539" w:rsidRPr="009901FA" w:rsidRDefault="00C41539" w:rsidP="002C2B3F">
      <w:pPr>
        <w:numPr>
          <w:ilvl w:val="0"/>
          <w:numId w:val="36"/>
        </w:numPr>
        <w:spacing w:after="0"/>
      </w:pPr>
      <w:r w:rsidRPr="009901FA">
        <w:rPr>
          <w:b/>
        </w:rPr>
        <w:t>CO</w:t>
      </w:r>
      <w:r w:rsidRPr="00A247A6">
        <w:rPr>
          <w:rFonts w:ascii="Cambria Math" w:hAnsi="Cambria Math" w:cs="Cambria Math"/>
          <w:b/>
        </w:rPr>
        <w:t>₂</w:t>
      </w:r>
      <w:r w:rsidRPr="009901FA">
        <w:rPr>
          <w:b/>
        </w:rPr>
        <w:t xml:space="preserve"> Capture:</w:t>
      </w:r>
    </w:p>
    <w:p w14:paraId="3C626664" w14:textId="77777777" w:rsidR="00C41539" w:rsidRPr="009901FA" w:rsidRDefault="00C41539" w:rsidP="002C2B3F">
      <w:pPr>
        <w:numPr>
          <w:ilvl w:val="1"/>
          <w:numId w:val="36"/>
        </w:numPr>
        <w:spacing w:after="0"/>
      </w:pPr>
      <w:r w:rsidRPr="009901FA">
        <w:lastRenderedPageBreak/>
        <w:t xml:space="preserve">In </w:t>
      </w:r>
      <w:r w:rsidRPr="009901FA">
        <w:rPr>
          <w:b/>
        </w:rPr>
        <w:t>liquid absorption</w:t>
      </w:r>
      <w:r w:rsidRPr="009901FA">
        <w:t>, flue gas is passed through an absorber column where a liquid solvent (typically an amine-based chemical like MEA) binds with CO</w:t>
      </w:r>
      <w:r w:rsidRPr="00A247A6">
        <w:rPr>
          <w:rFonts w:ascii="Cambria Math" w:hAnsi="Cambria Math" w:cs="Cambria Math"/>
        </w:rPr>
        <w:t>₂</w:t>
      </w:r>
      <w:r w:rsidRPr="009901FA">
        <w:t>.</w:t>
      </w:r>
    </w:p>
    <w:p w14:paraId="25FEE1C5" w14:textId="41D1D93B" w:rsidR="00C41539" w:rsidRPr="009901FA" w:rsidRDefault="00C41539" w:rsidP="002C2B3F">
      <w:pPr>
        <w:numPr>
          <w:ilvl w:val="1"/>
          <w:numId w:val="36"/>
        </w:numPr>
      </w:pPr>
      <w:r w:rsidRPr="009901FA">
        <w:t xml:space="preserve">In </w:t>
      </w:r>
      <w:r w:rsidRPr="009901FA">
        <w:rPr>
          <w:b/>
        </w:rPr>
        <w:t>solid adsorption</w:t>
      </w:r>
      <w:r w:rsidRPr="009901FA">
        <w:t>, CO</w:t>
      </w:r>
      <w:r w:rsidRPr="00A247A6">
        <w:rPr>
          <w:rFonts w:ascii="Cambria Math" w:hAnsi="Cambria Math" w:cs="Cambria Math"/>
        </w:rPr>
        <w:t>₂</w:t>
      </w:r>
      <w:r w:rsidRPr="009901FA">
        <w:t xml:space="preserve"> molecules are captured on the surface of solid materials such as amine-functionalized sorbents</w:t>
      </w:r>
      <w:r w:rsidR="00BF602F" w:rsidRPr="009901FA">
        <w:t>, zeolites</w:t>
      </w:r>
      <w:r w:rsidRPr="009901FA">
        <w:t xml:space="preserve"> or metal-organic frameworks (MOFs).</w:t>
      </w:r>
    </w:p>
    <w:p w14:paraId="3E281B6F" w14:textId="77777777" w:rsidR="00C41539" w:rsidRPr="009901FA" w:rsidRDefault="00C41539" w:rsidP="002C2B3F">
      <w:pPr>
        <w:numPr>
          <w:ilvl w:val="0"/>
          <w:numId w:val="36"/>
        </w:numPr>
        <w:spacing w:after="0"/>
      </w:pPr>
      <w:r w:rsidRPr="009901FA">
        <w:rPr>
          <w:b/>
        </w:rPr>
        <w:t>Regeneration:</w:t>
      </w:r>
    </w:p>
    <w:p w14:paraId="23B13523" w14:textId="77777777" w:rsidR="00C41539" w:rsidRPr="009901FA" w:rsidRDefault="00C41539" w:rsidP="002C2B3F">
      <w:pPr>
        <w:numPr>
          <w:ilvl w:val="1"/>
          <w:numId w:val="36"/>
        </w:numPr>
        <w:spacing w:after="0"/>
      </w:pPr>
      <w:r w:rsidRPr="009901FA">
        <w:t>For liquid systems, the solvent is heated in a stripper column to release high-purity CO</w:t>
      </w:r>
      <w:r w:rsidRPr="00A247A6">
        <w:rPr>
          <w:rFonts w:ascii="Cambria Math" w:hAnsi="Cambria Math" w:cs="Cambria Math"/>
        </w:rPr>
        <w:t>₂</w:t>
      </w:r>
      <w:r w:rsidRPr="009901FA">
        <w:t xml:space="preserve"> and regenerate the liquid for reuse.</w:t>
      </w:r>
    </w:p>
    <w:p w14:paraId="3474A94E" w14:textId="14DE23ED" w:rsidR="00C41539" w:rsidRPr="009901FA" w:rsidRDefault="00C41539" w:rsidP="002C2B3F">
      <w:pPr>
        <w:numPr>
          <w:ilvl w:val="1"/>
          <w:numId w:val="36"/>
        </w:numPr>
      </w:pPr>
      <w:r w:rsidRPr="009901FA">
        <w:t>For solids, CO</w:t>
      </w:r>
      <w:r w:rsidRPr="00A247A6">
        <w:rPr>
          <w:rFonts w:ascii="Cambria Math" w:hAnsi="Cambria Math" w:cs="Cambria Math"/>
        </w:rPr>
        <w:t>₂</w:t>
      </w:r>
      <w:r w:rsidRPr="009901FA">
        <w:t xml:space="preserve"> is desorbed via heating, pressure swing, or vacuum swing processes, after which the material is reused.</w:t>
      </w:r>
    </w:p>
    <w:p w14:paraId="22B75E37" w14:textId="77777777" w:rsidR="00D509F6" w:rsidRPr="009901FA" w:rsidRDefault="00D509F6" w:rsidP="00D509F6">
      <w:pPr>
        <w:spacing w:after="0"/>
      </w:pPr>
      <w:r w:rsidRPr="009901FA">
        <w:rPr>
          <w:b/>
        </w:rPr>
        <w:t>Advantages</w:t>
      </w:r>
      <w:r w:rsidRPr="009901FA">
        <w:t>:</w:t>
      </w:r>
    </w:p>
    <w:p w14:paraId="0AC217FA" w14:textId="57FBB557" w:rsidR="00BD2ECB" w:rsidRPr="009901FA" w:rsidRDefault="006A099C" w:rsidP="002C2B3F">
      <w:pPr>
        <w:numPr>
          <w:ilvl w:val="0"/>
          <w:numId w:val="18"/>
        </w:numPr>
        <w:spacing w:after="0"/>
      </w:pPr>
      <w:r w:rsidRPr="009901FA">
        <w:t>Tail-end retrofits are possible with minimal plant modifications, enabling easier integration into existing infrastructure.</w:t>
      </w:r>
    </w:p>
    <w:p w14:paraId="7EEDB2AF" w14:textId="37A9F1B6" w:rsidR="00BD2ECB" w:rsidRPr="009901FA" w:rsidRDefault="00BD2ECB" w:rsidP="002C2B3F">
      <w:pPr>
        <w:numPr>
          <w:ilvl w:val="0"/>
          <w:numId w:val="18"/>
        </w:numPr>
      </w:pPr>
      <w:r w:rsidRPr="009901FA">
        <w:t>Continuous innovation, especially in solvents (DMX) and sorbents (MOFs), is improving performance.</w:t>
      </w:r>
    </w:p>
    <w:p w14:paraId="3E17439E" w14:textId="77777777" w:rsidR="00D509F6" w:rsidRPr="009901FA" w:rsidRDefault="00D509F6" w:rsidP="00D509F6">
      <w:pPr>
        <w:spacing w:after="0"/>
      </w:pPr>
      <w:r w:rsidRPr="009901FA">
        <w:rPr>
          <w:b/>
        </w:rPr>
        <w:t>Disadvantages</w:t>
      </w:r>
      <w:r w:rsidRPr="009901FA">
        <w:t>:</w:t>
      </w:r>
    </w:p>
    <w:p w14:paraId="1AC33AFF" w14:textId="03411B61" w:rsidR="001A3754" w:rsidRPr="009901FA" w:rsidRDefault="001A3754" w:rsidP="002C2B3F">
      <w:pPr>
        <w:numPr>
          <w:ilvl w:val="0"/>
          <w:numId w:val="18"/>
        </w:numPr>
        <w:spacing w:after="0"/>
      </w:pPr>
      <w:r w:rsidRPr="009901FA">
        <w:t>Liquid systems are energy-intensive due to high heat demand for solvent regeneration.</w:t>
      </w:r>
    </w:p>
    <w:p w14:paraId="39444216" w14:textId="4C5D34C1" w:rsidR="001A3754" w:rsidRPr="009901FA" w:rsidRDefault="00506ED8" w:rsidP="002C2B3F">
      <w:pPr>
        <w:pStyle w:val="ListParagraph"/>
        <w:numPr>
          <w:ilvl w:val="0"/>
          <w:numId w:val="18"/>
        </w:numPr>
        <w:spacing w:after="0"/>
      </w:pPr>
      <w:r w:rsidRPr="009901FA">
        <w:t>Both solvents and solid sorbents can degrade in the presence of flue gas impurities (SOx, Nox, dust), requiring pretreatment.</w:t>
      </w:r>
    </w:p>
    <w:p w14:paraId="7455E3CC" w14:textId="370DCA1A" w:rsidR="00436856" w:rsidRPr="009901FA" w:rsidRDefault="009E4E8D" w:rsidP="002C2B3F">
      <w:pPr>
        <w:numPr>
          <w:ilvl w:val="0"/>
          <w:numId w:val="18"/>
        </w:numPr>
        <w:spacing w:after="0"/>
      </w:pPr>
      <w:r w:rsidRPr="009901FA">
        <w:t>Solid adsorbents may suffer reduced CO</w:t>
      </w:r>
      <w:r w:rsidRPr="00A247A6">
        <w:rPr>
          <w:rFonts w:ascii="Cambria Math" w:hAnsi="Cambria Math" w:cs="Cambria Math"/>
        </w:rPr>
        <w:t>₂</w:t>
      </w:r>
      <w:r w:rsidRPr="009901FA">
        <w:t xml:space="preserve"> capacity due to competition with water vapor, particularly for materials like zeolites, which are highly sensitive to humidity</w:t>
      </w:r>
      <w:r w:rsidR="001A3754" w:rsidRPr="009901FA">
        <w:t>.</w:t>
      </w:r>
    </w:p>
    <w:p w14:paraId="0620F053" w14:textId="77777777" w:rsidR="00B40C49" w:rsidRPr="009901FA" w:rsidRDefault="00B40C49" w:rsidP="00B40C49"/>
    <w:p w14:paraId="38B048C4" w14:textId="77777777" w:rsidR="00B40C49" w:rsidRPr="009901FA" w:rsidRDefault="00B40C49" w:rsidP="00B40C49">
      <w:r w:rsidRPr="009901FA">
        <w:rPr>
          <w:b/>
          <w:bCs/>
        </w:rPr>
        <w:t>Two next-generation capture technologies are now emerging</w:t>
      </w:r>
      <w:r w:rsidRPr="009901FA">
        <w:t xml:space="preserve"> with potential to disrupt the post-combustion paradigm:</w:t>
      </w:r>
    </w:p>
    <w:p w14:paraId="5DE462E8" w14:textId="2A4871D8" w:rsidR="00B40C49" w:rsidRPr="009901FA" w:rsidRDefault="00B40C49" w:rsidP="002C2B3F">
      <w:pPr>
        <w:numPr>
          <w:ilvl w:val="0"/>
          <w:numId w:val="17"/>
        </w:numPr>
      </w:pPr>
      <w:r w:rsidRPr="009901FA">
        <w:rPr>
          <w:b/>
        </w:rPr>
        <w:t>Calcium Looping (CaL)</w:t>
      </w:r>
      <w:r w:rsidRPr="009901FA">
        <w:t xml:space="preserve"> for cement</w:t>
      </w:r>
      <w:r w:rsidR="003C254B" w:rsidRPr="009901FA">
        <w:t>.</w:t>
      </w:r>
      <w:r w:rsidRPr="009901FA">
        <w:t xml:space="preserve"> It is the focus of CaLby2030, an EU-funded project with 18 partners working toward commercial deployment by 2030.</w:t>
      </w:r>
    </w:p>
    <w:p w14:paraId="1DB3356D" w14:textId="39AAF796" w:rsidR="00B40C49" w:rsidRPr="009901FA" w:rsidRDefault="00B40C49" w:rsidP="002C2B3F">
      <w:pPr>
        <w:numPr>
          <w:ilvl w:val="0"/>
          <w:numId w:val="17"/>
        </w:numPr>
      </w:pPr>
      <w:r w:rsidRPr="009901FA">
        <w:rPr>
          <w:b/>
        </w:rPr>
        <w:t>Allam-Fetvedt Cycle (AFC)</w:t>
      </w:r>
      <w:r w:rsidRPr="009901FA">
        <w:t xml:space="preserve"> for power generation. </w:t>
      </w:r>
      <w:r w:rsidR="003C254B" w:rsidRPr="009901FA">
        <w:t>It</w:t>
      </w:r>
      <w:r w:rsidRPr="009901FA">
        <w:t xml:space="preserve"> is now being scaled by NET Power, with a 300 MW commercial plant in Odessa, Texas, expected to begin operation by 2027.</w:t>
      </w:r>
    </w:p>
    <w:p w14:paraId="7F155396" w14:textId="77777777" w:rsidR="00B40C49" w:rsidRPr="009901FA" w:rsidRDefault="00B40C49" w:rsidP="00B40C49">
      <w:r w:rsidRPr="009901FA">
        <w:t>These will be compared with post-combustion benchmarks in terms of energy efficiency, scalability, and integration potential.</w:t>
      </w:r>
    </w:p>
    <w:p w14:paraId="79CF3239" w14:textId="2DEEA2A2" w:rsidR="00B56267" w:rsidRPr="009901FA" w:rsidRDefault="005528E4" w:rsidP="000D356C">
      <w:pPr>
        <w:rPr>
          <w:b/>
          <w:bCs/>
        </w:rPr>
      </w:pPr>
      <w:r w:rsidRPr="009901FA">
        <w:rPr>
          <w:b/>
          <w:bCs/>
        </w:rPr>
        <w:t xml:space="preserve">Calcium Looping (CaL) is a promising carbon capture technology tailored for high-temperature industrial sectors such as cement. </w:t>
      </w:r>
      <w:r w:rsidRPr="009901FA">
        <w:t>It operates through a closed-loop reaction between calcium oxide (CaO) and calcium carbonate (CaCO</w:t>
      </w:r>
      <w:r w:rsidRPr="00A247A6">
        <w:rPr>
          <w:rFonts w:ascii="Cambria Math" w:hAnsi="Cambria Math" w:cs="Cambria Math"/>
        </w:rPr>
        <w:t>₃</w:t>
      </w:r>
      <w:r w:rsidRPr="009901FA">
        <w:t>), using solid materials to chemically bind and release CO</w:t>
      </w:r>
      <w:r w:rsidRPr="00A247A6">
        <w:rPr>
          <w:rFonts w:ascii="Cambria Math" w:hAnsi="Cambria Math" w:cs="Cambria Math"/>
        </w:rPr>
        <w:t>₂</w:t>
      </w:r>
      <w:r w:rsidRPr="009901FA">
        <w:t xml:space="preserve">. </w:t>
      </w:r>
      <w:r w:rsidR="00B56267" w:rsidRPr="009901FA">
        <w:t xml:space="preserve">As </w:t>
      </w:r>
      <w:r w:rsidRPr="009901FA">
        <w:t>illustrated in</w:t>
      </w:r>
      <w:r w:rsidR="00A3243C" w:rsidRPr="009901FA">
        <w:t xml:space="preserve"> </w:t>
      </w:r>
      <w:r w:rsidR="00A3243C" w:rsidRPr="009901FA">
        <w:fldChar w:fldCharType="begin"/>
      </w:r>
      <w:r w:rsidR="00A3243C" w:rsidRPr="009901FA">
        <w:instrText xml:space="preserve"> REF _Ref203749394 \h </w:instrText>
      </w:r>
      <w:r w:rsidR="00A247A6">
        <w:instrText xml:space="preserve"> \* MERGEFORMAT </w:instrText>
      </w:r>
      <w:r w:rsidR="00A3243C" w:rsidRPr="009901FA">
        <w:fldChar w:fldCharType="separate"/>
      </w:r>
      <w:r w:rsidR="00DE378F" w:rsidRPr="009901FA">
        <w:t xml:space="preserve">Exhibit </w:t>
      </w:r>
      <w:r w:rsidR="00E61394">
        <w:rPr>
          <w:noProof/>
        </w:rPr>
        <w:t>4</w:t>
      </w:r>
      <w:r w:rsidR="00DE378F" w:rsidRPr="009901FA">
        <w:t>.</w:t>
      </w:r>
      <w:r w:rsidR="00DE378F" w:rsidRPr="009901FA">
        <w:rPr>
          <w:noProof/>
        </w:rPr>
        <w:t>12</w:t>
      </w:r>
      <w:r w:rsidR="00A3243C" w:rsidRPr="009901FA">
        <w:fldChar w:fldCharType="end"/>
      </w:r>
      <w:r w:rsidR="00A3243C" w:rsidRPr="009901FA">
        <w:t>,</w:t>
      </w:r>
      <w:r w:rsidRPr="009901FA">
        <w:t xml:space="preserve"> the process includes three key stages: CO</w:t>
      </w:r>
      <w:r w:rsidRPr="00A247A6">
        <w:rPr>
          <w:rFonts w:ascii="Cambria Math" w:hAnsi="Cambria Math" w:cs="Cambria Math"/>
        </w:rPr>
        <w:t>₂</w:t>
      </w:r>
      <w:r w:rsidRPr="009901FA">
        <w:t xml:space="preserve"> capture in a carbonator, regeneration of the sorbent in a calciner, and continuous looping of the material. </w:t>
      </w:r>
      <w:r w:rsidR="0011107A" w:rsidRPr="009901FA">
        <w:t xml:space="preserve">The calciner typically </w:t>
      </w:r>
      <w:r w:rsidR="0011107A" w:rsidRPr="009901FA">
        <w:lastRenderedPageBreak/>
        <w:t>uses natural gas as a fuel in an oxy-fuel configuration, enabling the production of a concentrated CO</w:t>
      </w:r>
      <w:r w:rsidR="0011107A" w:rsidRPr="00A247A6">
        <w:rPr>
          <w:rFonts w:ascii="Cambria Math" w:hAnsi="Cambria Math" w:cs="Cambria Math"/>
        </w:rPr>
        <w:t>₂</w:t>
      </w:r>
      <w:r w:rsidR="0011107A" w:rsidRPr="009901FA">
        <w:t xml:space="preserve"> stream that can be efficiently captured and processed.</w:t>
      </w:r>
    </w:p>
    <w:p w14:paraId="2ADDD7EE" w14:textId="1505195E" w:rsidR="003D1730" w:rsidRPr="009901FA" w:rsidRDefault="003D1730" w:rsidP="003D1730">
      <w:pPr>
        <w:pStyle w:val="Caption"/>
        <w:keepNext/>
      </w:pPr>
      <w:bookmarkStart w:id="101" w:name="_Ref203749394"/>
      <w:r w:rsidRPr="009901FA">
        <w:t xml:space="preserve">Exhibit </w:t>
      </w:r>
      <w:r w:rsidR="00E61394">
        <w:t>4</w:t>
      </w:r>
      <w:r w:rsidR="008725B4" w:rsidRPr="009901FA">
        <w:t>.</w:t>
      </w:r>
      <w:fldSimple w:instr=" SEQ Exhibit \* ARABIC \s 2 ">
        <w:r w:rsidR="00DE378F" w:rsidRPr="009901FA">
          <w:rPr>
            <w:noProof/>
          </w:rPr>
          <w:t>12</w:t>
        </w:r>
      </w:fldSimple>
      <w:bookmarkEnd w:id="101"/>
    </w:p>
    <w:p w14:paraId="46C903EA" w14:textId="4F4D9F16" w:rsidR="007A59ED" w:rsidRPr="009901FA" w:rsidRDefault="00815F0E" w:rsidP="007A59ED">
      <w:r>
        <w:rPr>
          <w:noProof/>
        </w:rPr>
        <w:drawing>
          <wp:inline distT="0" distB="0" distL="0" distR="0" wp14:anchorId="0C05F4AE" wp14:editId="57835133">
            <wp:extent cx="6263640" cy="3410585"/>
            <wp:effectExtent l="0" t="0" r="3810" b="0"/>
            <wp:docPr id="888944993" name="Picture 1" descr="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944993" name="Picture 1" descr="A diagram of a process&#10;&#10;Description automatically generated"/>
                    <pic:cNvPicPr/>
                  </pic:nvPicPr>
                  <pic:blipFill>
                    <a:blip r:embed="rId90"/>
                    <a:stretch>
                      <a:fillRect/>
                    </a:stretch>
                  </pic:blipFill>
                  <pic:spPr>
                    <a:xfrm>
                      <a:off x="0" y="0"/>
                      <a:ext cx="6263640" cy="3410585"/>
                    </a:xfrm>
                    <a:prstGeom prst="rect">
                      <a:avLst/>
                    </a:prstGeom>
                  </pic:spPr>
                </pic:pic>
              </a:graphicData>
            </a:graphic>
          </wp:inline>
        </w:drawing>
      </w:r>
    </w:p>
    <w:p w14:paraId="136F513F" w14:textId="21E50D27" w:rsidR="0031236C" w:rsidRPr="009901FA" w:rsidRDefault="0031236C" w:rsidP="0031236C">
      <w:pPr>
        <w:rPr>
          <w:b/>
          <w:bCs/>
        </w:rPr>
      </w:pPr>
      <w:r w:rsidRPr="009901FA">
        <w:rPr>
          <w:b/>
          <w:bCs/>
        </w:rPr>
        <w:t xml:space="preserve">CaL is particularly compelling for cement industry integration, where calcination is already a core part of clinker production. </w:t>
      </w:r>
      <w:r w:rsidRPr="009901FA">
        <w:t>While the CaL process requires a separate carbonator-calciner loop, opportunities exist to share infrastructure—raw materials, heat exchange networks, oxygen supply systems, and potentially even calciner design and footprint—with existing cement kiln operations. Projects like CLEANKER have demonstrated that partial integration is not only feasible but can offer capital efficiency and energy synergies, especially in new-build or deeply retrofitted facilities.</w:t>
      </w:r>
      <w:r w:rsidR="00A768E3" w:rsidRPr="009901FA">
        <w:rPr>
          <w:rStyle w:val="FootnoteReference"/>
        </w:rPr>
        <w:footnoteReference w:id="76"/>
      </w:r>
    </w:p>
    <w:p w14:paraId="146ED1D9" w14:textId="2E33C73E" w:rsidR="007A59ED" w:rsidRPr="009901FA" w:rsidRDefault="007A59ED" w:rsidP="00367ED1">
      <w:pPr>
        <w:spacing w:after="0"/>
      </w:pPr>
      <w:r w:rsidRPr="009901FA">
        <w:rPr>
          <w:b/>
        </w:rPr>
        <w:t>Advantages</w:t>
      </w:r>
      <w:r w:rsidRPr="009901FA">
        <w:t>:</w:t>
      </w:r>
    </w:p>
    <w:p w14:paraId="7A75303E" w14:textId="77777777" w:rsidR="007A59ED" w:rsidRPr="009901FA" w:rsidRDefault="007A59ED" w:rsidP="002C2B3F">
      <w:pPr>
        <w:numPr>
          <w:ilvl w:val="0"/>
          <w:numId w:val="18"/>
        </w:numPr>
        <w:spacing w:after="0"/>
      </w:pPr>
      <w:r w:rsidRPr="009901FA">
        <w:t>High capture rate, typically around 90% and potentially up to 99%.</w:t>
      </w:r>
    </w:p>
    <w:p w14:paraId="7CC8C67C" w14:textId="77777777" w:rsidR="007A59ED" w:rsidRPr="009901FA" w:rsidRDefault="007A59ED" w:rsidP="002C2B3F">
      <w:pPr>
        <w:numPr>
          <w:ilvl w:val="0"/>
          <w:numId w:val="18"/>
        </w:numPr>
        <w:spacing w:after="0"/>
      </w:pPr>
      <w:r w:rsidRPr="009901FA">
        <w:t>Tolerant to flue gas impurities, eliminating the need for gas pretreatment.</w:t>
      </w:r>
    </w:p>
    <w:p w14:paraId="3D738EF0" w14:textId="001ADE1B" w:rsidR="007A59ED" w:rsidRPr="009901FA" w:rsidRDefault="00EA1552" w:rsidP="002C2B3F">
      <w:pPr>
        <w:numPr>
          <w:ilvl w:val="0"/>
          <w:numId w:val="18"/>
        </w:numPr>
        <w:spacing w:after="0"/>
      </w:pPr>
      <w:r w:rsidRPr="009901FA">
        <w:t>CaL can directly use the plant’s existing raw materials as the sorbent for CO</w:t>
      </w:r>
      <w:r w:rsidRPr="009901FA">
        <w:rPr>
          <w:vertAlign w:val="subscript"/>
        </w:rPr>
        <w:t>2</w:t>
      </w:r>
      <w:r w:rsidR="007A59ED" w:rsidRPr="009901FA">
        <w:t>, improving circularity.</w:t>
      </w:r>
    </w:p>
    <w:p w14:paraId="153F6BD3" w14:textId="12FBCFBE" w:rsidR="007A59ED" w:rsidRPr="009901FA" w:rsidRDefault="00D652C1" w:rsidP="002C2B3F">
      <w:pPr>
        <w:numPr>
          <w:ilvl w:val="0"/>
          <w:numId w:val="18"/>
        </w:numPr>
      </w:pPr>
      <w:r w:rsidRPr="009901FA">
        <w:t xml:space="preserve">Electricity generation is enabled through heat integration, as waste heat from the exothermic carbonation reaction and high-temperature calciner can be partially recovered to </w:t>
      </w:r>
      <w:r w:rsidR="007A59ED" w:rsidRPr="009901FA">
        <w:t>generate surplus electricity.</w:t>
      </w:r>
    </w:p>
    <w:p w14:paraId="3D1840F0" w14:textId="77777777" w:rsidR="007A59ED" w:rsidRPr="009901FA" w:rsidRDefault="007A59ED" w:rsidP="00367ED1">
      <w:pPr>
        <w:spacing w:after="0"/>
      </w:pPr>
      <w:r w:rsidRPr="009901FA">
        <w:rPr>
          <w:b/>
        </w:rPr>
        <w:t>Disadvantages</w:t>
      </w:r>
      <w:r w:rsidRPr="009901FA">
        <w:t>:</w:t>
      </w:r>
    </w:p>
    <w:p w14:paraId="6680155F" w14:textId="77777777" w:rsidR="007A59ED" w:rsidRPr="009901FA" w:rsidRDefault="007A59ED" w:rsidP="002C2B3F">
      <w:pPr>
        <w:numPr>
          <w:ilvl w:val="0"/>
          <w:numId w:val="19"/>
        </w:numPr>
        <w:spacing w:after="0"/>
      </w:pPr>
      <w:r w:rsidRPr="009901FA">
        <w:lastRenderedPageBreak/>
        <w:t>Requires high-temperature operation, making it less suitable for retrofits in low-temperature systems.</w:t>
      </w:r>
    </w:p>
    <w:p w14:paraId="5AC0C3B6" w14:textId="77777777" w:rsidR="007A59ED" w:rsidRPr="009901FA" w:rsidRDefault="007A59ED" w:rsidP="002C2B3F">
      <w:pPr>
        <w:numPr>
          <w:ilvl w:val="0"/>
          <w:numId w:val="19"/>
        </w:numPr>
        <w:spacing w:after="0"/>
      </w:pPr>
      <w:r w:rsidRPr="009901FA">
        <w:t>Medium-to-high CAPEX, depending on the level of integration.</w:t>
      </w:r>
    </w:p>
    <w:p w14:paraId="30211408" w14:textId="061AB546" w:rsidR="007A59ED" w:rsidRPr="009901FA" w:rsidRDefault="007A59ED" w:rsidP="002C2B3F">
      <w:pPr>
        <w:numPr>
          <w:ilvl w:val="0"/>
          <w:numId w:val="19"/>
        </w:numPr>
      </w:pPr>
      <w:r w:rsidRPr="009901FA">
        <w:t>Needs dedicated oxygen supply and careful material handling to manage solid sorbents</w:t>
      </w:r>
      <w:r w:rsidR="00951A1A" w:rsidRPr="009901FA">
        <w:t>, which can slow down deployment</w:t>
      </w:r>
      <w:r w:rsidRPr="009901FA">
        <w:t>.</w:t>
      </w:r>
    </w:p>
    <w:p w14:paraId="1654F492" w14:textId="37E59142" w:rsidR="002136EF" w:rsidRPr="009901FA" w:rsidRDefault="00121C55" w:rsidP="002136EF">
      <w:r w:rsidRPr="009901FA">
        <w:t>Overall, CaL presents a promising but technically demanding pathway for cement decarbonization. It offers opportunities for partial integration with existing plant infrastructure and energy efficiency gains through heat recovery, but its viability depends on careful system design, fuel and oxygen sourcing, and management of high-temperature solid flows</w:t>
      </w:r>
      <w:r w:rsidR="007A59ED" w:rsidRPr="009901FA">
        <w:t>.</w:t>
      </w:r>
      <w:r w:rsidR="005A2816" w:rsidRPr="009901FA">
        <w:rPr>
          <w:rStyle w:val="FootnoteReference"/>
        </w:rPr>
        <w:t xml:space="preserve"> </w:t>
      </w:r>
      <w:r w:rsidR="005A2816" w:rsidRPr="009901FA">
        <w:rPr>
          <w:rStyle w:val="FootnoteReference"/>
        </w:rPr>
        <w:footnoteReference w:id="77"/>
      </w:r>
    </w:p>
    <w:p w14:paraId="49CFA55A" w14:textId="57DB20ED" w:rsidR="00B34D8C" w:rsidRPr="009901FA" w:rsidRDefault="00B34D8C" w:rsidP="00B34D8C">
      <w:pPr>
        <w:pStyle w:val="Caption"/>
        <w:keepNext/>
      </w:pPr>
      <w:bookmarkStart w:id="102" w:name="_Ref203749454"/>
      <w:r w:rsidRPr="009901FA">
        <w:t xml:space="preserve">Exhibit </w:t>
      </w:r>
      <w:r w:rsidR="00E61394">
        <w:t>4</w:t>
      </w:r>
      <w:r w:rsidR="008725B4" w:rsidRPr="009901FA">
        <w:t>.</w:t>
      </w:r>
      <w:fldSimple w:instr=" SEQ Exhibit \* ARABIC \s 2 ">
        <w:r w:rsidR="00DE378F" w:rsidRPr="009901FA">
          <w:rPr>
            <w:noProof/>
          </w:rPr>
          <w:t>13</w:t>
        </w:r>
      </w:fldSimple>
      <w:bookmarkEnd w:id="102"/>
    </w:p>
    <w:p w14:paraId="7B29DE99" w14:textId="08AA0650" w:rsidR="00121CF0" w:rsidRPr="009901FA" w:rsidRDefault="00720AA4" w:rsidP="00BE5A26">
      <w:r w:rsidRPr="009901FA">
        <w:rPr>
          <w:noProof/>
        </w:rPr>
        <w:drawing>
          <wp:inline distT="0" distB="0" distL="0" distR="0" wp14:anchorId="234F6530" wp14:editId="1A105CF5">
            <wp:extent cx="6263640" cy="3687445"/>
            <wp:effectExtent l="0" t="0" r="3810" b="8255"/>
            <wp:docPr id="2072584226" name="Picture 1" descr="A diagram of a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584226" name="Picture 1" descr="A diagram of a process&#10;&#10;Description automatically generated"/>
                    <pic:cNvPicPr/>
                  </pic:nvPicPr>
                  <pic:blipFill>
                    <a:blip r:embed="rId91"/>
                    <a:stretch>
                      <a:fillRect/>
                    </a:stretch>
                  </pic:blipFill>
                  <pic:spPr>
                    <a:xfrm>
                      <a:off x="0" y="0"/>
                      <a:ext cx="6263640" cy="3687445"/>
                    </a:xfrm>
                    <a:prstGeom prst="rect">
                      <a:avLst/>
                    </a:prstGeom>
                  </pic:spPr>
                </pic:pic>
              </a:graphicData>
            </a:graphic>
          </wp:inline>
        </w:drawing>
      </w:r>
    </w:p>
    <w:p w14:paraId="6B45E61B" w14:textId="4E72CCDF" w:rsidR="002D18A8" w:rsidRPr="009901FA" w:rsidRDefault="00806C30" w:rsidP="003C21C8">
      <w:pPr>
        <w:spacing w:after="0"/>
      </w:pPr>
      <w:r w:rsidRPr="009901FA">
        <w:rPr>
          <w:b/>
          <w:bCs/>
        </w:rPr>
        <w:t>The Allam-Fetvedt Cycle (AFC) is a novel power generation system that fully integrates CO</w:t>
      </w:r>
      <w:r w:rsidRPr="00A247A6">
        <w:rPr>
          <w:rFonts w:ascii="Cambria Math" w:hAnsi="Cambria Math" w:cs="Cambria Math"/>
          <w:b/>
          <w:bCs/>
        </w:rPr>
        <w:t>₂</w:t>
      </w:r>
      <w:r w:rsidRPr="009901FA">
        <w:rPr>
          <w:b/>
          <w:bCs/>
        </w:rPr>
        <w:t xml:space="preserve"> capture within its core thermodynamic process</w:t>
      </w:r>
      <w:r w:rsidR="00B34D8C" w:rsidRPr="009901FA">
        <w:rPr>
          <w:b/>
          <w:bCs/>
        </w:rPr>
        <w:t xml:space="preserve"> (illustrated in </w:t>
      </w:r>
      <w:r w:rsidR="00B34D8C" w:rsidRPr="009901FA">
        <w:rPr>
          <w:b/>
          <w:bCs/>
        </w:rPr>
        <w:fldChar w:fldCharType="begin"/>
      </w:r>
      <w:r w:rsidR="00B34D8C" w:rsidRPr="009901FA">
        <w:rPr>
          <w:b/>
          <w:bCs/>
        </w:rPr>
        <w:instrText xml:space="preserve"> REF _Ref203749454 \h </w:instrText>
      </w:r>
      <w:r w:rsidR="00D8414C" w:rsidRPr="009901FA">
        <w:rPr>
          <w:b/>
          <w:bCs/>
        </w:rPr>
        <w:instrText xml:space="preserve"> \* MERGEFORMAT </w:instrText>
      </w:r>
      <w:r w:rsidR="00B34D8C" w:rsidRPr="009901FA">
        <w:rPr>
          <w:b/>
          <w:bCs/>
        </w:rPr>
      </w:r>
      <w:r w:rsidR="00B34D8C" w:rsidRPr="009901FA">
        <w:rPr>
          <w:b/>
          <w:bCs/>
        </w:rPr>
        <w:fldChar w:fldCharType="separate"/>
      </w:r>
      <w:r w:rsidR="00DE378F" w:rsidRPr="009901FA">
        <w:rPr>
          <w:b/>
          <w:bCs/>
        </w:rPr>
        <w:t xml:space="preserve">Exhibit </w:t>
      </w:r>
      <w:r w:rsidR="00E61394">
        <w:rPr>
          <w:noProof/>
        </w:rPr>
        <w:t>4</w:t>
      </w:r>
      <w:r w:rsidR="00DE378F" w:rsidRPr="009901FA">
        <w:rPr>
          <w:noProof/>
        </w:rPr>
        <w:t>.13</w:t>
      </w:r>
      <w:r w:rsidR="00B34D8C" w:rsidRPr="009901FA">
        <w:rPr>
          <w:b/>
          <w:bCs/>
        </w:rPr>
        <w:fldChar w:fldCharType="end"/>
      </w:r>
      <w:r w:rsidR="00B34D8C" w:rsidRPr="009901FA">
        <w:rPr>
          <w:b/>
          <w:bCs/>
        </w:rPr>
        <w:t>)</w:t>
      </w:r>
      <w:r w:rsidRPr="009901FA">
        <w:rPr>
          <w:b/>
          <w:bCs/>
        </w:rPr>
        <w:t>.</w:t>
      </w:r>
      <w:r w:rsidRPr="009901FA">
        <w:t xml:space="preserve"> Unlike conventional plants that bolt on capture units after combustion, AFC is designed as a greenfield solution where CO</w:t>
      </w:r>
      <w:r w:rsidRPr="00A247A6">
        <w:rPr>
          <w:rFonts w:ascii="Cambria Math" w:hAnsi="Cambria Math" w:cs="Cambria Math"/>
        </w:rPr>
        <w:t>₂</w:t>
      </w:r>
      <w:r w:rsidRPr="009901FA">
        <w:t xml:space="preserve"> is not a waste product, but a working fluid. As shown in the figure, the cycle begins by combusting natural gas with pure oxygen, eliminating nitrogen from the system and producing a high-pressure stream of CO</w:t>
      </w:r>
      <w:r w:rsidRPr="00A247A6">
        <w:rPr>
          <w:rFonts w:ascii="Cambria Math" w:hAnsi="Cambria Math" w:cs="Cambria Math"/>
        </w:rPr>
        <w:t>₂</w:t>
      </w:r>
      <w:r w:rsidRPr="009901FA">
        <w:t xml:space="preserve"> and water vapor. This gas powers a turbine to produce electricity. Downstream, heat is recovered and water is condensed, leaving a near-pure stream of CO</w:t>
      </w:r>
      <w:r w:rsidRPr="00A247A6">
        <w:rPr>
          <w:rFonts w:ascii="Cambria Math" w:hAnsi="Cambria Math" w:cs="Cambria Math"/>
        </w:rPr>
        <w:t>₂</w:t>
      </w:r>
      <w:r w:rsidRPr="009901FA">
        <w:t>. Part of this is sequestered or reused, while the rest is recycled to sustain system pressure.</w:t>
      </w:r>
    </w:p>
    <w:p w14:paraId="2FD2EA80" w14:textId="3BC0B754" w:rsidR="00BE5A26" w:rsidRPr="009901FA" w:rsidRDefault="00BE5A26" w:rsidP="003C21C8">
      <w:pPr>
        <w:spacing w:after="0"/>
      </w:pPr>
      <w:r w:rsidRPr="009901FA">
        <w:rPr>
          <w:b/>
        </w:rPr>
        <w:lastRenderedPageBreak/>
        <w:t>Advantages</w:t>
      </w:r>
      <w:r w:rsidRPr="009901FA">
        <w:t>:</w:t>
      </w:r>
    </w:p>
    <w:p w14:paraId="497AFD00" w14:textId="77777777" w:rsidR="00BE5A26" w:rsidRPr="009901FA" w:rsidRDefault="00BE5A26" w:rsidP="002C2B3F">
      <w:pPr>
        <w:numPr>
          <w:ilvl w:val="0"/>
          <w:numId w:val="20"/>
        </w:numPr>
        <w:spacing w:after="0"/>
      </w:pPr>
      <w:r w:rsidRPr="009901FA">
        <w:t>Near-total CO</w:t>
      </w:r>
      <w:r w:rsidRPr="00A247A6">
        <w:rPr>
          <w:rFonts w:ascii="Cambria Math" w:hAnsi="Cambria Math" w:cs="Cambria Math"/>
        </w:rPr>
        <w:t>₂</w:t>
      </w:r>
      <w:r w:rsidRPr="009901FA">
        <w:t xml:space="preserve"> capture (~99%) built into the core process.</w:t>
      </w:r>
    </w:p>
    <w:p w14:paraId="0E48D44D" w14:textId="77777777" w:rsidR="00BE5A26" w:rsidRPr="009901FA" w:rsidRDefault="00BE5A26" w:rsidP="002C2B3F">
      <w:pPr>
        <w:numPr>
          <w:ilvl w:val="0"/>
          <w:numId w:val="20"/>
        </w:numPr>
        <w:spacing w:after="0"/>
      </w:pPr>
      <w:r w:rsidRPr="009901FA">
        <w:t>No need for chemical solvents like MEA, avoiding solvent degradation and emissions.</w:t>
      </w:r>
    </w:p>
    <w:p w14:paraId="1B0545A6" w14:textId="146DEB7B" w:rsidR="00BE5A26" w:rsidRPr="009901FA" w:rsidRDefault="006F511F" w:rsidP="002C2B3F">
      <w:pPr>
        <w:numPr>
          <w:ilvl w:val="0"/>
          <w:numId w:val="20"/>
        </w:numPr>
        <w:spacing w:after="0"/>
      </w:pPr>
      <w:r w:rsidRPr="009901FA">
        <w:t>As the working fluid is pure CO</w:t>
      </w:r>
      <w:r w:rsidRPr="00A247A6">
        <w:rPr>
          <w:rFonts w:ascii="Cambria Math" w:hAnsi="Cambria Math" w:cs="Cambria Math"/>
        </w:rPr>
        <w:t>₂</w:t>
      </w:r>
      <w:r w:rsidRPr="009901FA">
        <w:t>, non-condensable pollutants (NO</w:t>
      </w:r>
      <w:r w:rsidRPr="00A247A6">
        <w:rPr>
          <w:rFonts w:ascii="Cambria Math" w:hAnsi="Cambria Math" w:cs="Cambria Math"/>
        </w:rPr>
        <w:t>ₓ</w:t>
      </w:r>
      <w:r w:rsidRPr="009901FA">
        <w:t>, SO</w:t>
      </w:r>
      <w:r w:rsidRPr="00A247A6">
        <w:rPr>
          <w:rFonts w:ascii="Cambria Math" w:hAnsi="Cambria Math" w:cs="Cambria Math"/>
        </w:rPr>
        <w:t>ₓ</w:t>
      </w:r>
      <w:r w:rsidRPr="009901FA">
        <w:t>, particulates) are virtually eliminated</w:t>
      </w:r>
      <w:r w:rsidR="00BE5A26" w:rsidRPr="009901FA">
        <w:t>.</w:t>
      </w:r>
    </w:p>
    <w:p w14:paraId="0D114391" w14:textId="77777777" w:rsidR="003C21C8" w:rsidRPr="009901FA" w:rsidRDefault="003C21C8" w:rsidP="003C21C8">
      <w:pPr>
        <w:spacing w:after="0"/>
      </w:pPr>
    </w:p>
    <w:p w14:paraId="06E3E634" w14:textId="77777777" w:rsidR="00BE5A26" w:rsidRPr="009901FA" w:rsidRDefault="00BE5A26" w:rsidP="003C21C8">
      <w:pPr>
        <w:spacing w:after="0"/>
      </w:pPr>
      <w:r w:rsidRPr="009901FA">
        <w:rPr>
          <w:b/>
        </w:rPr>
        <w:t>Disadvantages</w:t>
      </w:r>
      <w:r w:rsidRPr="009901FA">
        <w:t>:</w:t>
      </w:r>
    </w:p>
    <w:p w14:paraId="70031F3F" w14:textId="77777777" w:rsidR="00BE5A26" w:rsidRPr="009901FA" w:rsidRDefault="00BE5A26" w:rsidP="002C2B3F">
      <w:pPr>
        <w:numPr>
          <w:ilvl w:val="0"/>
          <w:numId w:val="21"/>
        </w:numPr>
        <w:spacing w:after="0"/>
      </w:pPr>
      <w:r w:rsidRPr="009901FA">
        <w:t>Requires a new plant build (greenfield project) — cannot be added onto existing infrastructure.</w:t>
      </w:r>
    </w:p>
    <w:p w14:paraId="42D2A33B" w14:textId="77777777" w:rsidR="00BE5A26" w:rsidRPr="009901FA" w:rsidRDefault="00BE5A26" w:rsidP="002C2B3F">
      <w:pPr>
        <w:numPr>
          <w:ilvl w:val="0"/>
          <w:numId w:val="21"/>
        </w:numPr>
      </w:pPr>
      <w:r w:rsidRPr="009901FA">
        <w:t>High capital cost, driven by the need for oxygen production and CO</w:t>
      </w:r>
      <w:r w:rsidRPr="00A247A6">
        <w:rPr>
          <w:rFonts w:ascii="Cambria Math" w:hAnsi="Cambria Math" w:cs="Cambria Math"/>
        </w:rPr>
        <w:t>₂</w:t>
      </w:r>
      <w:r w:rsidRPr="009901FA">
        <w:t xml:space="preserve"> handling systems.</w:t>
      </w:r>
    </w:p>
    <w:p w14:paraId="01CCBC9B" w14:textId="4C67F6FD" w:rsidR="00273A62" w:rsidRPr="009901FA" w:rsidRDefault="00273A62" w:rsidP="002136EF">
      <w:r w:rsidRPr="009901FA">
        <w:t>AFC provides an integrated, high-performance decarbonization route for power generation, albeit with significant upfront investment.</w:t>
      </w:r>
    </w:p>
    <w:p w14:paraId="7E7F25C1" w14:textId="241B9BF8" w:rsidR="002136EF" w:rsidRPr="009901FA" w:rsidRDefault="000D7533" w:rsidP="00B72DE7">
      <w:pPr>
        <w:pStyle w:val="Heading5"/>
        <w:rPr>
          <w:rFonts w:ascii="Century Gothic" w:hAnsi="Century Gothic"/>
        </w:rPr>
      </w:pPr>
      <w:r w:rsidRPr="009901FA">
        <w:rPr>
          <w:rFonts w:ascii="Century Gothic" w:hAnsi="Century Gothic"/>
        </w:rPr>
        <w:t>Costs</w:t>
      </w:r>
    </w:p>
    <w:p w14:paraId="1DDF4791" w14:textId="67594B47" w:rsidR="00C147CA" w:rsidRPr="009901FA" w:rsidRDefault="00D8414C" w:rsidP="0073149B">
      <w:r w:rsidRPr="009901FA">
        <w:rPr>
          <w:color w:val="EE0000"/>
        </w:rPr>
        <w:fldChar w:fldCharType="begin"/>
      </w:r>
      <w:r w:rsidRPr="009901FA">
        <w:instrText xml:space="preserve"> REF _Ref203749486 \h </w:instrText>
      </w:r>
      <w:r w:rsidR="00A247A6">
        <w:rPr>
          <w:color w:val="EE0000"/>
        </w:rPr>
        <w:instrText xml:space="preserve"> \* MERGEFORMAT </w:instrText>
      </w:r>
      <w:r w:rsidRPr="009901FA">
        <w:rPr>
          <w:color w:val="EE0000"/>
        </w:rPr>
      </w:r>
      <w:r w:rsidRPr="009901FA">
        <w:rPr>
          <w:color w:val="EE0000"/>
        </w:rPr>
        <w:fldChar w:fldCharType="separate"/>
      </w:r>
      <w:r w:rsidR="00DE378F" w:rsidRPr="009901FA">
        <w:t xml:space="preserve">Exhibit </w:t>
      </w:r>
      <w:r w:rsidR="00E61394">
        <w:rPr>
          <w:noProof/>
        </w:rPr>
        <w:t>4</w:t>
      </w:r>
      <w:r w:rsidR="00DE378F" w:rsidRPr="009901FA">
        <w:t>.</w:t>
      </w:r>
      <w:r w:rsidR="00DE378F" w:rsidRPr="009901FA">
        <w:rPr>
          <w:noProof/>
        </w:rPr>
        <w:t>14</w:t>
      </w:r>
      <w:r w:rsidRPr="009901FA">
        <w:rPr>
          <w:color w:val="EE0000"/>
        </w:rPr>
        <w:fldChar w:fldCharType="end"/>
      </w:r>
      <w:r w:rsidR="00C147CA" w:rsidRPr="009901FA">
        <w:rPr>
          <w:color w:val="EE0000"/>
        </w:rPr>
        <w:t xml:space="preserve"> </w:t>
      </w:r>
      <w:r w:rsidR="002E0708" w:rsidRPr="009901FA">
        <w:t>shows that a</w:t>
      </w:r>
      <w:r w:rsidR="0073149B" w:rsidRPr="009901FA">
        <w:t xml:space="preserve">mong the evaluated technologies for cement decarbonization, </w:t>
      </w:r>
      <w:r w:rsidR="00736026" w:rsidRPr="009901FA">
        <w:rPr>
          <w:b/>
        </w:rPr>
        <w:t>CaL</w:t>
      </w:r>
      <w:r w:rsidR="0073149B" w:rsidRPr="009901FA">
        <w:rPr>
          <w:b/>
        </w:rPr>
        <w:t xml:space="preserve"> emerges as the most economical option</w:t>
      </w:r>
      <w:r w:rsidR="0073149B" w:rsidRPr="009901FA">
        <w:t xml:space="preserve">, particularly when integrated directly into the production process. A major advantage is the production of electricity as a by-product, which significantly offsets operating costs and enhances overall system economics. In the configuration analyzed, the calciner is shared between the cement kiln and the carbon capture system, maximizing heat recovery and minimizing duplication of equipment. </w:t>
      </w:r>
      <w:r w:rsidR="00A97BD1" w:rsidRPr="009901FA">
        <w:t>The calciner produces a H</w:t>
      </w:r>
      <w:r w:rsidR="00A97BD1" w:rsidRPr="009901FA">
        <w:rPr>
          <w:vertAlign w:val="subscript"/>
        </w:rPr>
        <w:t>2</w:t>
      </w:r>
      <w:r w:rsidR="00A97BD1" w:rsidRPr="009901FA">
        <w:t>O/CO</w:t>
      </w:r>
      <w:r w:rsidR="00A97BD1" w:rsidRPr="009901FA">
        <w:rPr>
          <w:vertAlign w:val="subscript"/>
        </w:rPr>
        <w:t>2</w:t>
      </w:r>
      <w:r w:rsidR="00A97BD1" w:rsidRPr="009901FA">
        <w:t xml:space="preserve"> stream</w:t>
      </w:r>
      <w:r w:rsidR="007D2099" w:rsidRPr="009901FA">
        <w:t xml:space="preserve"> and a CaO stream that is partly fed to the kiln for clinker production and partly to the carbonator for cyclic CO</w:t>
      </w:r>
      <w:r w:rsidR="007D2099" w:rsidRPr="009901FA">
        <w:rPr>
          <w:vertAlign w:val="subscript"/>
        </w:rPr>
        <w:t>2</w:t>
      </w:r>
      <w:r w:rsidR="007D2099" w:rsidRPr="009901FA">
        <w:t xml:space="preserve"> capture.</w:t>
      </w:r>
      <w:r w:rsidR="00EB7830" w:rsidRPr="009901FA">
        <w:rPr>
          <w:rStyle w:val="FootnoteReference"/>
        </w:rPr>
        <w:footnoteReference w:id="78"/>
      </w:r>
      <w:r w:rsidR="007D2099" w:rsidRPr="009901FA">
        <w:t xml:space="preserve"> </w:t>
      </w:r>
      <w:r w:rsidR="0073149B" w:rsidRPr="009901FA">
        <w:t>Thi</w:t>
      </w:r>
      <w:r w:rsidR="007D2099" w:rsidRPr="009901FA">
        <w:t>s configuration requires significant modifications to the existing kiln system and</w:t>
      </w:r>
      <w:r w:rsidR="00D62313" w:rsidRPr="009901FA">
        <w:t>,</w:t>
      </w:r>
      <w:r w:rsidR="007D2099" w:rsidRPr="009901FA">
        <w:t xml:space="preserve"> </w:t>
      </w:r>
      <w:r w:rsidR="00D62313" w:rsidRPr="009901FA">
        <w:t xml:space="preserve">hence, </w:t>
      </w:r>
      <w:r w:rsidR="0073149B" w:rsidRPr="009901FA">
        <w:t>a high capital cost</w:t>
      </w:r>
      <w:r w:rsidR="009A30B4" w:rsidRPr="009901FA">
        <w:t xml:space="preserve"> for retrofitting.</w:t>
      </w:r>
      <w:r w:rsidR="0073149B" w:rsidRPr="009901FA">
        <w:t xml:space="preserve"> Other integration models (e.g. tail-end or downstream) are technically possible and could reduce upfront costs, but may suffer from lower efficiency and higher operational expenditure. The case presented here reflects full integration and provides a representative average estimate of capture cost, at approximately </w:t>
      </w:r>
      <w:r w:rsidR="00D23FC2" w:rsidRPr="009901FA">
        <w:t>$</w:t>
      </w:r>
      <w:r w:rsidR="0073149B" w:rsidRPr="009901FA">
        <w:t>88/tCO</w:t>
      </w:r>
      <w:r w:rsidR="0073149B" w:rsidRPr="00A247A6">
        <w:rPr>
          <w:rFonts w:ascii="Cambria Math" w:hAnsi="Cambria Math" w:cs="Cambria Math"/>
        </w:rPr>
        <w:t>₂</w:t>
      </w:r>
      <w:r w:rsidR="0073149B" w:rsidRPr="009901FA">
        <w:t xml:space="preserve"> net.</w:t>
      </w:r>
    </w:p>
    <w:p w14:paraId="0DBABD60" w14:textId="77E40B6E" w:rsidR="00D8414C" w:rsidRPr="009901FA" w:rsidRDefault="00D8414C" w:rsidP="00D8414C">
      <w:pPr>
        <w:pStyle w:val="Caption"/>
        <w:keepNext/>
      </w:pPr>
      <w:bookmarkStart w:id="103" w:name="_Ref203749486"/>
      <w:r w:rsidRPr="009901FA">
        <w:lastRenderedPageBreak/>
        <w:t xml:space="preserve">Exhibit </w:t>
      </w:r>
      <w:r w:rsidR="00E61394">
        <w:t>4</w:t>
      </w:r>
      <w:r w:rsidR="008725B4" w:rsidRPr="009901FA">
        <w:t>.</w:t>
      </w:r>
      <w:fldSimple w:instr=" SEQ Exhibit \* ARABIC \s 2 ">
        <w:r w:rsidR="00DE378F" w:rsidRPr="009901FA">
          <w:rPr>
            <w:noProof/>
          </w:rPr>
          <w:t>14</w:t>
        </w:r>
      </w:fldSimple>
      <w:bookmarkEnd w:id="103"/>
    </w:p>
    <w:p w14:paraId="5C0C6E28" w14:textId="4D48396F" w:rsidR="0073149B" w:rsidRPr="009901FA" w:rsidRDefault="00686B1C" w:rsidP="0073149B">
      <w:r w:rsidRPr="009901FA">
        <w:rPr>
          <w:noProof/>
        </w:rPr>
        <w:drawing>
          <wp:inline distT="0" distB="0" distL="0" distR="0" wp14:anchorId="66D03A27" wp14:editId="50DE2CC7">
            <wp:extent cx="6263640" cy="3355340"/>
            <wp:effectExtent l="0" t="0" r="3810" b="0"/>
            <wp:docPr id="1066906736" name="Picture 1" descr="A graph of cement produ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906736" name="Picture 1" descr="A graph of cement production&#10;&#10;Description automatically generated"/>
                    <pic:cNvPicPr/>
                  </pic:nvPicPr>
                  <pic:blipFill>
                    <a:blip r:embed="rId92"/>
                    <a:stretch>
                      <a:fillRect/>
                    </a:stretch>
                  </pic:blipFill>
                  <pic:spPr>
                    <a:xfrm>
                      <a:off x="0" y="0"/>
                      <a:ext cx="6263640" cy="3355340"/>
                    </a:xfrm>
                    <a:prstGeom prst="rect">
                      <a:avLst/>
                    </a:prstGeom>
                  </pic:spPr>
                </pic:pic>
              </a:graphicData>
            </a:graphic>
          </wp:inline>
        </w:drawing>
      </w:r>
    </w:p>
    <w:p w14:paraId="63EAE73F" w14:textId="153D6855" w:rsidR="0073149B" w:rsidRPr="009901FA" w:rsidRDefault="0073149B" w:rsidP="0073149B">
      <w:r w:rsidRPr="009901FA">
        <w:rPr>
          <w:b/>
        </w:rPr>
        <w:t>Liquid absorption and solid adsorption are also considered valid alternatives</w:t>
      </w:r>
      <w:r w:rsidRPr="009901FA">
        <w:t>, with costs of 104 $/tCO</w:t>
      </w:r>
      <w:r w:rsidRPr="00A247A6">
        <w:rPr>
          <w:rFonts w:ascii="Cambria Math" w:hAnsi="Cambria Math" w:cs="Cambria Math"/>
        </w:rPr>
        <w:t>₂</w:t>
      </w:r>
      <w:r w:rsidRPr="009901FA">
        <w:t xml:space="preserve"> and </w:t>
      </w:r>
      <w:r w:rsidR="00D23FC2" w:rsidRPr="009901FA">
        <w:t>$</w:t>
      </w:r>
      <w:r w:rsidRPr="009901FA">
        <w:t>9</w:t>
      </w:r>
      <w:r w:rsidR="00E4404F" w:rsidRPr="009901FA">
        <w:t>3</w:t>
      </w:r>
      <w:r w:rsidRPr="009901FA">
        <w:t>/tCO</w:t>
      </w:r>
      <w:r w:rsidRPr="00A247A6">
        <w:rPr>
          <w:rFonts w:ascii="Cambria Math" w:hAnsi="Cambria Math" w:cs="Cambria Math"/>
        </w:rPr>
        <w:t>₂</w:t>
      </w:r>
      <w:r w:rsidRPr="009901FA">
        <w:t xml:space="preserve"> respectively. However, they face critical limitations in cement applications due to the dusty and chemically complex nature of cement flue gases. These off-gas streams can degrade solvents and adsorbents, requiring intensive pre-treatment or replacement. In contrast, </w:t>
      </w:r>
      <w:r w:rsidR="00736026" w:rsidRPr="009901FA">
        <w:t>CaL</w:t>
      </w:r>
      <w:r w:rsidRPr="009901FA">
        <w:t xml:space="preserve"> is well-suited to this environment, as it can tolerate impurities such as dust, SOx, NOx and trace metals, thereby reducing the need for costly pretreatment and ensuring greater process robustness. While liquid and solid capture systems may work in theory, their practical performance in cement applications remains less certain.</w:t>
      </w:r>
    </w:p>
    <w:p w14:paraId="3FC99E1B" w14:textId="5F5DA626" w:rsidR="00147DF7" w:rsidRPr="009901FA" w:rsidRDefault="0073149B" w:rsidP="002136EF">
      <w:r w:rsidRPr="009901FA">
        <w:rPr>
          <w:b/>
        </w:rPr>
        <w:t>Solid adsorption has seen limited deployment, notably in</w:t>
      </w:r>
      <w:r w:rsidRPr="009901FA">
        <w:t xml:space="preserve"> China where it is paired with oxy-fuel combustion to enrich CO</w:t>
      </w:r>
      <w:r w:rsidRPr="00A247A6">
        <w:rPr>
          <w:rFonts w:ascii="Cambria Math" w:hAnsi="Cambria Math" w:cs="Cambria Math"/>
        </w:rPr>
        <w:t>₂</w:t>
      </w:r>
      <w:r w:rsidRPr="009901FA">
        <w:t xml:space="preserve"> concentration and improve capture efficiency. However, the financial and policy context of such deployments</w:t>
      </w:r>
      <w:r w:rsidRPr="009901FA">
        <w:rPr>
          <w:rFonts w:cs="Arial Nova"/>
        </w:rPr>
        <w:t>—</w:t>
      </w:r>
      <w:r w:rsidRPr="009901FA">
        <w:t>including potential subsidies</w:t>
      </w:r>
      <w:r w:rsidRPr="009901FA">
        <w:rPr>
          <w:rFonts w:cs="Arial Nova"/>
        </w:rPr>
        <w:t>—</w:t>
      </w:r>
      <w:r w:rsidRPr="009901FA">
        <w:t xml:space="preserve">is not fully transparent, making cross-comparison difficult. Overall, </w:t>
      </w:r>
      <w:r w:rsidR="00736026" w:rsidRPr="009901FA">
        <w:t>CaL</w:t>
      </w:r>
      <w:r w:rsidRPr="009901FA">
        <w:t xml:space="preserve"> stands out for its favorable economics, technical compatibility with cement plants, and integrated energy benefits.</w:t>
      </w:r>
    </w:p>
    <w:p w14:paraId="3C22C5E8" w14:textId="0937422E" w:rsidR="00ED2F76" w:rsidRPr="009901FA" w:rsidRDefault="00D8414C" w:rsidP="00ED2F76">
      <w:r w:rsidRPr="009901FA">
        <w:rPr>
          <w:b/>
          <w:bCs/>
          <w:color w:val="EE0000"/>
        </w:rPr>
        <w:fldChar w:fldCharType="begin"/>
      </w:r>
      <w:r w:rsidRPr="009901FA">
        <w:rPr>
          <w:b/>
          <w:bCs/>
        </w:rPr>
        <w:instrText xml:space="preserve"> REF _Ref203749500 \h </w:instrText>
      </w:r>
      <w:r w:rsidRPr="009901FA">
        <w:rPr>
          <w:b/>
          <w:bCs/>
          <w:color w:val="EE0000"/>
        </w:rPr>
        <w:instrText xml:space="preserve"> \* MERGEFORMAT </w:instrText>
      </w:r>
      <w:r w:rsidRPr="009901FA">
        <w:rPr>
          <w:b/>
          <w:bCs/>
          <w:color w:val="EE0000"/>
        </w:rPr>
      </w:r>
      <w:r w:rsidRPr="009901FA">
        <w:rPr>
          <w:b/>
          <w:bCs/>
          <w:color w:val="EE0000"/>
        </w:rPr>
        <w:fldChar w:fldCharType="separate"/>
      </w:r>
      <w:r w:rsidR="00DE378F" w:rsidRPr="009901FA">
        <w:rPr>
          <w:b/>
          <w:bCs/>
        </w:rPr>
        <w:t xml:space="preserve">Exhibit </w:t>
      </w:r>
      <w:r w:rsidR="00E61394">
        <w:rPr>
          <w:noProof/>
        </w:rPr>
        <w:t>4</w:t>
      </w:r>
      <w:r w:rsidR="00DE378F" w:rsidRPr="009901FA">
        <w:rPr>
          <w:noProof/>
        </w:rPr>
        <w:t>.15</w:t>
      </w:r>
      <w:r w:rsidRPr="009901FA">
        <w:rPr>
          <w:b/>
          <w:bCs/>
          <w:color w:val="EE0000"/>
        </w:rPr>
        <w:fldChar w:fldCharType="end"/>
      </w:r>
      <w:r w:rsidR="002E0708" w:rsidRPr="009901FA">
        <w:rPr>
          <w:b/>
          <w:color w:val="EE0000"/>
        </w:rPr>
        <w:t xml:space="preserve"> </w:t>
      </w:r>
      <w:r w:rsidR="002E0708" w:rsidRPr="009901FA">
        <w:rPr>
          <w:b/>
          <w:bCs/>
        </w:rPr>
        <w:t>shows that a</w:t>
      </w:r>
      <w:r w:rsidR="00ED2F76" w:rsidRPr="009901FA">
        <w:rPr>
          <w:b/>
          <w:bCs/>
        </w:rPr>
        <w:t>mong evaluated technologies for power sector decarbonization, process modification via the AFC is the most cost-effective option,</w:t>
      </w:r>
      <w:r w:rsidR="00ED2F76" w:rsidRPr="009901FA">
        <w:t xml:space="preserve"> especially when assessed under a carbon price regime. The AFC achieves a CO</w:t>
      </w:r>
      <w:r w:rsidR="00ED2F76" w:rsidRPr="00A247A6">
        <w:rPr>
          <w:rFonts w:ascii="Cambria Math" w:hAnsi="Cambria Math" w:cs="Cambria Math"/>
        </w:rPr>
        <w:t>₂</w:t>
      </w:r>
      <w:r w:rsidR="00ED2F76" w:rsidRPr="009901FA">
        <w:t xml:space="preserve"> capture cost of $90/tCO</w:t>
      </w:r>
      <w:r w:rsidR="00ED2F76" w:rsidRPr="00A247A6">
        <w:rPr>
          <w:rFonts w:ascii="Cambria Math" w:hAnsi="Cambria Math" w:cs="Cambria Math"/>
        </w:rPr>
        <w:t>₂</w:t>
      </w:r>
      <w:r w:rsidR="00ED2F76" w:rsidRPr="009901FA">
        <w:t xml:space="preserve">, which </w:t>
      </w:r>
      <w:r w:rsidR="00F15699" w:rsidRPr="009901FA">
        <w:t xml:space="preserve">means it </w:t>
      </w:r>
      <w:r w:rsidR="00ED2F76" w:rsidRPr="009901FA">
        <w:t xml:space="preserve">would be fully competitive under a </w:t>
      </w:r>
      <w:r w:rsidR="00D23FC2" w:rsidRPr="009901FA">
        <w:t>$</w:t>
      </w:r>
      <w:r w:rsidR="00ED2F76" w:rsidRPr="009901FA">
        <w:t>90/tCO</w:t>
      </w:r>
      <w:r w:rsidR="00ED2F76" w:rsidRPr="00A247A6">
        <w:rPr>
          <w:rFonts w:ascii="Cambria Math" w:hAnsi="Cambria Math" w:cs="Cambria Math"/>
        </w:rPr>
        <w:t>₂</w:t>
      </w:r>
      <w:r w:rsidR="00ED2F76" w:rsidRPr="009901FA">
        <w:t xml:space="preserve"> carbon tax. Compared to the benchmark Natural Gas Combined Cycle (NGCC) plant with liquid absorption, AFC delivers 20% lower capital cost and 10% lower levelized cost of electricity (LCOE). This is enabled by its integrated high-pressure oxy-combustion and CO</w:t>
      </w:r>
      <w:r w:rsidR="00ED2F76" w:rsidRPr="00A247A6">
        <w:rPr>
          <w:rFonts w:ascii="Cambria Math" w:hAnsi="Cambria Math" w:cs="Cambria Math"/>
        </w:rPr>
        <w:t>₂</w:t>
      </w:r>
      <w:r w:rsidR="00ED2F76" w:rsidRPr="009901FA">
        <w:t xml:space="preserve"> recirculation, which avoids the need for post-</w:t>
      </w:r>
      <w:r w:rsidR="00ED2F76" w:rsidRPr="009901FA">
        <w:lastRenderedPageBreak/>
        <w:t>combustion capture solvents and enables efficient carbon separation within the cycle itself.</w:t>
      </w:r>
    </w:p>
    <w:p w14:paraId="57CEC5C6" w14:textId="1FE7C3B8" w:rsidR="00D8414C" w:rsidRPr="009901FA" w:rsidRDefault="00D8414C" w:rsidP="00D8414C">
      <w:pPr>
        <w:pStyle w:val="Caption"/>
        <w:keepNext/>
      </w:pPr>
      <w:bookmarkStart w:id="104" w:name="_Ref203749500"/>
      <w:r w:rsidRPr="009901FA">
        <w:t xml:space="preserve">Exhibit </w:t>
      </w:r>
      <w:r w:rsidR="00E61394">
        <w:t>4</w:t>
      </w:r>
      <w:r w:rsidR="008725B4" w:rsidRPr="009901FA">
        <w:t>.</w:t>
      </w:r>
      <w:fldSimple w:instr=" SEQ Exhibit \* ARABIC \s 2 ">
        <w:r w:rsidR="00DE378F" w:rsidRPr="009901FA">
          <w:rPr>
            <w:noProof/>
          </w:rPr>
          <w:t>15</w:t>
        </w:r>
      </w:fldSimple>
      <w:bookmarkEnd w:id="104"/>
    </w:p>
    <w:p w14:paraId="0A8E9C38" w14:textId="2B37FB0A" w:rsidR="00BD37E0" w:rsidRPr="009901FA" w:rsidRDefault="00126508" w:rsidP="00ED2F76">
      <w:r w:rsidRPr="009901FA">
        <w:rPr>
          <w:noProof/>
        </w:rPr>
        <w:drawing>
          <wp:inline distT="0" distB="0" distL="0" distR="0" wp14:anchorId="1DA683C1" wp14:editId="371A9903">
            <wp:extent cx="6263640" cy="3523615"/>
            <wp:effectExtent l="0" t="0" r="0" b="635"/>
            <wp:docPr id="746272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2723" name=""/>
                    <pic:cNvPicPr/>
                  </pic:nvPicPr>
                  <pic:blipFill>
                    <a:blip r:embed="rId93">
                      <a:extLst>
                        <a:ext uri="{96DAC541-7B7A-43D3-8B79-37D633B846F1}">
                          <asvg:svgBlip xmlns:asvg="http://schemas.microsoft.com/office/drawing/2016/SVG/main" r:embed="rId94"/>
                        </a:ext>
                      </a:extLst>
                    </a:blip>
                    <a:stretch>
                      <a:fillRect/>
                    </a:stretch>
                  </pic:blipFill>
                  <pic:spPr>
                    <a:xfrm>
                      <a:off x="0" y="0"/>
                      <a:ext cx="6263640" cy="3523615"/>
                    </a:xfrm>
                    <a:prstGeom prst="rect">
                      <a:avLst/>
                    </a:prstGeom>
                  </pic:spPr>
                </pic:pic>
              </a:graphicData>
            </a:graphic>
          </wp:inline>
        </w:drawing>
      </w:r>
    </w:p>
    <w:p w14:paraId="1D0F3BEF" w14:textId="3F92A3BC" w:rsidR="00ED2F76" w:rsidRPr="009901FA" w:rsidRDefault="00ED2F76" w:rsidP="00ED2F76">
      <w:r w:rsidRPr="009901FA">
        <w:rPr>
          <w:b/>
        </w:rPr>
        <w:t xml:space="preserve">While NGCC coupled with liquid absorption or </w:t>
      </w:r>
      <w:r w:rsidR="00736026" w:rsidRPr="009901FA">
        <w:rPr>
          <w:b/>
        </w:rPr>
        <w:t>CaL</w:t>
      </w:r>
      <w:r w:rsidRPr="009901FA">
        <w:rPr>
          <w:b/>
        </w:rPr>
        <w:t xml:space="preserve"> offers valid alternatives, these configurations are less optimal in power applications</w:t>
      </w:r>
      <w:r w:rsidR="004D1AD2" w:rsidRPr="009901FA">
        <w:rPr>
          <w:rStyle w:val="FootnoteReference"/>
        </w:rPr>
        <w:footnoteReference w:id="79"/>
      </w:r>
      <w:r w:rsidRPr="009901FA">
        <w:t xml:space="preserve">. In particular, </w:t>
      </w:r>
      <w:r w:rsidR="00736026" w:rsidRPr="009901FA">
        <w:t>CaL</w:t>
      </w:r>
      <w:r w:rsidRPr="009901FA">
        <w:t xml:space="preserve"> does not benefit from the same process integration advantages seen in the cement sector, leading to higher capture costs ($175/tCO</w:t>
      </w:r>
      <w:r w:rsidRPr="00A247A6">
        <w:rPr>
          <w:rFonts w:ascii="Cambria Math" w:hAnsi="Cambria Math" w:cs="Cambria Math"/>
        </w:rPr>
        <w:t>₂</w:t>
      </w:r>
      <w:r w:rsidRPr="009901FA">
        <w:t>) due to standalone infrastructure requirements. Liquid absorption achieves moderate costs ($1</w:t>
      </w:r>
      <w:r w:rsidR="00190E90" w:rsidRPr="009901FA">
        <w:t>17</w:t>
      </w:r>
      <w:r w:rsidRPr="009901FA">
        <w:t>/tCO</w:t>
      </w:r>
      <w:r w:rsidRPr="00A247A6">
        <w:rPr>
          <w:rFonts w:ascii="Cambria Math" w:hAnsi="Cambria Math" w:cs="Cambria Math"/>
        </w:rPr>
        <w:t>₂</w:t>
      </w:r>
      <w:r w:rsidRPr="009901FA">
        <w:t>), but it still relies on mature solvent-based systems with lower overall efficiencies.</w:t>
      </w:r>
    </w:p>
    <w:p w14:paraId="0CA5A94F" w14:textId="585C6100" w:rsidR="002136EF" w:rsidRPr="009901FA" w:rsidRDefault="00B552ED" w:rsidP="002136EF">
      <w:r w:rsidRPr="009901FA">
        <w:t xml:space="preserve">The cost of natural gas is a key variable across all decarbonization pathways. Nevertheless, the thermal efficiencies of each capture configuration remain broadly comparable, which preserves the relative ranking of options. Despite its favorable performance potential, a key limitation of the Allam-Fetvedt Cycle (AFC) is its greenfield nature—it requires the construction of entirely new power plants rather than the retrofit of existing ones. This makes deployment more capital-intensive and slower, even if the system itself is efficient. Moreover, the AFC has not yet been deployed at commercial scale, and its cost estimates rely on engineering models and pilot-scale data. By contrast, NGCC retrofitted with liquid absorption is a proven, commercial technology with known performance under real-world conditions. The </w:t>
      </w:r>
      <w:r w:rsidRPr="009901FA">
        <w:lastRenderedPageBreak/>
        <w:t>future competitiveness of AFC will depend on deployment learning, system reliability, and the availability of low-cost oxygen and CO</w:t>
      </w:r>
      <w:r w:rsidRPr="00A247A6">
        <w:rPr>
          <w:rFonts w:ascii="Cambria Math" w:hAnsi="Cambria Math" w:cs="Cambria Math"/>
        </w:rPr>
        <w:t>₂</w:t>
      </w:r>
      <w:r w:rsidRPr="009901FA">
        <w:t xml:space="preserve"> handling infrastructure.</w:t>
      </w:r>
    </w:p>
    <w:p w14:paraId="4A5CEBA7" w14:textId="6ED34A29" w:rsidR="002136EF" w:rsidRPr="009901FA" w:rsidRDefault="007F6E6D" w:rsidP="00B72DE7">
      <w:pPr>
        <w:pStyle w:val="Heading5"/>
        <w:rPr>
          <w:rFonts w:ascii="Century Gothic" w:hAnsi="Century Gothic"/>
        </w:rPr>
      </w:pPr>
      <w:r w:rsidRPr="009901FA">
        <w:rPr>
          <w:rFonts w:ascii="Century Gothic" w:hAnsi="Century Gothic"/>
        </w:rPr>
        <w:t>Impact</w:t>
      </w:r>
    </w:p>
    <w:p w14:paraId="69C94918" w14:textId="317F17FC" w:rsidR="002136EF" w:rsidRPr="009901FA" w:rsidRDefault="00B137E7" w:rsidP="00047466">
      <w:pPr>
        <w:spacing w:after="0"/>
      </w:pPr>
      <w:r w:rsidRPr="009901FA">
        <w:rPr>
          <w:b/>
          <w:bCs/>
        </w:rPr>
        <w:t>While point-source carbon</w:t>
      </w:r>
      <w:r w:rsidR="002136EF" w:rsidRPr="009901FA">
        <w:rPr>
          <w:b/>
          <w:bCs/>
        </w:rPr>
        <w:t xml:space="preserve"> capture technologies</w:t>
      </w:r>
      <w:r w:rsidRPr="009901FA">
        <w:rPr>
          <w:b/>
          <w:bCs/>
        </w:rPr>
        <w:t xml:space="preserve"> can achieve capture efficiencies of around 90</w:t>
      </w:r>
      <w:r w:rsidR="007407C6" w:rsidRPr="009901FA">
        <w:rPr>
          <w:b/>
          <w:bCs/>
        </w:rPr>
        <w:t>%</w:t>
      </w:r>
      <w:r w:rsidRPr="009901FA">
        <w:rPr>
          <w:b/>
          <w:bCs/>
        </w:rPr>
        <w:t>, this figure applies only to the CO</w:t>
      </w:r>
      <w:r w:rsidRPr="00A247A6">
        <w:rPr>
          <w:rFonts w:ascii="Cambria Math" w:hAnsi="Cambria Math" w:cs="Cambria Math"/>
          <w:b/>
          <w:bCs/>
        </w:rPr>
        <w:t>₂</w:t>
      </w:r>
      <w:r w:rsidRPr="009901FA">
        <w:rPr>
          <w:b/>
          <w:bCs/>
        </w:rPr>
        <w:t xml:space="preserve"> generated at the point of combustion</w:t>
      </w:r>
      <w:r w:rsidRPr="009901FA">
        <w:t>. A</w:t>
      </w:r>
      <w:r w:rsidR="002136EF" w:rsidRPr="009901FA">
        <w:t xml:space="preserve"> significant </w:t>
      </w:r>
      <w:r w:rsidRPr="009901FA">
        <w:t xml:space="preserve">share of emissions remains unaddressed in the </w:t>
      </w:r>
      <w:r w:rsidR="002136EF" w:rsidRPr="009901FA">
        <w:t xml:space="preserve">upstream and downstream </w:t>
      </w:r>
      <w:r w:rsidRPr="009901FA">
        <w:t>segments of the fossil fuel value chain.</w:t>
      </w:r>
      <w:r w:rsidR="002136EF" w:rsidRPr="009901FA">
        <w:t xml:space="preserve"> These include:</w:t>
      </w:r>
    </w:p>
    <w:p w14:paraId="6A061F58" w14:textId="77777777" w:rsidR="002136EF" w:rsidRPr="009901FA" w:rsidRDefault="002136EF" w:rsidP="002C2B3F">
      <w:pPr>
        <w:numPr>
          <w:ilvl w:val="0"/>
          <w:numId w:val="10"/>
        </w:numPr>
        <w:spacing w:after="0"/>
      </w:pPr>
      <w:r w:rsidRPr="009901FA">
        <w:rPr>
          <w:b/>
        </w:rPr>
        <w:t>Upstream:</w:t>
      </w:r>
      <w:r w:rsidRPr="009901FA">
        <w:t xml:space="preserve"> Emissions from extraction, flaring, and field transport.</w:t>
      </w:r>
    </w:p>
    <w:p w14:paraId="07ED55F4" w14:textId="77777777" w:rsidR="002136EF" w:rsidRPr="009901FA" w:rsidRDefault="002136EF" w:rsidP="002C2B3F">
      <w:pPr>
        <w:numPr>
          <w:ilvl w:val="0"/>
          <w:numId w:val="10"/>
        </w:numPr>
      </w:pPr>
      <w:r w:rsidRPr="009901FA">
        <w:rPr>
          <w:b/>
        </w:rPr>
        <w:t>Downstream:</w:t>
      </w:r>
      <w:r w:rsidRPr="009901FA">
        <w:t xml:space="preserve"> Processing, compression, and distribution.</w:t>
      </w:r>
    </w:p>
    <w:p w14:paraId="7897DA1A" w14:textId="183D1254" w:rsidR="00D8414C" w:rsidRPr="009901FA" w:rsidRDefault="00AC57A3" w:rsidP="00D8414C">
      <w:pPr>
        <w:pStyle w:val="Caption"/>
        <w:keepNext/>
      </w:pPr>
      <w:bookmarkStart w:id="105" w:name="_Ref203749535"/>
      <w:r w:rsidRPr="009901FA">
        <w:t>Exhibit</w:t>
      </w:r>
      <w:r w:rsidRPr="009901FA">
        <w:rPr>
          <w:noProof/>
        </w:rPr>
        <w:t xml:space="preserve"> </w:t>
      </w:r>
      <w:r w:rsidR="00E61394">
        <w:rPr>
          <w:noProof/>
        </w:rPr>
        <w:t>4</w:t>
      </w:r>
      <w:r w:rsidR="008725B4" w:rsidRPr="009901FA">
        <w:rPr>
          <w:noProof/>
        </w:rPr>
        <w:t>.</w:t>
      </w:r>
      <w:r w:rsidR="008725B4" w:rsidRPr="009901FA">
        <w:rPr>
          <w:noProof/>
        </w:rPr>
        <w:fldChar w:fldCharType="begin"/>
      </w:r>
      <w:r w:rsidR="008725B4" w:rsidRPr="009901FA">
        <w:rPr>
          <w:noProof/>
        </w:rPr>
        <w:instrText xml:space="preserve"> SEQ Exhibit \* ARABIC \s 2 </w:instrText>
      </w:r>
      <w:r w:rsidR="008725B4" w:rsidRPr="009901FA">
        <w:rPr>
          <w:noProof/>
        </w:rPr>
        <w:fldChar w:fldCharType="separate"/>
      </w:r>
      <w:r w:rsidR="00DE378F" w:rsidRPr="009901FA">
        <w:rPr>
          <w:noProof/>
        </w:rPr>
        <w:t>16</w:t>
      </w:r>
      <w:r w:rsidR="008725B4" w:rsidRPr="009901FA">
        <w:rPr>
          <w:noProof/>
        </w:rPr>
        <w:fldChar w:fldCharType="end"/>
      </w:r>
      <w:bookmarkEnd w:id="105"/>
    </w:p>
    <w:p w14:paraId="6291FACF" w14:textId="4201F501" w:rsidR="000A09E7" w:rsidRPr="009901FA" w:rsidRDefault="00AB48C5" w:rsidP="00BB13EA">
      <w:pPr>
        <w:rPr>
          <w:noProof/>
        </w:rPr>
      </w:pPr>
      <w:r w:rsidRPr="009901FA">
        <w:rPr>
          <w:noProof/>
        </w:rPr>
        <w:drawing>
          <wp:inline distT="0" distB="0" distL="0" distR="0" wp14:anchorId="6020F98F" wp14:editId="60B26591">
            <wp:extent cx="6263640" cy="2901315"/>
            <wp:effectExtent l="0" t="0" r="3810" b="0"/>
            <wp:docPr id="84382080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820805" name="Picture 1" descr="A screenshot of a graph&#10;&#10;Description automatically generated"/>
                    <pic:cNvPicPr/>
                  </pic:nvPicPr>
                  <pic:blipFill>
                    <a:blip r:embed="rId95"/>
                    <a:stretch>
                      <a:fillRect/>
                    </a:stretch>
                  </pic:blipFill>
                  <pic:spPr>
                    <a:xfrm>
                      <a:off x="0" y="0"/>
                      <a:ext cx="6263640" cy="2901315"/>
                    </a:xfrm>
                    <a:prstGeom prst="rect">
                      <a:avLst/>
                    </a:prstGeom>
                  </pic:spPr>
                </pic:pic>
              </a:graphicData>
            </a:graphic>
          </wp:inline>
        </w:drawing>
      </w:r>
    </w:p>
    <w:p w14:paraId="50EA7931" w14:textId="4493098C" w:rsidR="00BB13EA" w:rsidRPr="009901FA" w:rsidRDefault="000A6B5B" w:rsidP="00BB13EA">
      <w:r w:rsidRPr="009901FA">
        <w:rPr>
          <w:noProof/>
        </w:rPr>
        <w:t xml:space="preserve"> </w:t>
      </w:r>
      <w:r w:rsidR="00BB13EA" w:rsidRPr="009901FA">
        <w:t xml:space="preserve">As shown in </w:t>
      </w:r>
      <w:r w:rsidR="005414D8" w:rsidRPr="009901FA">
        <w:fldChar w:fldCharType="begin"/>
      </w:r>
      <w:r w:rsidR="005414D8" w:rsidRPr="009901FA">
        <w:instrText xml:space="preserve"> REF _Ref203749535 \h </w:instrText>
      </w:r>
      <w:r w:rsidR="00A247A6">
        <w:instrText xml:space="preserve"> \* MERGEFORMAT </w:instrText>
      </w:r>
      <w:r w:rsidR="005414D8" w:rsidRPr="009901FA">
        <w:fldChar w:fldCharType="separate"/>
      </w:r>
      <w:r w:rsidR="00DE378F" w:rsidRPr="009901FA">
        <w:t>Exhibit</w:t>
      </w:r>
      <w:r w:rsidR="00DE378F" w:rsidRPr="009901FA">
        <w:rPr>
          <w:noProof/>
        </w:rPr>
        <w:t xml:space="preserve"> </w:t>
      </w:r>
      <w:r w:rsidR="00E61394">
        <w:rPr>
          <w:noProof/>
        </w:rPr>
        <w:t>4</w:t>
      </w:r>
      <w:r w:rsidR="00DE378F" w:rsidRPr="009901FA">
        <w:rPr>
          <w:noProof/>
        </w:rPr>
        <w:t>.16</w:t>
      </w:r>
      <w:r w:rsidR="005414D8" w:rsidRPr="009901FA">
        <w:fldChar w:fldCharType="end"/>
      </w:r>
      <w:r w:rsidR="00BB13EA" w:rsidRPr="009901FA">
        <w:t>, oil combustion results in 158 kgCO</w:t>
      </w:r>
      <w:r w:rsidR="00BB13EA" w:rsidRPr="00A247A6">
        <w:rPr>
          <w:rFonts w:ascii="Cambria Math" w:hAnsi="Cambria Math" w:cs="Cambria Math"/>
        </w:rPr>
        <w:t>₂</w:t>
      </w:r>
      <w:r w:rsidR="00BB13EA" w:rsidRPr="009901FA">
        <w:t>-eq of unabated emissions per barrel</w:t>
      </w:r>
      <w:r w:rsidR="00082934" w:rsidRPr="009901FA">
        <w:t xml:space="preserve"> of oil</w:t>
      </w:r>
      <w:r w:rsidR="00BB13EA" w:rsidRPr="009901FA">
        <w:t>, and natural gas yields 108 kgCO</w:t>
      </w:r>
      <w:r w:rsidR="00BB13EA" w:rsidRPr="00A247A6">
        <w:rPr>
          <w:rFonts w:ascii="Cambria Math" w:hAnsi="Cambria Math" w:cs="Cambria Math"/>
        </w:rPr>
        <w:t>₂</w:t>
      </w:r>
      <w:r w:rsidR="00BB13EA" w:rsidRPr="009901FA">
        <w:t>-eq, even after applying carbon capture</w:t>
      </w:r>
      <w:r w:rsidR="00E37AC1" w:rsidRPr="009901FA">
        <w:t xml:space="preserve"> </w:t>
      </w:r>
      <w:r w:rsidR="00E37AC1" w:rsidRPr="009901FA">
        <w:rPr>
          <w:rStyle w:val="FootnoteReference"/>
        </w:rPr>
        <w:footnoteReference w:id="80"/>
      </w:r>
      <w:r w:rsidR="004732AC" w:rsidRPr="009901FA">
        <w:rPr>
          <w:vertAlign w:val="superscript"/>
        </w:rPr>
        <w:t>,</w:t>
      </w:r>
      <w:r w:rsidR="00E37AC1" w:rsidRPr="009901FA">
        <w:rPr>
          <w:rStyle w:val="FootnoteReference"/>
        </w:rPr>
        <w:footnoteReference w:id="81"/>
      </w:r>
      <w:r w:rsidR="00BB13EA" w:rsidRPr="009901FA">
        <w:t>. This corresponds to an overall emissions gap of 20</w:t>
      </w:r>
      <w:r w:rsidR="00BB13EA" w:rsidRPr="009901FA">
        <w:rPr>
          <w:rFonts w:cs="Arial Nova"/>
        </w:rPr>
        <w:t>–</w:t>
      </w:r>
      <w:r w:rsidR="00BB13EA" w:rsidRPr="009901FA">
        <w:t>25</w:t>
      </w:r>
      <w:r w:rsidR="007407C6" w:rsidRPr="009901FA">
        <w:t>%</w:t>
      </w:r>
      <w:r w:rsidR="00BB13EA" w:rsidRPr="009901FA">
        <w:t>, which limits the full climate mitigation potential of fossil-based capture solutions.</w:t>
      </w:r>
    </w:p>
    <w:p w14:paraId="27DA2510" w14:textId="77777777" w:rsidR="002136EF" w:rsidRPr="009901FA" w:rsidRDefault="002136EF" w:rsidP="00047466">
      <w:pPr>
        <w:spacing w:after="0"/>
      </w:pPr>
      <w:r w:rsidRPr="009901FA">
        <w:t>Key levers to address this gap include:</w:t>
      </w:r>
    </w:p>
    <w:p w14:paraId="76CCAC61" w14:textId="77777777" w:rsidR="002136EF" w:rsidRPr="009901FA" w:rsidRDefault="002136EF" w:rsidP="002C2B3F">
      <w:pPr>
        <w:numPr>
          <w:ilvl w:val="0"/>
          <w:numId w:val="11"/>
        </w:numPr>
        <w:spacing w:after="0"/>
      </w:pPr>
      <w:r w:rsidRPr="009901FA">
        <w:t>Reducing methane emissions from upstream oil and gas.</w:t>
      </w:r>
    </w:p>
    <w:p w14:paraId="24FDEFB7" w14:textId="77777777" w:rsidR="002136EF" w:rsidRPr="009901FA" w:rsidRDefault="002136EF" w:rsidP="002C2B3F">
      <w:pPr>
        <w:numPr>
          <w:ilvl w:val="0"/>
          <w:numId w:val="11"/>
        </w:numPr>
        <w:spacing w:after="0"/>
      </w:pPr>
      <w:r w:rsidRPr="009901FA">
        <w:t>Electrifying upstream facilities.</w:t>
      </w:r>
    </w:p>
    <w:p w14:paraId="3CE1F74D" w14:textId="77777777" w:rsidR="002136EF" w:rsidRPr="009901FA" w:rsidRDefault="002136EF" w:rsidP="002C2B3F">
      <w:pPr>
        <w:numPr>
          <w:ilvl w:val="0"/>
          <w:numId w:val="11"/>
        </w:numPr>
        <w:spacing w:after="0"/>
      </w:pPr>
      <w:r w:rsidRPr="009901FA">
        <w:t>Eliminating non-essential flaring.</w:t>
      </w:r>
    </w:p>
    <w:p w14:paraId="43D92B2D" w14:textId="77777777" w:rsidR="002136EF" w:rsidRPr="009901FA" w:rsidRDefault="002136EF" w:rsidP="002C2B3F">
      <w:pPr>
        <w:numPr>
          <w:ilvl w:val="0"/>
          <w:numId w:val="11"/>
        </w:numPr>
      </w:pPr>
      <w:r w:rsidRPr="009901FA">
        <w:t>Expanding low-emission hydrogen integration and refining.</w:t>
      </w:r>
    </w:p>
    <w:p w14:paraId="420ADA04" w14:textId="21998481" w:rsidR="00D15EDC" w:rsidRPr="009901FA" w:rsidRDefault="00FB34B0" w:rsidP="00356AE7">
      <w:r w:rsidRPr="009901FA">
        <w:rPr>
          <w:b/>
          <w:bCs/>
        </w:rPr>
        <w:t>This limitation underscores the importance of targeting the full fossil value chain in parallel with capture solutions</w:t>
      </w:r>
      <w:r w:rsidRPr="009901FA">
        <w:t xml:space="preserve">. While carbon capture plays a vital role, it must be </w:t>
      </w:r>
      <w:r w:rsidRPr="009901FA">
        <w:lastRenderedPageBreak/>
        <w:t>deployed alongside broader systemic interventions to ensure a pathway to net-zero.</w:t>
      </w:r>
      <w:r w:rsidR="008C0FED" w:rsidRPr="009901FA">
        <w:t xml:space="preserve"> </w:t>
      </w:r>
      <w:r w:rsidR="00165174" w:rsidRPr="009901FA">
        <w:t>Emerging</w:t>
      </w:r>
      <w:r w:rsidR="008C0FED" w:rsidRPr="009901FA">
        <w:t xml:space="preserve"> technologies which demonstrate capture efficiencies close to 99</w:t>
      </w:r>
      <w:r w:rsidR="001B7D34" w:rsidRPr="009901FA">
        <w:t>%</w:t>
      </w:r>
      <w:r w:rsidR="00A56006" w:rsidRPr="009901FA">
        <w:t xml:space="preserve"> (e.g. AFC)</w:t>
      </w:r>
      <w:r w:rsidR="008C0FED" w:rsidRPr="009901FA">
        <w:t>, can help reduce the residual emissions at the combustion stage. Although these technologies do not address upstream or downstream emissions, their higher capture rates can contribute to narrowing the overall mitigation gap.</w:t>
      </w:r>
    </w:p>
    <w:p w14:paraId="7FD3EC1F" w14:textId="525AEB9C" w:rsidR="008C0FED" w:rsidRPr="009901FA" w:rsidRDefault="000F12F6" w:rsidP="00356AE7">
      <w:r w:rsidRPr="009901FA">
        <w:t>Additionally, Decarbonizing the power sector could reduce reliance on biomass for electricity generation, allowing limited sustainable biomass resources to be redirected toward other high-impact uses, such as aviation fuels or industrial feedstocks, rather than being locked into BECCS for power.</w:t>
      </w:r>
    </w:p>
    <w:p w14:paraId="7017CA51" w14:textId="24B4576A" w:rsidR="00823ABB" w:rsidRPr="009901FA" w:rsidRDefault="003434F4" w:rsidP="00B72DE7">
      <w:pPr>
        <w:pStyle w:val="Heading5"/>
        <w:rPr>
          <w:rFonts w:ascii="Century Gothic" w:hAnsi="Century Gothic"/>
        </w:rPr>
      </w:pPr>
      <w:r w:rsidRPr="009901FA">
        <w:rPr>
          <w:rFonts w:ascii="Century Gothic" w:hAnsi="Century Gothic"/>
        </w:rPr>
        <w:t>Barriers and Enablers</w:t>
      </w:r>
    </w:p>
    <w:p w14:paraId="7E84D5EF" w14:textId="27C81BE9" w:rsidR="00747386" w:rsidRPr="009901FA" w:rsidRDefault="00061E8D" w:rsidP="00747386">
      <w:r w:rsidRPr="009901FA">
        <w:t>Scaling point-source carbon capture to commercially viable levels across industrial and energy systems will require simultaneous progress in technology, infrastructure, policy, and financing.</w:t>
      </w:r>
      <w:r w:rsidR="00F764A2" w:rsidRPr="009901FA">
        <w:t xml:space="preserve"> </w:t>
      </w:r>
      <w:r w:rsidR="00A963E6" w:rsidRPr="009901FA">
        <w:t>Key enablers include:</w:t>
      </w:r>
    </w:p>
    <w:p w14:paraId="0258B375" w14:textId="29A46F33" w:rsidR="00061E8D" w:rsidRPr="009901FA" w:rsidRDefault="00061E8D" w:rsidP="002C2B3F">
      <w:pPr>
        <w:numPr>
          <w:ilvl w:val="0"/>
          <w:numId w:val="24"/>
        </w:numPr>
        <w:spacing w:after="0"/>
      </w:pPr>
      <w:r w:rsidRPr="009901FA">
        <w:rPr>
          <w:b/>
          <w:bCs/>
        </w:rPr>
        <w:t>Material and system innovation</w:t>
      </w:r>
      <w:r w:rsidRPr="009901FA">
        <w:t>: Advances in solvents, sorbents, and capture system design are essential for improving efficiency and reducing energy demands. Next-generation materials such as phase-change solvents and metal-organic frameworks (MOFs) are currently undergoing pilot testing and show potential to significantly lower both capital and operational costs.</w:t>
      </w:r>
    </w:p>
    <w:p w14:paraId="239761F9" w14:textId="7060E5E5" w:rsidR="00F764A2" w:rsidRPr="009901FA" w:rsidRDefault="00F764A2" w:rsidP="002C2B3F">
      <w:pPr>
        <w:numPr>
          <w:ilvl w:val="0"/>
          <w:numId w:val="24"/>
        </w:numPr>
        <w:spacing w:after="0"/>
      </w:pPr>
      <w:r w:rsidRPr="009901FA">
        <w:rPr>
          <w:b/>
        </w:rPr>
        <w:t xml:space="preserve">Access to low-cost, zero-carbon energy: </w:t>
      </w:r>
      <w:r w:rsidR="008C5304" w:rsidRPr="009901FA">
        <w:rPr>
          <w:bCs/>
        </w:rPr>
        <w:t>Many point-source capture systems, especially post-combustion, require significant heat or power. Using fossil-derived energy reduces climate benefits and raises costs, whereas renewable or waste heat sources improve efficiency.</w:t>
      </w:r>
    </w:p>
    <w:p w14:paraId="4910230A" w14:textId="2DEE185B" w:rsidR="00747386" w:rsidRPr="009901FA" w:rsidRDefault="00747386" w:rsidP="002C2B3F">
      <w:pPr>
        <w:numPr>
          <w:ilvl w:val="0"/>
          <w:numId w:val="24"/>
        </w:numPr>
        <w:spacing w:after="0"/>
      </w:pPr>
      <w:r w:rsidRPr="009901FA">
        <w:rPr>
          <w:b/>
        </w:rPr>
        <w:t>Process integration</w:t>
      </w:r>
      <w:r w:rsidRPr="009901FA">
        <w:t>: Embedding capture systems within industrial sites like cement or steel plants can reduce costs by up to 50</w:t>
      </w:r>
      <w:r w:rsidR="001B7D34" w:rsidRPr="009901FA">
        <w:t>%</w:t>
      </w:r>
      <w:r w:rsidRPr="009901FA">
        <w:t xml:space="preserve"> compared to non-integrated configurations.</w:t>
      </w:r>
      <w:r w:rsidR="00CC5C47" w:rsidRPr="009901FA">
        <w:t xml:space="preserve"> For instance, CaL is highly compatible with cement kilns, allowing shared use of calciners, infrastructure, and sorbent material.</w:t>
      </w:r>
    </w:p>
    <w:p w14:paraId="0B1D2229" w14:textId="77777777" w:rsidR="00747386" w:rsidRPr="009901FA" w:rsidRDefault="00747386" w:rsidP="002C2B3F">
      <w:pPr>
        <w:numPr>
          <w:ilvl w:val="0"/>
          <w:numId w:val="24"/>
        </w:numPr>
        <w:spacing w:after="0"/>
      </w:pPr>
      <w:r w:rsidRPr="009901FA">
        <w:rPr>
          <w:b/>
        </w:rPr>
        <w:t>Infrastructure development</w:t>
      </w:r>
      <w:r w:rsidRPr="009901FA">
        <w:t>: CO</w:t>
      </w:r>
      <w:r w:rsidRPr="00A247A6">
        <w:rPr>
          <w:rFonts w:ascii="Cambria Math" w:hAnsi="Cambria Math" w:cs="Cambria Math"/>
        </w:rPr>
        <w:t>₂</w:t>
      </w:r>
      <w:r w:rsidRPr="009901FA">
        <w:t xml:space="preserve"> transport and storage infrastructure must expand in parallel to support large-scale deployment of capture systems.</w:t>
      </w:r>
    </w:p>
    <w:p w14:paraId="77B4251B" w14:textId="77777777" w:rsidR="00747386" w:rsidRPr="009901FA" w:rsidRDefault="00747386" w:rsidP="002C2B3F">
      <w:pPr>
        <w:numPr>
          <w:ilvl w:val="0"/>
          <w:numId w:val="24"/>
        </w:numPr>
        <w:spacing w:after="0"/>
      </w:pPr>
      <w:r w:rsidRPr="009901FA">
        <w:rPr>
          <w:b/>
        </w:rPr>
        <w:t>Policy and finance</w:t>
      </w:r>
      <w:r w:rsidRPr="009901FA">
        <w:t>: Stable regulatory frameworks, clear carbon pricing, and dedicated incentives such as the US 45Q tax credit and EU Innovation Fund are critical to reduce investor risk and unlock new projects.</w:t>
      </w:r>
    </w:p>
    <w:p w14:paraId="41C0E15E" w14:textId="4D0F8AB0" w:rsidR="00061E8D" w:rsidRPr="009901FA" w:rsidRDefault="00061E8D" w:rsidP="002C2B3F">
      <w:pPr>
        <w:numPr>
          <w:ilvl w:val="0"/>
          <w:numId w:val="24"/>
        </w:numPr>
      </w:pPr>
      <w:r w:rsidRPr="009901FA">
        <w:rPr>
          <w:b/>
        </w:rPr>
        <w:t>Long-term monitoring</w:t>
      </w:r>
      <w:r w:rsidRPr="009901FA">
        <w:t>: Proven MRV systems are necessary to ensure transparency and manage long- term liability, such as those demonstrated by Sleipner in Norway.</w:t>
      </w:r>
    </w:p>
    <w:p w14:paraId="60B0695D" w14:textId="71D16A21" w:rsidR="00103B40" w:rsidRPr="009901FA" w:rsidRDefault="00103B40" w:rsidP="00047466">
      <w:pPr>
        <w:spacing w:after="0"/>
      </w:pPr>
      <w:r w:rsidRPr="009901FA">
        <w:t>Key barriers to scale-up remain, particularly in the early stages of deployment. These are:</w:t>
      </w:r>
    </w:p>
    <w:p w14:paraId="3CCC7EF6" w14:textId="49532E9E" w:rsidR="002B1497" w:rsidRPr="009901FA" w:rsidRDefault="00926406" w:rsidP="002C2B3F">
      <w:pPr>
        <w:numPr>
          <w:ilvl w:val="0"/>
          <w:numId w:val="25"/>
        </w:numPr>
        <w:spacing w:after="0"/>
      </w:pPr>
      <w:r w:rsidRPr="009901FA">
        <w:rPr>
          <w:b/>
        </w:rPr>
        <w:t>High capital costs</w:t>
      </w:r>
      <w:r w:rsidRPr="009901FA">
        <w:rPr>
          <w:bCs/>
        </w:rPr>
        <w:t>, which affect both retrofit projects and new-build systems like the AFC, especially where integration is complex or site-specific</w:t>
      </w:r>
      <w:r w:rsidR="002B1497" w:rsidRPr="009901FA">
        <w:rPr>
          <w:bCs/>
        </w:rPr>
        <w:t>.</w:t>
      </w:r>
    </w:p>
    <w:p w14:paraId="0C2F6DED" w14:textId="77777777" w:rsidR="002B1497" w:rsidRPr="009901FA" w:rsidRDefault="002B1497" w:rsidP="002C2B3F">
      <w:pPr>
        <w:numPr>
          <w:ilvl w:val="0"/>
          <w:numId w:val="25"/>
        </w:numPr>
        <w:spacing w:after="0"/>
      </w:pPr>
      <w:r w:rsidRPr="009901FA">
        <w:rPr>
          <w:b/>
        </w:rPr>
        <w:t>Regulatory uncertainty</w:t>
      </w:r>
      <w:r w:rsidRPr="009901FA">
        <w:t xml:space="preserve"> in some regions, particularly regarding long-term storage liability and permitting, which delays investment.</w:t>
      </w:r>
    </w:p>
    <w:p w14:paraId="57DE2B58" w14:textId="77777777" w:rsidR="00E4083F" w:rsidRPr="009901FA" w:rsidRDefault="00E4083F" w:rsidP="002C2B3F">
      <w:pPr>
        <w:numPr>
          <w:ilvl w:val="0"/>
          <w:numId w:val="25"/>
        </w:numPr>
        <w:spacing w:after="0"/>
      </w:pPr>
      <w:r w:rsidRPr="009901FA">
        <w:rPr>
          <w:b/>
          <w:bCs/>
        </w:rPr>
        <w:lastRenderedPageBreak/>
        <w:t>Limited access to CO</w:t>
      </w:r>
      <w:r w:rsidRPr="00A247A6">
        <w:rPr>
          <w:rFonts w:ascii="Cambria Math" w:hAnsi="Cambria Math" w:cs="Cambria Math"/>
          <w:b/>
          <w:bCs/>
        </w:rPr>
        <w:t>₂</w:t>
      </w:r>
      <w:r w:rsidRPr="009901FA">
        <w:rPr>
          <w:b/>
          <w:bCs/>
        </w:rPr>
        <w:t xml:space="preserve"> transport and storage infrastructure</w:t>
      </w:r>
      <w:r w:rsidRPr="009901FA">
        <w:t>, especially outside a few well-characterized hubs such as the US Gulf Coast, restricts project siting and scale.</w:t>
      </w:r>
    </w:p>
    <w:p w14:paraId="28658DBD" w14:textId="7D616583" w:rsidR="00E4083F" w:rsidRPr="009901FA" w:rsidRDefault="00E4083F" w:rsidP="002C2B3F">
      <w:pPr>
        <w:numPr>
          <w:ilvl w:val="0"/>
          <w:numId w:val="25"/>
        </w:numPr>
        <w:spacing w:after="0"/>
      </w:pPr>
      <w:r w:rsidRPr="009901FA">
        <w:rPr>
          <w:b/>
          <w:bCs/>
        </w:rPr>
        <w:t>Operational risks under real-world conditions</w:t>
      </w:r>
      <w:r w:rsidRPr="009901FA">
        <w:t>, including equipment degradation, fluctuating feed conditions, and system downtime, remain poorly understood for emerging technologies.</w:t>
      </w:r>
    </w:p>
    <w:p w14:paraId="2EA94593" w14:textId="33AD0C60" w:rsidR="007819C2" w:rsidRPr="009901FA" w:rsidRDefault="007819C2" w:rsidP="002C2B3F">
      <w:pPr>
        <w:numPr>
          <w:ilvl w:val="0"/>
          <w:numId w:val="25"/>
        </w:numPr>
      </w:pPr>
      <w:r w:rsidRPr="009901FA">
        <w:rPr>
          <w:b/>
          <w:bCs/>
        </w:rPr>
        <w:t>Technology-specific limitations constrain adoption</w:t>
      </w:r>
      <w:r w:rsidRPr="009901FA">
        <w:t>:</w:t>
      </w:r>
    </w:p>
    <w:p w14:paraId="2EDEE50E" w14:textId="6808A88C" w:rsidR="007819C2" w:rsidRPr="009901FA" w:rsidRDefault="007819C2" w:rsidP="002C2B3F">
      <w:pPr>
        <w:numPr>
          <w:ilvl w:val="1"/>
          <w:numId w:val="25"/>
        </w:numPr>
      </w:pPr>
      <w:r w:rsidRPr="009901FA">
        <w:t>Allam-Fetvedt Cycle, though highly efficient and capable of capturing ~99% of CO</w:t>
      </w:r>
      <w:r w:rsidRPr="00A247A6">
        <w:rPr>
          <w:rFonts w:ascii="Cambria Math" w:hAnsi="Cambria Math" w:cs="Cambria Math"/>
        </w:rPr>
        <w:t>₂</w:t>
      </w:r>
      <w:r w:rsidRPr="009901FA">
        <w:t xml:space="preserve"> without chemical solvents, can only be deployed in new-build (greenfield) plants. This makes it unsuitable for retrofits and limits relevance to regions where new fossil capacity is still being added</w:t>
      </w:r>
      <w:r w:rsidRPr="009901FA">
        <w:rPr>
          <w:rFonts w:cs="Arial Nova"/>
        </w:rPr>
        <w:t>—</w:t>
      </w:r>
      <w:r w:rsidRPr="009901FA">
        <w:t>particularly in emerging markets that require dispatchable baseload power and lack full renewable penetration. In this context, AFC may serve as a tactical near-term solution, but it is unlikely to be a long-term decarbonization strategy in net-zero-aligned economies.</w:t>
      </w:r>
    </w:p>
    <w:p w14:paraId="2B692CF1" w14:textId="3B527E94" w:rsidR="007819C2" w:rsidRPr="009901FA" w:rsidRDefault="007819C2" w:rsidP="002C2B3F">
      <w:pPr>
        <w:numPr>
          <w:ilvl w:val="1"/>
          <w:numId w:val="25"/>
        </w:numPr>
      </w:pPr>
      <w:r w:rsidRPr="009901FA">
        <w:t>Calcium Looping is highly promising for cement decarbonization, thanks to its synergy with kiln infrastructure and tolerance to flue gas impurities. However, it requires high-temperature operation, making it less suitable for industries operating at lower process temperatures. It also entails medium-to-high capital costs and requires dedicated oxygen supply and sorbent handling systems, which can complicate integration in some settings.</w:t>
      </w:r>
    </w:p>
    <w:p w14:paraId="6C825611" w14:textId="77777777" w:rsidR="007819C2" w:rsidRPr="009901FA" w:rsidRDefault="00D336C8" w:rsidP="007819C2">
      <w:r w:rsidRPr="009901FA">
        <w:t>While post-combustion and looping-based capture technologies are maturing rapidly, their widespread adoption will depend on technology-fit, cost trajectories, and the regional energy context. Solutions like CaL offer sector-specific integration advantages, while AFC presents a high-efficiency power solution for niche markets—provided the infrastructure and fossil feedstock remain aligned with local development needs. Unlocking full-scale deployment across all sectors will require coordinated action across technology, policy, and markets.</w:t>
      </w:r>
    </w:p>
    <w:p w14:paraId="2EA75096" w14:textId="60B0274A" w:rsidR="00007C30" w:rsidRPr="009901FA" w:rsidRDefault="000E0EB1" w:rsidP="007819C2">
      <w:pPr>
        <w:pStyle w:val="Heading3"/>
      </w:pPr>
      <w:bookmarkStart w:id="106" w:name="_Toc205392465"/>
      <w:bookmarkStart w:id="107" w:name="_Toc205554234"/>
      <w:r>
        <w:t>4</w:t>
      </w:r>
      <w:r w:rsidR="006C7ED9" w:rsidRPr="009901FA">
        <w:t>.</w:t>
      </w:r>
      <w:r w:rsidR="008826CD" w:rsidRPr="009901FA">
        <w:t xml:space="preserve">2 </w:t>
      </w:r>
      <w:r w:rsidR="006749A9" w:rsidRPr="009901FA">
        <w:t>Biomass Carbon: Harnessing Biological Productivity</w:t>
      </w:r>
      <w:bookmarkEnd w:id="106"/>
      <w:bookmarkEnd w:id="107"/>
    </w:p>
    <w:p w14:paraId="47499EBE" w14:textId="18B2F1AF" w:rsidR="007F2A1B" w:rsidRPr="009901FA" w:rsidRDefault="006749A9" w:rsidP="006749A9">
      <w:pPr>
        <w:rPr>
          <w:lang w:val="en-US"/>
        </w:rPr>
      </w:pPr>
      <w:r w:rsidRPr="009901FA">
        <w:rPr>
          <w:b/>
        </w:rPr>
        <w:t>Biomass offers a natural carbon capture pathway through photosynthesis</w:t>
      </w:r>
      <w:r w:rsidR="00AA165C" w:rsidRPr="009901FA">
        <w:t xml:space="preserve">, </w:t>
      </w:r>
      <w:r w:rsidR="00AA165C" w:rsidRPr="009901FA">
        <w:rPr>
          <w:b/>
          <w:bCs/>
        </w:rPr>
        <w:t>which serves</w:t>
      </w:r>
      <w:r w:rsidRPr="009901FA">
        <w:rPr>
          <w:b/>
        </w:rPr>
        <w:t xml:space="preserve"> as a renewable and flexible carbon feedstock</w:t>
      </w:r>
      <w:r w:rsidR="00AA165C" w:rsidRPr="009901FA">
        <w:rPr>
          <w:b/>
          <w:bCs/>
        </w:rPr>
        <w:t xml:space="preserve"> if sourced sustainably.</w:t>
      </w:r>
      <w:r w:rsidRPr="009901FA">
        <w:t xml:space="preserve"> It is already used in bioenergy, bioplastics, and a range of low-carbon products, but scaling its use must be managed carefully to avoid land-use conflict and ecological </w:t>
      </w:r>
      <w:r w:rsidRPr="009901FA">
        <w:rPr>
          <w:b/>
        </w:rPr>
        <w:t>harm.</w:t>
      </w:r>
      <w:r w:rsidR="008E258D" w:rsidRPr="009901FA">
        <w:rPr>
          <w:b/>
          <w:bCs/>
          <w:lang w:val="en-US"/>
        </w:rPr>
        <w:t xml:space="preserve"> </w:t>
      </w:r>
      <w:r w:rsidR="005414D8" w:rsidRPr="009901FA">
        <w:rPr>
          <w:lang w:val="en-US"/>
        </w:rPr>
        <w:fldChar w:fldCharType="begin"/>
      </w:r>
      <w:r w:rsidR="005414D8" w:rsidRPr="009901FA">
        <w:rPr>
          <w:b/>
          <w:bCs/>
          <w:lang w:val="en-US"/>
        </w:rPr>
        <w:instrText xml:space="preserve"> REF _Ref203749548 \h </w:instrText>
      </w:r>
      <w:r w:rsidR="00A247A6">
        <w:rPr>
          <w:lang w:val="en-US"/>
        </w:rPr>
        <w:instrText xml:space="preserve"> \* MERGEFORMAT </w:instrText>
      </w:r>
      <w:r w:rsidR="005414D8" w:rsidRPr="009901FA">
        <w:rPr>
          <w:lang w:val="en-US"/>
        </w:rPr>
      </w:r>
      <w:r w:rsidR="005414D8" w:rsidRPr="009901FA">
        <w:rPr>
          <w:lang w:val="en-US"/>
        </w:rPr>
        <w:fldChar w:fldCharType="separate"/>
      </w:r>
      <w:r w:rsidR="00DE378F" w:rsidRPr="009901FA">
        <w:t xml:space="preserve">Exhibit </w:t>
      </w:r>
      <w:r w:rsidR="00E61394">
        <w:rPr>
          <w:noProof/>
        </w:rPr>
        <w:t>4</w:t>
      </w:r>
      <w:r w:rsidR="00DE378F" w:rsidRPr="009901FA">
        <w:t>.</w:t>
      </w:r>
      <w:r w:rsidR="00DE378F" w:rsidRPr="009901FA">
        <w:rPr>
          <w:noProof/>
        </w:rPr>
        <w:t>17</w:t>
      </w:r>
      <w:r w:rsidR="005414D8" w:rsidRPr="009901FA">
        <w:rPr>
          <w:lang w:val="en-US"/>
        </w:rPr>
        <w:fldChar w:fldCharType="end"/>
      </w:r>
      <w:r w:rsidR="003527A1" w:rsidRPr="009901FA">
        <w:rPr>
          <w:lang w:val="en-US"/>
        </w:rPr>
        <w:t xml:space="preserve"> list</w:t>
      </w:r>
      <w:r w:rsidR="00BD0ACF" w:rsidRPr="009901FA">
        <w:rPr>
          <w:lang w:val="en-US"/>
        </w:rPr>
        <w:t>s</w:t>
      </w:r>
      <w:r w:rsidR="003527A1" w:rsidRPr="009901FA">
        <w:rPr>
          <w:lang w:val="en-US"/>
        </w:rPr>
        <w:t xml:space="preserve"> the</w:t>
      </w:r>
      <w:r w:rsidR="009160DE" w:rsidRPr="009901FA">
        <w:rPr>
          <w:lang w:val="en-US"/>
        </w:rPr>
        <w:t xml:space="preserve"> strict </w:t>
      </w:r>
      <w:r w:rsidR="003527A1" w:rsidRPr="009901FA">
        <w:rPr>
          <w:lang w:val="en-US"/>
        </w:rPr>
        <w:t xml:space="preserve">criteria necessary </w:t>
      </w:r>
      <w:r w:rsidR="00807872" w:rsidRPr="009901FA">
        <w:rPr>
          <w:lang w:val="en-US"/>
        </w:rPr>
        <w:t>for biomass to be considered sustainable</w:t>
      </w:r>
      <w:r w:rsidR="00D67614" w:rsidRPr="009901FA">
        <w:rPr>
          <w:lang w:val="en-US"/>
        </w:rPr>
        <w:t>. These conditions ensure</w:t>
      </w:r>
      <w:r w:rsidR="002D157D" w:rsidRPr="009901FA">
        <w:rPr>
          <w:lang w:val="en-US"/>
        </w:rPr>
        <w:t xml:space="preserve"> that </w:t>
      </w:r>
      <w:r w:rsidR="00856174" w:rsidRPr="009901FA">
        <w:rPr>
          <w:lang w:val="en-US"/>
        </w:rPr>
        <w:t xml:space="preserve">biomass </w:t>
      </w:r>
      <w:r w:rsidR="001B3EC7" w:rsidRPr="009901FA">
        <w:rPr>
          <w:lang w:val="en-US"/>
        </w:rPr>
        <w:t xml:space="preserve">does not </w:t>
      </w:r>
      <w:r w:rsidR="002D57F4" w:rsidRPr="009901FA">
        <w:rPr>
          <w:lang w:val="en-US"/>
        </w:rPr>
        <w:t xml:space="preserve">incur other environmental or social </w:t>
      </w:r>
      <w:r w:rsidR="00450BEB" w:rsidRPr="009901FA">
        <w:rPr>
          <w:lang w:val="en-US"/>
        </w:rPr>
        <w:t>impacts</w:t>
      </w:r>
      <w:r w:rsidR="00564FC8" w:rsidRPr="009901FA">
        <w:rPr>
          <w:lang w:val="en-US"/>
        </w:rPr>
        <w:t xml:space="preserve">, which may make it even more harmful than fossil </w:t>
      </w:r>
      <w:r w:rsidR="00CF1FA2" w:rsidRPr="009901FA">
        <w:rPr>
          <w:lang w:val="en-US"/>
        </w:rPr>
        <w:t>resources</w:t>
      </w:r>
      <w:r w:rsidR="005C77A6" w:rsidRPr="009901FA">
        <w:rPr>
          <w:lang w:val="en-US"/>
        </w:rPr>
        <w:t xml:space="preserve">. </w:t>
      </w:r>
    </w:p>
    <w:p w14:paraId="0363F05F" w14:textId="10B000AC" w:rsidR="005414D8" w:rsidRPr="009901FA" w:rsidRDefault="005414D8" w:rsidP="005414D8">
      <w:pPr>
        <w:pStyle w:val="Caption"/>
        <w:keepNext/>
      </w:pPr>
      <w:bookmarkStart w:id="108" w:name="_Ref203749548"/>
      <w:r w:rsidRPr="009901FA">
        <w:lastRenderedPageBreak/>
        <w:t xml:space="preserve">Exhibit </w:t>
      </w:r>
      <w:r w:rsidR="00E61394">
        <w:t>4</w:t>
      </w:r>
      <w:r w:rsidR="008725B4" w:rsidRPr="009901FA">
        <w:t>.</w:t>
      </w:r>
      <w:fldSimple w:instr=" SEQ Exhibit \* ARABIC \s 2 ">
        <w:r w:rsidR="00DE378F" w:rsidRPr="009901FA">
          <w:rPr>
            <w:noProof/>
          </w:rPr>
          <w:t>17</w:t>
        </w:r>
      </w:fldSimple>
      <w:bookmarkEnd w:id="108"/>
    </w:p>
    <w:p w14:paraId="3B4B9ED0" w14:textId="3F3742E0" w:rsidR="00215AE8" w:rsidRPr="00A247A6" w:rsidRDefault="007F2A1B" w:rsidP="006749A9">
      <w:pPr>
        <w:rPr>
          <w:lang w:val="en-US"/>
        </w:rPr>
      </w:pPr>
      <w:r w:rsidRPr="009901FA">
        <w:rPr>
          <w:noProof/>
        </w:rPr>
        <w:drawing>
          <wp:inline distT="0" distB="0" distL="0" distR="0" wp14:anchorId="460D5FA2" wp14:editId="3C77977D">
            <wp:extent cx="6263640" cy="3523615"/>
            <wp:effectExtent l="0" t="0" r="0" b="0"/>
            <wp:docPr id="171897284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972849" name=""/>
                    <pic:cNvPicPr/>
                  </pic:nvPicPr>
                  <pic:blipFill>
                    <a:blip r:embed="rId96">
                      <a:extLst>
                        <a:ext uri="{96DAC541-7B7A-43D3-8B79-37D633B846F1}">
                          <asvg:svgBlip xmlns:asvg="http://schemas.microsoft.com/office/drawing/2016/SVG/main" r:embed="rId97"/>
                        </a:ext>
                      </a:extLst>
                    </a:blip>
                    <a:stretch>
                      <a:fillRect/>
                    </a:stretch>
                  </pic:blipFill>
                  <pic:spPr>
                    <a:xfrm>
                      <a:off x="0" y="0"/>
                      <a:ext cx="6263640" cy="3523615"/>
                    </a:xfrm>
                    <a:prstGeom prst="rect">
                      <a:avLst/>
                    </a:prstGeom>
                  </pic:spPr>
                </pic:pic>
              </a:graphicData>
            </a:graphic>
          </wp:inline>
        </w:drawing>
      </w:r>
    </w:p>
    <w:p w14:paraId="074F53A9" w14:textId="37FB67EB" w:rsidR="00976609" w:rsidRPr="009901FA" w:rsidRDefault="000E231D" w:rsidP="006749A9">
      <w:pPr>
        <w:rPr>
          <w:lang w:val="en-US"/>
        </w:rPr>
      </w:pPr>
      <w:r w:rsidRPr="009901FA">
        <w:rPr>
          <w:b/>
          <w:lang w:val="en-US"/>
        </w:rPr>
        <w:t xml:space="preserve">Based on </w:t>
      </w:r>
      <w:r w:rsidR="002B6692" w:rsidRPr="009901FA">
        <w:rPr>
          <w:b/>
          <w:lang w:val="en-US"/>
        </w:rPr>
        <w:t>these principles</w:t>
      </w:r>
      <w:r w:rsidRPr="009901FA">
        <w:rPr>
          <w:b/>
          <w:lang w:val="en-US"/>
        </w:rPr>
        <w:t xml:space="preserve">, the ETC has </w:t>
      </w:r>
      <w:r w:rsidR="00A36C24" w:rsidRPr="009901FA">
        <w:rPr>
          <w:b/>
          <w:lang w:val="en-US"/>
        </w:rPr>
        <w:t xml:space="preserve">previously estimated that </w:t>
      </w:r>
      <w:r w:rsidR="00ED02DA" w:rsidRPr="009901FA">
        <w:rPr>
          <w:b/>
          <w:lang w:val="en-US"/>
        </w:rPr>
        <w:t>~40 – 60 EJ of biomass could be sustainably supplied by 2050</w:t>
      </w:r>
      <w:r w:rsidR="005D1F30" w:rsidRPr="009901FA">
        <w:rPr>
          <w:b/>
          <w:lang w:val="en-US"/>
        </w:rPr>
        <w:t xml:space="preserve">, as presented in </w:t>
      </w:r>
      <w:r w:rsidR="00883848" w:rsidRPr="009901FA">
        <w:rPr>
          <w:b/>
          <w:highlight w:val="yellow"/>
          <w:lang w:val="en-US"/>
        </w:rPr>
        <w:fldChar w:fldCharType="begin"/>
      </w:r>
      <w:r w:rsidR="00883848" w:rsidRPr="009901FA">
        <w:rPr>
          <w:b/>
          <w:lang w:val="en-US"/>
        </w:rPr>
        <w:instrText xml:space="preserve"> REF _Ref203749560 \h </w:instrText>
      </w:r>
      <w:r w:rsidR="00883848" w:rsidRPr="009901FA">
        <w:rPr>
          <w:b/>
          <w:highlight w:val="yellow"/>
          <w:lang w:val="en-US"/>
        </w:rPr>
        <w:instrText xml:space="preserve"> \* MERGEFORMAT </w:instrText>
      </w:r>
      <w:r w:rsidR="00883848" w:rsidRPr="009901FA">
        <w:rPr>
          <w:b/>
          <w:highlight w:val="yellow"/>
          <w:lang w:val="en-US"/>
        </w:rPr>
      </w:r>
      <w:r w:rsidR="00883848" w:rsidRPr="009901FA">
        <w:rPr>
          <w:b/>
          <w:highlight w:val="yellow"/>
          <w:lang w:val="en-US"/>
        </w:rPr>
        <w:fldChar w:fldCharType="separate"/>
      </w:r>
      <w:r w:rsidR="00DE378F" w:rsidRPr="009901FA">
        <w:rPr>
          <w:b/>
        </w:rPr>
        <w:t xml:space="preserve">Exhibit </w:t>
      </w:r>
      <w:r w:rsidR="00E61394">
        <w:rPr>
          <w:b/>
          <w:noProof/>
        </w:rPr>
        <w:t>4</w:t>
      </w:r>
      <w:r w:rsidR="00DE378F" w:rsidRPr="009901FA">
        <w:rPr>
          <w:b/>
          <w:noProof/>
        </w:rPr>
        <w:t>.18</w:t>
      </w:r>
      <w:r w:rsidR="00883848" w:rsidRPr="009901FA">
        <w:rPr>
          <w:b/>
          <w:highlight w:val="yellow"/>
          <w:lang w:val="en-US"/>
        </w:rPr>
        <w:fldChar w:fldCharType="end"/>
      </w:r>
      <w:r w:rsidR="00ED02DA" w:rsidRPr="009901FA">
        <w:rPr>
          <w:b/>
          <w:lang w:val="en-US"/>
        </w:rPr>
        <w:t>.</w:t>
      </w:r>
      <w:r w:rsidR="00E75275" w:rsidRPr="009901FA">
        <w:rPr>
          <w:lang w:val="en-US"/>
        </w:rPr>
        <w:t xml:space="preserve"> </w:t>
      </w:r>
      <w:r w:rsidR="00313B1E" w:rsidRPr="009901FA">
        <w:rPr>
          <w:lang w:val="en-US"/>
        </w:rPr>
        <w:t xml:space="preserve">Nonetheless, through radical </w:t>
      </w:r>
      <w:r w:rsidR="00675C81" w:rsidRPr="009901FA">
        <w:rPr>
          <w:lang w:val="en-US"/>
        </w:rPr>
        <w:t>changes</w:t>
      </w:r>
      <w:r w:rsidR="00E976A7" w:rsidRPr="009901FA">
        <w:rPr>
          <w:lang w:val="en-US"/>
        </w:rPr>
        <w:t xml:space="preserve">, such as </w:t>
      </w:r>
      <w:r w:rsidR="00094286" w:rsidRPr="009901FA">
        <w:rPr>
          <w:lang w:val="en-US"/>
        </w:rPr>
        <w:t xml:space="preserve">(1) use of more productive land, (2) </w:t>
      </w:r>
      <w:r w:rsidR="006E55FD" w:rsidRPr="009901FA">
        <w:rPr>
          <w:lang w:val="en-US"/>
        </w:rPr>
        <w:t xml:space="preserve">more available land </w:t>
      </w:r>
      <w:r w:rsidR="00333D53" w:rsidRPr="009901FA">
        <w:rPr>
          <w:lang w:val="en-US"/>
        </w:rPr>
        <w:t xml:space="preserve">and (3) </w:t>
      </w:r>
      <w:r w:rsidR="00166BF8" w:rsidRPr="009901FA">
        <w:rPr>
          <w:lang w:val="en-US"/>
        </w:rPr>
        <w:t>new sources</w:t>
      </w:r>
      <w:r w:rsidR="00313B1E" w:rsidRPr="009901FA">
        <w:rPr>
          <w:lang w:val="en-US"/>
        </w:rPr>
        <w:t>, this estimate can be revised upwards</w:t>
      </w:r>
      <w:r w:rsidR="00B15957" w:rsidRPr="009901FA">
        <w:rPr>
          <w:lang w:val="en-US"/>
        </w:rPr>
        <w:t xml:space="preserve">. These changes are a result of </w:t>
      </w:r>
      <w:r w:rsidR="001F190F" w:rsidRPr="009901FA">
        <w:rPr>
          <w:lang w:val="en-US"/>
        </w:rPr>
        <w:t xml:space="preserve">a combination of factors, </w:t>
      </w:r>
      <w:r w:rsidR="00C8744E" w:rsidRPr="009901FA">
        <w:rPr>
          <w:lang w:val="en-US"/>
        </w:rPr>
        <w:t xml:space="preserve">involving </w:t>
      </w:r>
      <w:r w:rsidR="00675C81" w:rsidRPr="009901FA">
        <w:rPr>
          <w:lang w:val="en-US"/>
        </w:rPr>
        <w:t>technological</w:t>
      </w:r>
      <w:r w:rsidR="00CC4693" w:rsidRPr="009901FA">
        <w:rPr>
          <w:lang w:val="en-US"/>
        </w:rPr>
        <w:t xml:space="preserve"> development, </w:t>
      </w:r>
      <w:r w:rsidR="009A0ED9" w:rsidRPr="009901FA">
        <w:rPr>
          <w:lang w:val="en-US"/>
        </w:rPr>
        <w:t xml:space="preserve">cultural change </w:t>
      </w:r>
      <w:r w:rsidR="00BA2D74" w:rsidRPr="009901FA">
        <w:rPr>
          <w:lang w:val="en-US"/>
        </w:rPr>
        <w:t xml:space="preserve">and </w:t>
      </w:r>
      <w:r w:rsidR="00470BDD" w:rsidRPr="009901FA">
        <w:rPr>
          <w:lang w:val="en-US"/>
        </w:rPr>
        <w:t xml:space="preserve">robust, </w:t>
      </w:r>
      <w:r w:rsidR="002A74DF" w:rsidRPr="009901FA">
        <w:rPr>
          <w:lang w:val="en-US"/>
        </w:rPr>
        <w:t>well-enforced</w:t>
      </w:r>
      <w:r w:rsidR="00470BDD" w:rsidRPr="009901FA">
        <w:rPr>
          <w:lang w:val="en-US"/>
        </w:rPr>
        <w:t xml:space="preserve"> legislation</w:t>
      </w:r>
      <w:r w:rsidR="00EC6240" w:rsidRPr="009901FA">
        <w:rPr>
          <w:lang w:val="en-US"/>
        </w:rPr>
        <w:t>.</w:t>
      </w:r>
    </w:p>
    <w:p w14:paraId="71ED342B" w14:textId="07B66753" w:rsidR="005414D8" w:rsidRPr="009901FA" w:rsidRDefault="005414D8" w:rsidP="005414D8">
      <w:pPr>
        <w:pStyle w:val="Caption"/>
        <w:keepNext/>
      </w:pPr>
      <w:bookmarkStart w:id="109" w:name="_Ref203749560"/>
      <w:r w:rsidRPr="009901FA">
        <w:t xml:space="preserve">Exhibit </w:t>
      </w:r>
      <w:r w:rsidR="00E61394">
        <w:t>4</w:t>
      </w:r>
      <w:r w:rsidR="008725B4" w:rsidRPr="009901FA">
        <w:t>.</w:t>
      </w:r>
      <w:fldSimple w:instr=" SEQ Exhibit \* ARABIC \s 2 ">
        <w:r w:rsidR="00DE378F" w:rsidRPr="009901FA">
          <w:rPr>
            <w:noProof/>
          </w:rPr>
          <w:t>18</w:t>
        </w:r>
      </w:fldSimple>
      <w:bookmarkEnd w:id="109"/>
    </w:p>
    <w:p w14:paraId="7981FFD6" w14:textId="2F74E7E0" w:rsidR="000E0BCF" w:rsidRPr="00A247A6" w:rsidRDefault="00702402" w:rsidP="007819C2">
      <w:pPr>
        <w:rPr>
          <w:lang w:val="en-US"/>
        </w:rPr>
      </w:pPr>
      <w:r w:rsidRPr="009901FA">
        <w:rPr>
          <w:noProof/>
        </w:rPr>
        <w:drawing>
          <wp:inline distT="0" distB="0" distL="0" distR="0" wp14:anchorId="32F04DE6" wp14:editId="4EDCB1CB">
            <wp:extent cx="6263640" cy="3491948"/>
            <wp:effectExtent l="0" t="0" r="3810" b="0"/>
            <wp:docPr id="7643329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332907" name=""/>
                    <pic:cNvPicPr/>
                  </pic:nvPicPr>
                  <pic:blipFill>
                    <a:blip r:embed="rId98">
                      <a:extLst>
                        <a:ext uri="{96DAC541-7B7A-43D3-8B79-37D633B846F1}">
                          <asvg:svgBlip xmlns:asvg="http://schemas.microsoft.com/office/drawing/2016/SVG/main" r:embed="rId99"/>
                        </a:ext>
                      </a:extLst>
                    </a:blip>
                    <a:stretch>
                      <a:fillRect/>
                    </a:stretch>
                  </pic:blipFill>
                  <pic:spPr>
                    <a:xfrm>
                      <a:off x="0" y="0"/>
                      <a:ext cx="6265993" cy="3493260"/>
                    </a:xfrm>
                    <a:prstGeom prst="rect">
                      <a:avLst/>
                    </a:prstGeom>
                  </pic:spPr>
                </pic:pic>
              </a:graphicData>
            </a:graphic>
          </wp:inline>
        </w:drawing>
      </w:r>
    </w:p>
    <w:p w14:paraId="4F93616C" w14:textId="5763772A" w:rsidR="006749A9" w:rsidRPr="009901FA" w:rsidRDefault="005C4C40" w:rsidP="00BB07AA">
      <w:pPr>
        <w:pStyle w:val="Heading3"/>
        <w:ind w:left="720"/>
        <w:rPr>
          <w:lang w:val="en-US"/>
        </w:rPr>
      </w:pPr>
      <w:bookmarkStart w:id="110" w:name="_Toc205392466"/>
      <w:bookmarkStart w:id="111" w:name="_Toc205554235"/>
      <w:r>
        <w:lastRenderedPageBreak/>
        <w:t>4</w:t>
      </w:r>
      <w:r w:rsidR="001E28B4" w:rsidRPr="009901FA">
        <w:t>.</w:t>
      </w:r>
      <w:r w:rsidR="008826CD" w:rsidRPr="009901FA">
        <w:t>2</w:t>
      </w:r>
      <w:r w:rsidR="001E28B4" w:rsidRPr="009901FA">
        <w:t>.1</w:t>
      </w:r>
      <w:r w:rsidR="006749A9" w:rsidRPr="009901FA">
        <w:t xml:space="preserve"> More Productive </w:t>
      </w:r>
      <w:r w:rsidR="00114229" w:rsidRPr="009901FA">
        <w:t>Land</w:t>
      </w:r>
      <w:r w:rsidR="006749A9" w:rsidRPr="009901FA">
        <w:t xml:space="preserve"> – </w:t>
      </w:r>
      <w:r w:rsidR="008E54F8" w:rsidRPr="009901FA">
        <w:rPr>
          <w:lang w:val="en-US"/>
        </w:rPr>
        <w:t xml:space="preserve">Degraded land and </w:t>
      </w:r>
      <w:r w:rsidR="00CA0346" w:rsidRPr="009901FA">
        <w:rPr>
          <w:lang w:val="en-US"/>
        </w:rPr>
        <w:t xml:space="preserve">more </w:t>
      </w:r>
      <w:r w:rsidR="00114229" w:rsidRPr="009901FA">
        <w:rPr>
          <w:lang w:val="en-US"/>
        </w:rPr>
        <w:t>producti</w:t>
      </w:r>
      <w:r w:rsidR="00CA0346" w:rsidRPr="009901FA">
        <w:rPr>
          <w:lang w:val="en-US"/>
        </w:rPr>
        <w:t xml:space="preserve">ve </w:t>
      </w:r>
      <w:r w:rsidR="008E54F8" w:rsidRPr="009901FA">
        <w:rPr>
          <w:lang w:val="en-US"/>
        </w:rPr>
        <w:t>energy crops</w:t>
      </w:r>
      <w:bookmarkEnd w:id="110"/>
      <w:bookmarkEnd w:id="111"/>
    </w:p>
    <w:p w14:paraId="24E8BC0F" w14:textId="77777777" w:rsidR="001E28B4" w:rsidRPr="009901FA" w:rsidRDefault="001E28B4" w:rsidP="001E28B4">
      <w:pPr>
        <w:rPr>
          <w:lang w:val="en-US"/>
        </w:rPr>
      </w:pPr>
    </w:p>
    <w:p w14:paraId="6588F0D4" w14:textId="39629E32" w:rsidR="007628D6" w:rsidRPr="009901FA" w:rsidRDefault="007628D6" w:rsidP="006749A9">
      <w:pPr>
        <w:rPr>
          <w:bCs/>
        </w:rPr>
      </w:pPr>
      <w:r w:rsidRPr="009901FA">
        <w:rPr>
          <w:b/>
          <w:bCs/>
        </w:rPr>
        <w:t xml:space="preserve">Bioenergy crops </w:t>
      </w:r>
      <w:r w:rsidR="00371C55" w:rsidRPr="009901FA">
        <w:rPr>
          <w:b/>
          <w:bCs/>
        </w:rPr>
        <w:t>could</w:t>
      </w:r>
      <w:r w:rsidRPr="009901FA">
        <w:rPr>
          <w:b/>
          <w:bCs/>
        </w:rPr>
        <w:t xml:space="preserve"> expand only on land that does not displace food production or critical ecosystem </w:t>
      </w:r>
      <w:r w:rsidR="00371C55" w:rsidRPr="009901FA">
        <w:rPr>
          <w:b/>
          <w:bCs/>
        </w:rPr>
        <w:t>restoration</w:t>
      </w:r>
      <w:r w:rsidRPr="009901FA">
        <w:rPr>
          <w:b/>
          <w:bCs/>
        </w:rPr>
        <w:t>.</w:t>
      </w:r>
      <w:r w:rsidRPr="009901FA">
        <w:rPr>
          <w:b/>
        </w:rPr>
        <w:t xml:space="preserve"> </w:t>
      </w:r>
      <w:r w:rsidRPr="009901FA">
        <w:rPr>
          <w:bCs/>
        </w:rPr>
        <w:t>Two promising sources are (1) degraded land and (2) farmland that becomes available if diets shift away from animal</w:t>
      </w:r>
      <w:r w:rsidRPr="009901FA">
        <w:rPr>
          <w:bCs/>
        </w:rPr>
        <w:noBreakHyphen/>
        <w:t>based protein. Degraded land</w:t>
      </w:r>
      <w:r w:rsidR="00371C55" w:rsidRPr="009901FA">
        <w:rPr>
          <w:bCs/>
        </w:rPr>
        <w:t xml:space="preserve">, </w:t>
      </w:r>
      <w:r w:rsidRPr="009901FA">
        <w:rPr>
          <w:bCs/>
        </w:rPr>
        <w:t xml:space="preserve">whether industrial </w:t>
      </w:r>
      <w:r w:rsidR="00371C55" w:rsidRPr="009901FA">
        <w:rPr>
          <w:bCs/>
        </w:rPr>
        <w:t>sites</w:t>
      </w:r>
      <w:r w:rsidRPr="009901FA">
        <w:rPr>
          <w:bCs/>
        </w:rPr>
        <w:t xml:space="preserve"> </w:t>
      </w:r>
      <w:r w:rsidR="00EA4D1A" w:rsidRPr="009901FA">
        <w:rPr>
          <w:bCs/>
        </w:rPr>
        <w:t>contaminated</w:t>
      </w:r>
      <w:r w:rsidRPr="009901FA">
        <w:rPr>
          <w:bCs/>
        </w:rPr>
        <w:t xml:space="preserve"> with pollutants or farmland degraded by intensive agriculture</w:t>
      </w:r>
      <w:r w:rsidR="00EA4D1A" w:rsidRPr="009901FA">
        <w:rPr>
          <w:bCs/>
        </w:rPr>
        <w:t xml:space="preserve">, </w:t>
      </w:r>
      <w:r w:rsidRPr="009901FA">
        <w:rPr>
          <w:bCs/>
        </w:rPr>
        <w:t xml:space="preserve">offers the larger global area, but its suitability differs by type. Industrial sites often need costly remediation to reduce contaminants before planting, whereas agricultural degradation is a continuum: lightly depleted soils may rebound quickly with organic amendments, cover crops and reduced tillage, while severely eroded or salinized fields demand more intensive restoration. Deploying energy crops on such land can boost productivity and generate revenue that offsets restoration costs, yet three caveats remain: potential competition with future food </w:t>
      </w:r>
      <w:r w:rsidR="00323B86" w:rsidRPr="009901FA">
        <w:rPr>
          <w:bCs/>
        </w:rPr>
        <w:t>supply</w:t>
      </w:r>
      <w:r w:rsidRPr="009901FA">
        <w:rPr>
          <w:bCs/>
        </w:rPr>
        <w:t>, loss of existing soil</w:t>
      </w:r>
      <w:r w:rsidRPr="009901FA">
        <w:rPr>
          <w:bCs/>
        </w:rPr>
        <w:noBreakHyphen/>
        <w:t>carbon stocks during conversion, and the carbon</w:t>
      </w:r>
      <w:r w:rsidRPr="009901FA">
        <w:rPr>
          <w:bCs/>
        </w:rPr>
        <w:noBreakHyphen/>
        <w:t>payback time, which ranges depending on crop, yield and prior land cover. Careful site assessment and lifecycle analysis are therefore essential before treating degraded land as a climate</w:t>
      </w:r>
      <w:r w:rsidRPr="009901FA">
        <w:rPr>
          <w:bCs/>
        </w:rPr>
        <w:noBreakHyphen/>
        <w:t>positive bioenergy resource.</w:t>
      </w:r>
    </w:p>
    <w:p w14:paraId="565428CD" w14:textId="41F3AE8E" w:rsidR="00D359E4" w:rsidRPr="009901FA" w:rsidRDefault="00887D9E" w:rsidP="006749A9">
      <w:pPr>
        <w:rPr>
          <w:lang w:val="en-US"/>
        </w:rPr>
      </w:pPr>
      <w:r w:rsidRPr="009901FA">
        <w:rPr>
          <w:b/>
          <w:bCs/>
        </w:rPr>
        <w:t>Energy</w:t>
      </w:r>
      <w:r w:rsidRPr="009901FA">
        <w:rPr>
          <w:b/>
          <w:bCs/>
        </w:rPr>
        <w:noBreakHyphen/>
        <w:t xml:space="preserve">crop expansion must never jeopardise food security, whether the </w:t>
      </w:r>
      <w:r w:rsidR="0015707C" w:rsidRPr="009901FA">
        <w:rPr>
          <w:b/>
        </w:rPr>
        <w:t xml:space="preserve">land </w:t>
      </w:r>
      <w:r w:rsidRPr="009901FA">
        <w:rPr>
          <w:b/>
          <w:bCs/>
        </w:rPr>
        <w:t xml:space="preserve">involved is </w:t>
      </w:r>
      <w:r w:rsidR="0015707C" w:rsidRPr="009901FA">
        <w:rPr>
          <w:b/>
        </w:rPr>
        <w:t>degraded or not</w:t>
      </w:r>
      <w:r w:rsidR="0015707C" w:rsidRPr="009901FA">
        <w:rPr>
          <w:b/>
          <w:bCs/>
          <w:lang w:val="en-US"/>
        </w:rPr>
        <w:t xml:space="preserve">. </w:t>
      </w:r>
      <w:r w:rsidR="005414D8" w:rsidRPr="009901FA">
        <w:rPr>
          <w:highlight w:val="yellow"/>
          <w:lang w:val="en-US"/>
        </w:rPr>
        <w:fldChar w:fldCharType="begin"/>
      </w:r>
      <w:r w:rsidR="005414D8" w:rsidRPr="009901FA">
        <w:rPr>
          <w:b/>
          <w:bCs/>
          <w:lang w:val="en-US"/>
        </w:rPr>
        <w:instrText xml:space="preserve"> REF _Ref203749580 \h </w:instrText>
      </w:r>
      <w:r w:rsidR="00A247A6">
        <w:rPr>
          <w:highlight w:val="yellow"/>
          <w:lang w:val="en-US"/>
        </w:rPr>
        <w:instrText xml:space="preserve"> \* MERGEFORMAT </w:instrText>
      </w:r>
      <w:r w:rsidR="005414D8" w:rsidRPr="009901FA">
        <w:rPr>
          <w:highlight w:val="yellow"/>
          <w:lang w:val="en-US"/>
        </w:rPr>
      </w:r>
      <w:r w:rsidR="005414D8" w:rsidRPr="009901FA">
        <w:rPr>
          <w:highlight w:val="yellow"/>
          <w:lang w:val="en-US"/>
        </w:rPr>
        <w:fldChar w:fldCharType="separate"/>
      </w:r>
      <w:r w:rsidR="00DE378F" w:rsidRPr="009901FA">
        <w:t xml:space="preserve">Exhibit </w:t>
      </w:r>
      <w:r w:rsidR="00E61394">
        <w:rPr>
          <w:noProof/>
        </w:rPr>
        <w:t>4</w:t>
      </w:r>
      <w:r w:rsidR="00DE378F" w:rsidRPr="009901FA">
        <w:t>.</w:t>
      </w:r>
      <w:r w:rsidR="00DE378F" w:rsidRPr="009901FA">
        <w:rPr>
          <w:noProof/>
        </w:rPr>
        <w:t>19</w:t>
      </w:r>
      <w:r w:rsidR="005414D8" w:rsidRPr="009901FA">
        <w:rPr>
          <w:highlight w:val="yellow"/>
          <w:lang w:val="en-US"/>
        </w:rPr>
        <w:fldChar w:fldCharType="end"/>
      </w:r>
      <w:r w:rsidR="00362148" w:rsidRPr="009901FA">
        <w:rPr>
          <w:lang w:val="en-US"/>
        </w:rPr>
        <w:t xml:space="preserve"> demonstrates that</w:t>
      </w:r>
      <w:r w:rsidR="00D359E4" w:rsidRPr="009901FA">
        <w:rPr>
          <w:lang w:val="en-US"/>
        </w:rPr>
        <w:t xml:space="preserve"> increased food demand is expected to cause the conversion of natural environments into pasture and cropland by 2050. This can be avoided by increased yield of food crops and decreased losses in the food supply chain. If this happens, converting unproductive food land for energy production will not contribute to disruptions in food supply. In regions with higher risk of food insecurity, shifting even low land areas from food to energy production may be very impactful and should be avoided, regardless of efficiency gains. For example, in some African countries, shifting land for energy production has already affected local prices</w:t>
      </w:r>
      <w:r w:rsidR="00D359E4" w:rsidRPr="009901FA">
        <w:rPr>
          <w:rStyle w:val="FootnoteReference"/>
          <w:lang w:val="en-US"/>
        </w:rPr>
        <w:footnoteReference w:id="82"/>
      </w:r>
      <w:r w:rsidR="00D359E4" w:rsidRPr="009901FA">
        <w:rPr>
          <w:lang w:val="en-US"/>
        </w:rPr>
        <w:t>.</w:t>
      </w:r>
    </w:p>
    <w:p w14:paraId="4E8CE9E5" w14:textId="0794D4E5" w:rsidR="005414D8" w:rsidRPr="009901FA" w:rsidRDefault="005414D8" w:rsidP="005414D8">
      <w:pPr>
        <w:pStyle w:val="Caption"/>
        <w:keepNext/>
      </w:pPr>
      <w:bookmarkStart w:id="112" w:name="_Ref203749580"/>
      <w:r w:rsidRPr="009901FA">
        <w:lastRenderedPageBreak/>
        <w:t xml:space="preserve">Exhibit </w:t>
      </w:r>
      <w:r w:rsidR="00E61394">
        <w:t>4</w:t>
      </w:r>
      <w:r w:rsidR="008725B4" w:rsidRPr="009901FA">
        <w:t>.</w:t>
      </w:r>
      <w:fldSimple w:instr=" SEQ Exhibit \* ARABIC \s 2 ">
        <w:r w:rsidR="00DE378F" w:rsidRPr="009901FA">
          <w:rPr>
            <w:noProof/>
          </w:rPr>
          <w:t>19</w:t>
        </w:r>
      </w:fldSimple>
      <w:bookmarkEnd w:id="112"/>
    </w:p>
    <w:p w14:paraId="7B02229A" w14:textId="1308AC06" w:rsidR="00BE4AD9" w:rsidRPr="00A247A6" w:rsidRDefault="00CB6DF3" w:rsidP="006749A9">
      <w:pPr>
        <w:rPr>
          <w:lang w:val="en-US"/>
        </w:rPr>
      </w:pPr>
      <w:r w:rsidRPr="009901FA">
        <w:rPr>
          <w:noProof/>
        </w:rPr>
        <w:drawing>
          <wp:inline distT="0" distB="0" distL="0" distR="0" wp14:anchorId="2B81D8EA" wp14:editId="60FD8F4D">
            <wp:extent cx="6263640" cy="3523615"/>
            <wp:effectExtent l="0" t="0" r="0" b="0"/>
            <wp:docPr id="9974090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409095" name=""/>
                    <pic:cNvPicPr/>
                  </pic:nvPicPr>
                  <pic:blipFill>
                    <a:blip r:embed="rId100">
                      <a:extLst>
                        <a:ext uri="{96DAC541-7B7A-43D3-8B79-37D633B846F1}">
                          <asvg:svgBlip xmlns:asvg="http://schemas.microsoft.com/office/drawing/2016/SVG/main" r:embed="rId101"/>
                        </a:ext>
                      </a:extLst>
                    </a:blip>
                    <a:stretch>
                      <a:fillRect/>
                    </a:stretch>
                  </pic:blipFill>
                  <pic:spPr>
                    <a:xfrm>
                      <a:off x="0" y="0"/>
                      <a:ext cx="6263640" cy="3523615"/>
                    </a:xfrm>
                    <a:prstGeom prst="rect">
                      <a:avLst/>
                    </a:prstGeom>
                  </pic:spPr>
                </pic:pic>
              </a:graphicData>
            </a:graphic>
          </wp:inline>
        </w:drawing>
      </w:r>
    </w:p>
    <w:p w14:paraId="40918A12" w14:textId="77777777" w:rsidR="009E78DB" w:rsidRPr="00A247A6" w:rsidRDefault="009E78DB" w:rsidP="006749A9">
      <w:pPr>
        <w:rPr>
          <w:lang w:val="en-US"/>
        </w:rPr>
      </w:pPr>
    </w:p>
    <w:p w14:paraId="4502B24A" w14:textId="78D1FB87" w:rsidR="009E78DB" w:rsidRPr="009901FA" w:rsidRDefault="001E360C" w:rsidP="006749A9">
      <w:pPr>
        <w:rPr>
          <w:lang w:val="en-US"/>
        </w:rPr>
      </w:pPr>
      <w:r w:rsidRPr="009901FA">
        <w:rPr>
          <w:b/>
        </w:rPr>
        <w:t xml:space="preserve">Natural carbon stocks </w:t>
      </w:r>
      <w:r w:rsidR="009A42D6" w:rsidRPr="009901FA">
        <w:rPr>
          <w:b/>
          <w:bCs/>
        </w:rPr>
        <w:t xml:space="preserve">should </w:t>
      </w:r>
      <w:r w:rsidRPr="009901FA">
        <w:rPr>
          <w:b/>
        </w:rPr>
        <w:t xml:space="preserve">be </w:t>
      </w:r>
      <w:r w:rsidR="009A42D6" w:rsidRPr="009901FA">
        <w:rPr>
          <w:b/>
          <w:bCs/>
        </w:rPr>
        <w:t>factored into decisions about whether to repurpose</w:t>
      </w:r>
      <w:r w:rsidRPr="009901FA">
        <w:rPr>
          <w:b/>
        </w:rPr>
        <w:t xml:space="preserve"> degraded land for energy production</w:t>
      </w:r>
      <w:r w:rsidR="0007025F" w:rsidRPr="009901FA">
        <w:rPr>
          <w:b/>
        </w:rPr>
        <w:t xml:space="preserve"> </w:t>
      </w:r>
      <w:r w:rsidR="009A42D6" w:rsidRPr="009901FA">
        <w:rPr>
          <w:b/>
          <w:bCs/>
        </w:rPr>
        <w:t>or prioritise</w:t>
      </w:r>
      <w:r w:rsidR="0007025F" w:rsidRPr="009901FA">
        <w:rPr>
          <w:b/>
        </w:rPr>
        <w:t xml:space="preserve"> ecosystem </w:t>
      </w:r>
      <w:r w:rsidR="009A42D6" w:rsidRPr="009901FA">
        <w:rPr>
          <w:b/>
          <w:bCs/>
        </w:rPr>
        <w:t>restoration</w:t>
      </w:r>
      <w:r w:rsidRPr="009901FA">
        <w:rPr>
          <w:lang w:val="en-US"/>
        </w:rPr>
        <w:t xml:space="preserve">. </w:t>
      </w:r>
      <w:r w:rsidR="003C4781" w:rsidRPr="009901FA">
        <w:rPr>
          <w:highlight w:val="yellow"/>
          <w:lang w:val="en-US"/>
        </w:rPr>
        <w:fldChar w:fldCharType="begin"/>
      </w:r>
      <w:r w:rsidR="003C4781" w:rsidRPr="009901FA">
        <w:rPr>
          <w:lang w:val="en-US"/>
        </w:rPr>
        <w:instrText xml:space="preserve"> REF _Ref203749900 \h </w:instrText>
      </w:r>
      <w:r w:rsidR="00A247A6">
        <w:rPr>
          <w:highlight w:val="yellow"/>
          <w:lang w:val="en-US"/>
        </w:rPr>
        <w:instrText xml:space="preserve"> \* MERGEFORMAT </w:instrText>
      </w:r>
      <w:r w:rsidR="003C4781" w:rsidRPr="009901FA">
        <w:rPr>
          <w:highlight w:val="yellow"/>
          <w:lang w:val="en-US"/>
        </w:rPr>
      </w:r>
      <w:r w:rsidR="003C4781" w:rsidRPr="009901FA">
        <w:rPr>
          <w:highlight w:val="yellow"/>
          <w:lang w:val="en-US"/>
        </w:rPr>
        <w:fldChar w:fldCharType="separate"/>
      </w:r>
      <w:r w:rsidR="00DE378F" w:rsidRPr="009901FA">
        <w:t xml:space="preserve">Exhibit </w:t>
      </w:r>
      <w:r w:rsidR="00E61394">
        <w:rPr>
          <w:noProof/>
        </w:rPr>
        <w:t>4</w:t>
      </w:r>
      <w:r w:rsidR="00DE378F" w:rsidRPr="009901FA">
        <w:t>.</w:t>
      </w:r>
      <w:r w:rsidR="00DE378F" w:rsidRPr="009901FA">
        <w:rPr>
          <w:noProof/>
        </w:rPr>
        <w:t>20</w:t>
      </w:r>
      <w:r w:rsidR="003C4781" w:rsidRPr="009901FA">
        <w:rPr>
          <w:highlight w:val="yellow"/>
          <w:lang w:val="en-US"/>
        </w:rPr>
        <w:fldChar w:fldCharType="end"/>
      </w:r>
      <w:r w:rsidR="00365A7E" w:rsidRPr="009901FA">
        <w:t xml:space="preserve"> shows that some vegetation types sequester considerably more carbon than others. </w:t>
      </w:r>
      <w:r w:rsidR="0039166F" w:rsidRPr="009901FA">
        <w:t xml:space="preserve">In cold climates, slow microbial activity means </w:t>
      </w:r>
      <w:r w:rsidR="001124BC" w:rsidRPr="009901FA">
        <w:t>biomass decomposes slowly</w:t>
      </w:r>
      <w:r w:rsidR="0039166F" w:rsidRPr="009901FA">
        <w:t>, so a large share of carbon accumulates in the soil. By contrast, warm climates provide ample sunlight that fuels rapid plant growth and stores more carbon in living biomass. Moisture amplifies each trend:</w:t>
      </w:r>
      <w:r w:rsidR="003B4135" w:rsidRPr="009901FA">
        <w:t xml:space="preserve"> wetter </w:t>
      </w:r>
      <w:r w:rsidR="0039166F" w:rsidRPr="009901FA">
        <w:t xml:space="preserve">cold sites slow decomposition </w:t>
      </w:r>
      <w:r w:rsidR="003B4135" w:rsidRPr="009901FA">
        <w:t xml:space="preserve">even </w:t>
      </w:r>
      <w:r w:rsidR="0039166F" w:rsidRPr="009901FA">
        <w:t>further, while wetter warm sites accelerate growth</w:t>
      </w:r>
      <w:r w:rsidR="001124BC" w:rsidRPr="009901FA">
        <w:t>.</w:t>
      </w:r>
      <w:r w:rsidR="004F1A57" w:rsidRPr="009901FA">
        <w:t xml:space="preserve"> </w:t>
      </w:r>
      <w:r w:rsidR="00365A7E" w:rsidRPr="009901FA">
        <w:t xml:space="preserve">Accordingly, when </w:t>
      </w:r>
      <w:r w:rsidRPr="009901FA">
        <w:t xml:space="preserve">degraded land originally </w:t>
      </w:r>
      <w:r w:rsidR="00365A7E" w:rsidRPr="009901FA">
        <w:t xml:space="preserve">supported </w:t>
      </w:r>
      <w:r w:rsidRPr="009901FA">
        <w:t>vegetation with high carbon</w:t>
      </w:r>
      <w:r w:rsidR="00365A7E" w:rsidRPr="009901FA">
        <w:noBreakHyphen/>
        <w:t>sequestration capacity, restoring that</w:t>
      </w:r>
      <w:r w:rsidRPr="009901FA">
        <w:t xml:space="preserve"> ecosystem </w:t>
      </w:r>
      <w:r w:rsidR="00365A7E" w:rsidRPr="009901FA">
        <w:t>should take precedence</w:t>
      </w:r>
      <w:r w:rsidRPr="009901FA">
        <w:t xml:space="preserve"> over energy production, as it </w:t>
      </w:r>
      <w:r w:rsidR="00365A7E" w:rsidRPr="009901FA">
        <w:t>is likely to deliver greater long</w:t>
      </w:r>
      <w:r w:rsidR="00365A7E" w:rsidRPr="009901FA">
        <w:noBreakHyphen/>
        <w:t>term carbon</w:t>
      </w:r>
      <w:r w:rsidR="00365A7E" w:rsidRPr="009901FA">
        <w:noBreakHyphen/>
        <w:t xml:space="preserve">sink </w:t>
      </w:r>
      <w:r w:rsidRPr="009901FA">
        <w:t>benefits.</w:t>
      </w:r>
    </w:p>
    <w:p w14:paraId="32C3048B" w14:textId="0C3D4E77" w:rsidR="003C4781" w:rsidRPr="009901FA" w:rsidRDefault="003C4781" w:rsidP="003C4781">
      <w:pPr>
        <w:pStyle w:val="Caption"/>
        <w:keepNext/>
      </w:pPr>
      <w:bookmarkStart w:id="113" w:name="_Ref203749900"/>
      <w:r w:rsidRPr="009901FA">
        <w:lastRenderedPageBreak/>
        <w:t xml:space="preserve">Exhibit </w:t>
      </w:r>
      <w:r w:rsidR="00E61394">
        <w:t>4</w:t>
      </w:r>
      <w:r w:rsidR="008725B4" w:rsidRPr="009901FA">
        <w:t>.</w:t>
      </w:r>
      <w:fldSimple w:instr=" SEQ Exhibit \* ARABIC \s 2 ">
        <w:r w:rsidR="00DE378F" w:rsidRPr="009901FA">
          <w:rPr>
            <w:noProof/>
          </w:rPr>
          <w:t>20</w:t>
        </w:r>
      </w:fldSimple>
      <w:bookmarkEnd w:id="113"/>
    </w:p>
    <w:p w14:paraId="45EE97CE" w14:textId="258FB42B" w:rsidR="00E430E1" w:rsidRPr="00A247A6" w:rsidRDefault="00604233" w:rsidP="006749A9">
      <w:pPr>
        <w:rPr>
          <w:lang w:val="en-US"/>
        </w:rPr>
      </w:pPr>
      <w:r w:rsidRPr="009901FA">
        <w:rPr>
          <w:noProof/>
        </w:rPr>
        <w:drawing>
          <wp:inline distT="0" distB="0" distL="0" distR="0" wp14:anchorId="63DCB25D" wp14:editId="5C8607F0">
            <wp:extent cx="6263640" cy="3523615"/>
            <wp:effectExtent l="0" t="0" r="0" b="0"/>
            <wp:docPr id="449128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12815" name=""/>
                    <pic:cNvPicPr/>
                  </pic:nvPicPr>
                  <pic:blipFill>
                    <a:blip r:embed="rId102">
                      <a:extLst>
                        <a:ext uri="{96DAC541-7B7A-43D3-8B79-37D633B846F1}">
                          <asvg:svgBlip xmlns:asvg="http://schemas.microsoft.com/office/drawing/2016/SVG/main" r:embed="rId103"/>
                        </a:ext>
                      </a:extLst>
                    </a:blip>
                    <a:stretch>
                      <a:fillRect/>
                    </a:stretch>
                  </pic:blipFill>
                  <pic:spPr>
                    <a:xfrm>
                      <a:off x="0" y="0"/>
                      <a:ext cx="6263640" cy="3523615"/>
                    </a:xfrm>
                    <a:prstGeom prst="rect">
                      <a:avLst/>
                    </a:prstGeom>
                  </pic:spPr>
                </pic:pic>
              </a:graphicData>
            </a:graphic>
          </wp:inline>
        </w:drawing>
      </w:r>
    </w:p>
    <w:p w14:paraId="65991B37" w14:textId="10132150" w:rsidR="00AB6CEE" w:rsidRPr="009901FA" w:rsidRDefault="00CE42D0">
      <w:pPr>
        <w:rPr>
          <w:lang w:val="en-US"/>
        </w:rPr>
      </w:pPr>
      <w:r w:rsidRPr="009901FA">
        <w:rPr>
          <w:b/>
        </w:rPr>
        <w:t xml:space="preserve">A final consideration is the time </w:t>
      </w:r>
      <w:r w:rsidR="007D0B04" w:rsidRPr="009901FA">
        <w:rPr>
          <w:b/>
          <w:bCs/>
        </w:rPr>
        <w:t>required</w:t>
      </w:r>
      <w:r w:rsidRPr="009901FA">
        <w:rPr>
          <w:b/>
        </w:rPr>
        <w:t xml:space="preserve"> for </w:t>
      </w:r>
      <w:r w:rsidR="007D0B04" w:rsidRPr="009901FA">
        <w:rPr>
          <w:b/>
          <w:bCs/>
        </w:rPr>
        <w:t>an</w:t>
      </w:r>
      <w:r w:rsidRPr="009901FA">
        <w:rPr>
          <w:b/>
        </w:rPr>
        <w:t xml:space="preserve"> energy crop to sequester </w:t>
      </w:r>
      <w:r w:rsidR="007D0B04" w:rsidRPr="009901FA">
        <w:rPr>
          <w:b/>
          <w:bCs/>
        </w:rPr>
        <w:t>as much</w:t>
      </w:r>
      <w:r w:rsidRPr="009901FA">
        <w:rPr>
          <w:b/>
        </w:rPr>
        <w:t xml:space="preserve"> carbon as the vegetation</w:t>
      </w:r>
      <w:r w:rsidR="007D0B04" w:rsidRPr="009901FA">
        <w:rPr>
          <w:b/>
          <w:bCs/>
        </w:rPr>
        <w:t xml:space="preserve"> it replaces.</w:t>
      </w:r>
      <w:r w:rsidRPr="009901FA">
        <w:t xml:space="preserve"> Replacing natural ecosystems </w:t>
      </w:r>
      <w:r w:rsidR="007D0B04" w:rsidRPr="009901FA">
        <w:t>with energy crops generally involves</w:t>
      </w:r>
      <w:r w:rsidRPr="009901FA">
        <w:t xml:space="preserve"> long </w:t>
      </w:r>
      <w:r w:rsidR="007D0B04" w:rsidRPr="009901FA">
        <w:t>carbon</w:t>
      </w:r>
      <w:r w:rsidR="007D0B04" w:rsidRPr="009901FA">
        <w:noBreakHyphen/>
      </w:r>
      <w:r w:rsidRPr="009901FA">
        <w:t xml:space="preserve">payback </w:t>
      </w:r>
      <w:r w:rsidR="007D0B04" w:rsidRPr="009901FA">
        <w:t>periods</w:t>
      </w:r>
      <w:r w:rsidRPr="009901FA">
        <w:t xml:space="preserve"> and should </w:t>
      </w:r>
      <w:r w:rsidR="007D0B04" w:rsidRPr="009901FA">
        <w:t xml:space="preserve">therefore </w:t>
      </w:r>
      <w:r w:rsidRPr="009901FA">
        <w:t xml:space="preserve">be avoided, as demonstrated </w:t>
      </w:r>
      <w:r w:rsidR="007D0B04" w:rsidRPr="009901FA">
        <w:t>in</w:t>
      </w:r>
      <w:r w:rsidRPr="009901FA">
        <w:t xml:space="preserve"> </w:t>
      </w:r>
      <w:r w:rsidR="003C4781" w:rsidRPr="009901FA">
        <w:rPr>
          <w:highlight w:val="yellow"/>
        </w:rPr>
        <w:fldChar w:fldCharType="begin"/>
      </w:r>
      <w:r w:rsidR="003C4781" w:rsidRPr="009901FA">
        <w:instrText xml:space="preserve"> REF _Ref203749917 \h </w:instrText>
      </w:r>
      <w:r w:rsidR="00A247A6">
        <w:rPr>
          <w:highlight w:val="yellow"/>
        </w:rPr>
        <w:instrText xml:space="preserve"> \* MERGEFORMAT </w:instrText>
      </w:r>
      <w:r w:rsidR="003C4781" w:rsidRPr="009901FA">
        <w:rPr>
          <w:highlight w:val="yellow"/>
        </w:rPr>
      </w:r>
      <w:r w:rsidR="003C4781" w:rsidRPr="009901FA">
        <w:rPr>
          <w:highlight w:val="yellow"/>
        </w:rPr>
        <w:fldChar w:fldCharType="separate"/>
      </w:r>
      <w:r w:rsidR="00DE378F" w:rsidRPr="009901FA">
        <w:t xml:space="preserve">Exhibit </w:t>
      </w:r>
      <w:r w:rsidR="00E61394">
        <w:rPr>
          <w:noProof/>
        </w:rPr>
        <w:t>4</w:t>
      </w:r>
      <w:r w:rsidR="00DE378F" w:rsidRPr="009901FA">
        <w:t>.</w:t>
      </w:r>
      <w:r w:rsidR="00DE378F" w:rsidRPr="009901FA">
        <w:rPr>
          <w:noProof/>
        </w:rPr>
        <w:t>21</w:t>
      </w:r>
      <w:r w:rsidR="003C4781" w:rsidRPr="009901FA">
        <w:rPr>
          <w:highlight w:val="yellow"/>
        </w:rPr>
        <w:fldChar w:fldCharType="end"/>
      </w:r>
      <w:r w:rsidRPr="009901FA">
        <w:t xml:space="preserve">. </w:t>
      </w:r>
      <w:r w:rsidR="007D0B04" w:rsidRPr="009901FA">
        <w:t>However, certain</w:t>
      </w:r>
      <w:r w:rsidRPr="009901FA">
        <w:t xml:space="preserve"> biofuels </w:t>
      </w:r>
      <w:r w:rsidR="007D0B04" w:rsidRPr="009901FA">
        <w:t>can achieve</w:t>
      </w:r>
      <w:r w:rsidRPr="009901FA">
        <w:t xml:space="preserve"> relatively short </w:t>
      </w:r>
      <w:r w:rsidR="007D0B04" w:rsidRPr="009901FA">
        <w:t>carbon</w:t>
      </w:r>
      <w:r w:rsidR="007D0B04" w:rsidRPr="009901FA">
        <w:noBreakHyphen/>
      </w:r>
      <w:r w:rsidRPr="009901FA">
        <w:t xml:space="preserve">payback </w:t>
      </w:r>
      <w:r w:rsidR="007D0B04" w:rsidRPr="009901FA">
        <w:t xml:space="preserve">periods </w:t>
      </w:r>
      <w:r w:rsidRPr="009901FA">
        <w:t xml:space="preserve">when </w:t>
      </w:r>
      <w:r w:rsidR="007D0B04" w:rsidRPr="009901FA">
        <w:t>grown on abandoned</w:t>
      </w:r>
      <w:r w:rsidRPr="009901FA">
        <w:t xml:space="preserve"> cropland, </w:t>
      </w:r>
      <w:r w:rsidR="007D0B04" w:rsidRPr="009901FA">
        <w:t>degraded</w:t>
      </w:r>
      <w:r w:rsidRPr="009901FA">
        <w:t xml:space="preserve"> pasture, </w:t>
      </w:r>
      <w:r w:rsidR="007D0B04" w:rsidRPr="009901FA">
        <w:t>fallow</w:t>
      </w:r>
      <w:r w:rsidRPr="009901FA">
        <w:t xml:space="preserve"> land, </w:t>
      </w:r>
      <w:r w:rsidR="007D0B04" w:rsidRPr="009901FA">
        <w:t>grassland, or marginal</w:t>
      </w:r>
      <w:r w:rsidRPr="009901FA">
        <w:t xml:space="preserve"> cropland. </w:t>
      </w:r>
      <w:r w:rsidR="00AB6CEE" w:rsidRPr="009901FA">
        <w:t>This spectrum of land</w:t>
      </w:r>
      <w:r w:rsidR="00AB6CEE" w:rsidRPr="00A247A6">
        <w:rPr>
          <w:rFonts w:ascii="Arial" w:hAnsi="Arial" w:cs="Arial"/>
        </w:rPr>
        <w:t> </w:t>
      </w:r>
      <w:r w:rsidR="00AB6CEE" w:rsidRPr="009901FA">
        <w:t>types highlights that agricultural degradation is a continuum: soils too depleted for efficient row</w:t>
      </w:r>
      <w:r w:rsidR="00AB6CEE" w:rsidRPr="009901FA">
        <w:noBreakHyphen/>
        <w:t>crop cultivation may still support low</w:t>
      </w:r>
      <w:r w:rsidR="00AB6CEE" w:rsidRPr="009901FA">
        <w:noBreakHyphen/>
        <w:t>intensity grazing</w:t>
      </w:r>
      <w:r w:rsidR="00E44AED" w:rsidRPr="009901FA">
        <w:t xml:space="preserve">. </w:t>
      </w:r>
      <w:r w:rsidR="007D0B04" w:rsidRPr="009901FA">
        <w:t>Selecting the right land</w:t>
      </w:r>
      <w:r w:rsidR="007D0B04" w:rsidRPr="009901FA">
        <w:rPr>
          <w:rFonts w:cs="Century Gothic"/>
        </w:rPr>
        <w:t>–</w:t>
      </w:r>
      <w:r w:rsidR="007D0B04" w:rsidRPr="009901FA">
        <w:t>crop combination can thus enhance long</w:t>
      </w:r>
      <w:r w:rsidR="007D0B04" w:rsidRPr="009901FA">
        <w:noBreakHyphen/>
        <w:t>term carbon sequestration.</w:t>
      </w:r>
    </w:p>
    <w:p w14:paraId="0DED8A0D" w14:textId="7E2A8FCE" w:rsidR="003C4781" w:rsidRPr="009901FA" w:rsidRDefault="003C4781" w:rsidP="003C4781">
      <w:pPr>
        <w:pStyle w:val="Caption"/>
        <w:keepNext/>
      </w:pPr>
      <w:bookmarkStart w:id="114" w:name="_Ref203749917"/>
      <w:r w:rsidRPr="009901FA">
        <w:lastRenderedPageBreak/>
        <w:t xml:space="preserve">Exhibit </w:t>
      </w:r>
      <w:r w:rsidR="00E61394">
        <w:t>4</w:t>
      </w:r>
      <w:r w:rsidR="008725B4" w:rsidRPr="009901FA">
        <w:t>.</w:t>
      </w:r>
      <w:fldSimple w:instr=" SEQ Exhibit \* ARABIC \s 2 ">
        <w:r w:rsidR="00DE378F" w:rsidRPr="009901FA">
          <w:rPr>
            <w:noProof/>
          </w:rPr>
          <w:t>21</w:t>
        </w:r>
      </w:fldSimple>
      <w:bookmarkEnd w:id="114"/>
    </w:p>
    <w:p w14:paraId="2274A697" w14:textId="73FC79D6" w:rsidR="00B06388" w:rsidRPr="00A247A6" w:rsidRDefault="00D93C49" w:rsidP="006749A9">
      <w:pPr>
        <w:rPr>
          <w:lang w:val="en-US"/>
        </w:rPr>
      </w:pPr>
      <w:r w:rsidRPr="009901FA">
        <w:rPr>
          <w:noProof/>
        </w:rPr>
        <w:drawing>
          <wp:inline distT="0" distB="0" distL="0" distR="0" wp14:anchorId="37DB0D9D" wp14:editId="493B10A8">
            <wp:extent cx="6263640" cy="3523615"/>
            <wp:effectExtent l="0" t="0" r="0" b="0"/>
            <wp:docPr id="184275206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752062" name=""/>
                    <pic:cNvPicPr/>
                  </pic:nvPicPr>
                  <pic:blipFill>
                    <a:blip r:embed="rId104">
                      <a:extLst>
                        <a:ext uri="{96DAC541-7B7A-43D3-8B79-37D633B846F1}">
                          <asvg:svgBlip xmlns:asvg="http://schemas.microsoft.com/office/drawing/2016/SVG/main" r:embed="rId105"/>
                        </a:ext>
                      </a:extLst>
                    </a:blip>
                    <a:stretch>
                      <a:fillRect/>
                    </a:stretch>
                  </pic:blipFill>
                  <pic:spPr>
                    <a:xfrm>
                      <a:off x="0" y="0"/>
                      <a:ext cx="6263640" cy="3523615"/>
                    </a:xfrm>
                    <a:prstGeom prst="rect">
                      <a:avLst/>
                    </a:prstGeom>
                  </pic:spPr>
                </pic:pic>
              </a:graphicData>
            </a:graphic>
          </wp:inline>
        </w:drawing>
      </w:r>
    </w:p>
    <w:p w14:paraId="386EEFA7" w14:textId="28B6BFB9" w:rsidR="00722F2A" w:rsidRPr="009901FA" w:rsidRDefault="006877E8">
      <w:pPr>
        <w:rPr>
          <w:lang w:val="en-US"/>
        </w:rPr>
      </w:pPr>
      <w:r w:rsidRPr="009901FA">
        <w:rPr>
          <w:b/>
        </w:rPr>
        <w:t>A</w:t>
      </w:r>
      <w:r w:rsidR="00B170DE" w:rsidRPr="009901FA">
        <w:rPr>
          <w:b/>
        </w:rPr>
        <w:t xml:space="preserve"> review of </w:t>
      </w:r>
      <w:r w:rsidR="003175B2" w:rsidRPr="009901FA">
        <w:rPr>
          <w:b/>
          <w:bCs/>
        </w:rPr>
        <w:t xml:space="preserve">studies on using </w:t>
      </w:r>
      <w:r w:rsidR="0063070A" w:rsidRPr="009901FA">
        <w:rPr>
          <w:b/>
        </w:rPr>
        <w:t xml:space="preserve">degraded land </w:t>
      </w:r>
      <w:r w:rsidR="00F34557" w:rsidRPr="009901FA">
        <w:rPr>
          <w:b/>
        </w:rPr>
        <w:t>for energy production</w:t>
      </w:r>
      <w:r w:rsidR="00310792" w:rsidRPr="009901FA">
        <w:rPr>
          <w:b/>
        </w:rPr>
        <w:t xml:space="preserve"> </w:t>
      </w:r>
      <w:r w:rsidR="003175B2" w:rsidRPr="009901FA">
        <w:rPr>
          <w:b/>
          <w:bCs/>
        </w:rPr>
        <w:t>indicates</w:t>
      </w:r>
      <w:r w:rsidR="00F34557" w:rsidRPr="009901FA">
        <w:rPr>
          <w:b/>
        </w:rPr>
        <w:t xml:space="preserve"> that </w:t>
      </w:r>
      <w:r w:rsidR="004C5C31" w:rsidRPr="009901FA">
        <w:rPr>
          <w:b/>
        </w:rPr>
        <w:t xml:space="preserve">the </w:t>
      </w:r>
      <w:r w:rsidR="003175B2" w:rsidRPr="009901FA">
        <w:rPr>
          <w:b/>
          <w:bCs/>
        </w:rPr>
        <w:t>ETC’s 30</w:t>
      </w:r>
      <w:r w:rsidR="003175B2" w:rsidRPr="00A247A6">
        <w:rPr>
          <w:rFonts w:ascii="Arial" w:hAnsi="Arial" w:cs="Arial"/>
          <w:b/>
          <w:bCs/>
        </w:rPr>
        <w:t> </w:t>
      </w:r>
      <w:r w:rsidR="003175B2" w:rsidRPr="009901FA">
        <w:rPr>
          <w:b/>
          <w:bCs/>
        </w:rPr>
        <w:t>Mha</w:t>
      </w:r>
      <w:r w:rsidR="00B424F5" w:rsidRPr="009901FA">
        <w:rPr>
          <w:b/>
        </w:rPr>
        <w:t xml:space="preserve"> estimate </w:t>
      </w:r>
      <w:r w:rsidR="003175B2" w:rsidRPr="009901FA">
        <w:rPr>
          <w:b/>
          <w:bCs/>
        </w:rPr>
        <w:t>is conservative and reflects a prudent lower</w:t>
      </w:r>
      <w:r w:rsidR="003175B2" w:rsidRPr="009901FA">
        <w:rPr>
          <w:b/>
          <w:bCs/>
        </w:rPr>
        <w:noBreakHyphen/>
        <w:t>bound scenario</w:t>
      </w:r>
      <w:r w:rsidR="00CD1998" w:rsidRPr="009901FA">
        <w:rPr>
          <w:b/>
          <w:bCs/>
          <w:lang w:val="en-US"/>
        </w:rPr>
        <w:t>.</w:t>
      </w:r>
      <w:r w:rsidR="00CD1998" w:rsidRPr="009901FA">
        <w:rPr>
          <w:lang w:val="en-US"/>
        </w:rPr>
        <w:t xml:space="preserve"> </w:t>
      </w:r>
      <w:r w:rsidR="00C21B42" w:rsidRPr="009901FA">
        <w:rPr>
          <w:lang w:val="en-US"/>
        </w:rPr>
        <w:t xml:space="preserve">Global </w:t>
      </w:r>
      <w:r w:rsidR="001330DE" w:rsidRPr="009901FA">
        <w:rPr>
          <w:lang w:val="en-US"/>
        </w:rPr>
        <w:t xml:space="preserve">degraded land </w:t>
      </w:r>
      <w:r w:rsidR="002514E9" w:rsidRPr="009901FA">
        <w:rPr>
          <w:lang w:val="en-US"/>
        </w:rPr>
        <w:t xml:space="preserve">estimates lie around </w:t>
      </w:r>
      <w:r w:rsidR="0049415D" w:rsidRPr="009901FA">
        <w:rPr>
          <w:lang w:val="en-US"/>
        </w:rPr>
        <w:t>1,500 Mha</w:t>
      </w:r>
      <w:r w:rsidR="00E7404C" w:rsidRPr="009901FA">
        <w:rPr>
          <w:lang w:val="en-US"/>
        </w:rPr>
        <w:t xml:space="preserve">, </w:t>
      </w:r>
      <w:r w:rsidR="00025144" w:rsidRPr="009901FA">
        <w:rPr>
          <w:lang w:val="en-US"/>
        </w:rPr>
        <w:t xml:space="preserve">with sources estimating </w:t>
      </w:r>
      <w:r w:rsidR="00284A38" w:rsidRPr="009901FA">
        <w:rPr>
          <w:lang w:val="en-US"/>
        </w:rPr>
        <w:t xml:space="preserve">a range of 152 </w:t>
      </w:r>
      <w:r w:rsidR="007A2B26" w:rsidRPr="009901FA">
        <w:rPr>
          <w:lang w:val="en-US"/>
        </w:rPr>
        <w:t>–</w:t>
      </w:r>
      <w:r w:rsidR="00284A38" w:rsidRPr="009901FA">
        <w:rPr>
          <w:lang w:val="en-US"/>
        </w:rPr>
        <w:t xml:space="preserve"> </w:t>
      </w:r>
      <w:r w:rsidR="007A2B26" w:rsidRPr="009901FA">
        <w:rPr>
          <w:lang w:val="en-US"/>
        </w:rPr>
        <w:t xml:space="preserve">1,411 </w:t>
      </w:r>
      <w:r w:rsidR="00BD1F9B" w:rsidRPr="009901FA">
        <w:rPr>
          <w:lang w:val="en-US"/>
        </w:rPr>
        <w:t>Mha used for energy production</w:t>
      </w:r>
      <w:r w:rsidR="00950A03" w:rsidRPr="009901FA">
        <w:rPr>
          <w:lang w:val="en-US"/>
        </w:rPr>
        <w:t xml:space="preserve">. </w:t>
      </w:r>
      <w:r w:rsidR="004D7EF2" w:rsidRPr="009901FA">
        <w:rPr>
          <w:lang w:val="en-US"/>
        </w:rPr>
        <w:t>The upper bound effectively assumes that every hectare of degraded land is converted, an unrealistic scenario that overlooks constraints such as urban degradation.</w:t>
      </w:r>
      <w:r w:rsidR="00E65EC2" w:rsidRPr="009901FA">
        <w:rPr>
          <w:lang w:val="en-US"/>
        </w:rPr>
        <w:t xml:space="preserve"> </w:t>
      </w:r>
      <w:r w:rsidR="00E03E44" w:rsidRPr="009901FA">
        <w:rPr>
          <w:lang w:val="en-US"/>
        </w:rPr>
        <w:t xml:space="preserve">The lower bound </w:t>
      </w:r>
      <w:r w:rsidR="003E759E" w:rsidRPr="009901FA">
        <w:rPr>
          <w:lang w:val="en-US"/>
        </w:rPr>
        <w:t xml:space="preserve">is </w:t>
      </w:r>
      <w:r w:rsidR="009651FB" w:rsidRPr="009901FA">
        <w:rPr>
          <w:lang w:val="en-US"/>
        </w:rPr>
        <w:t xml:space="preserve">5x higher than the previous estimate from </w:t>
      </w:r>
      <w:r w:rsidR="00F8141A" w:rsidRPr="009901FA">
        <w:rPr>
          <w:lang w:val="en-US"/>
        </w:rPr>
        <w:t xml:space="preserve">ETC, while the average </w:t>
      </w:r>
      <w:r w:rsidR="003175B2" w:rsidRPr="009901FA">
        <w:rPr>
          <w:lang w:val="en-US"/>
        </w:rPr>
        <w:t xml:space="preserve">of the lower bounds </w:t>
      </w:r>
      <w:r w:rsidR="00F8141A" w:rsidRPr="009901FA">
        <w:rPr>
          <w:lang w:val="en-US"/>
        </w:rPr>
        <w:t>from the sources, which include IPPC and IIASA analysis</w:t>
      </w:r>
      <w:r w:rsidR="00BA54C0" w:rsidRPr="009901FA">
        <w:rPr>
          <w:lang w:val="en-US"/>
        </w:rPr>
        <w:t xml:space="preserve">, yield </w:t>
      </w:r>
      <w:r w:rsidR="003175B2" w:rsidRPr="009901FA">
        <w:rPr>
          <w:lang w:val="en-US"/>
        </w:rPr>
        <w:t>~</w:t>
      </w:r>
      <w:r w:rsidR="00BA54C0" w:rsidRPr="009901FA">
        <w:rPr>
          <w:lang w:val="en-US"/>
        </w:rPr>
        <w:t>2</w:t>
      </w:r>
      <w:r w:rsidR="003175B2" w:rsidRPr="009901FA">
        <w:rPr>
          <w:lang w:val="en-US"/>
        </w:rPr>
        <w:t>47</w:t>
      </w:r>
      <w:r w:rsidR="00BA54C0" w:rsidRPr="009901FA">
        <w:rPr>
          <w:lang w:val="en-US"/>
        </w:rPr>
        <w:t xml:space="preserve"> Mha. </w:t>
      </w:r>
      <w:r w:rsidR="009D0B52" w:rsidRPr="009901FA">
        <w:t>To ensure a conservative estimate, 200 Mha</w:t>
      </w:r>
      <w:r w:rsidR="005874F5" w:rsidRPr="009901FA">
        <w:t xml:space="preserve"> is </w:t>
      </w:r>
      <w:r w:rsidR="009D0B52" w:rsidRPr="009901FA">
        <w:t>now set</w:t>
      </w:r>
      <w:r w:rsidR="005874F5" w:rsidRPr="009901FA">
        <w:t xml:space="preserve"> as the potential maximum </w:t>
      </w:r>
      <w:r w:rsidR="009D0B52" w:rsidRPr="009901FA">
        <w:t xml:space="preserve">area available </w:t>
      </w:r>
      <w:r w:rsidR="005874F5" w:rsidRPr="009901FA">
        <w:t xml:space="preserve">for </w:t>
      </w:r>
      <w:r w:rsidR="003C352D" w:rsidRPr="009901FA">
        <w:t>energy production on degraded land</w:t>
      </w:r>
      <w:r w:rsidR="003C352D" w:rsidRPr="009901FA">
        <w:rPr>
          <w:lang w:val="en-US"/>
        </w:rPr>
        <w:t xml:space="preserve">. </w:t>
      </w:r>
      <w:r w:rsidR="009022E1" w:rsidRPr="009901FA">
        <w:rPr>
          <w:lang w:val="en-US"/>
        </w:rPr>
        <w:t xml:space="preserve">A </w:t>
      </w:r>
      <w:r w:rsidR="00B77268" w:rsidRPr="009901FA">
        <w:rPr>
          <w:lang w:val="en-US"/>
        </w:rPr>
        <w:t xml:space="preserve">summary of the reviewed literature is presented in </w:t>
      </w:r>
      <w:r w:rsidR="006F5C80" w:rsidRPr="009901FA">
        <w:rPr>
          <w:highlight w:val="yellow"/>
          <w:lang w:val="en-US"/>
        </w:rPr>
        <w:fldChar w:fldCharType="begin"/>
      </w:r>
      <w:r w:rsidR="006F5C80" w:rsidRPr="009901FA">
        <w:rPr>
          <w:lang w:val="en-US"/>
        </w:rPr>
        <w:instrText xml:space="preserve"> REF _Ref203749941 \h </w:instrText>
      </w:r>
      <w:r w:rsidR="00A247A6">
        <w:rPr>
          <w:highlight w:val="yellow"/>
          <w:lang w:val="en-US"/>
        </w:rPr>
        <w:instrText xml:space="preserve"> \* MERGEFORMAT </w:instrText>
      </w:r>
      <w:r w:rsidR="006F5C80" w:rsidRPr="009901FA">
        <w:rPr>
          <w:highlight w:val="yellow"/>
          <w:lang w:val="en-US"/>
        </w:rPr>
      </w:r>
      <w:r w:rsidR="006F5C80" w:rsidRPr="009901FA">
        <w:rPr>
          <w:highlight w:val="yellow"/>
          <w:lang w:val="en-US"/>
        </w:rPr>
        <w:fldChar w:fldCharType="separate"/>
      </w:r>
      <w:r w:rsidR="00DE378F" w:rsidRPr="009901FA">
        <w:t xml:space="preserve">Exhibit </w:t>
      </w:r>
      <w:r w:rsidR="00E61394">
        <w:rPr>
          <w:noProof/>
        </w:rPr>
        <w:t>4</w:t>
      </w:r>
      <w:r w:rsidR="00DE378F" w:rsidRPr="009901FA">
        <w:t>.</w:t>
      </w:r>
      <w:r w:rsidR="00DE378F" w:rsidRPr="009901FA">
        <w:rPr>
          <w:noProof/>
        </w:rPr>
        <w:t>22</w:t>
      </w:r>
      <w:r w:rsidR="006F5C80" w:rsidRPr="009901FA">
        <w:rPr>
          <w:highlight w:val="yellow"/>
          <w:lang w:val="en-US"/>
        </w:rPr>
        <w:fldChar w:fldCharType="end"/>
      </w:r>
      <w:r w:rsidR="00B77268" w:rsidRPr="009901FA">
        <w:rPr>
          <w:lang w:val="en-US"/>
        </w:rPr>
        <w:t xml:space="preserve">. </w:t>
      </w:r>
    </w:p>
    <w:p w14:paraId="789AEEC5" w14:textId="6184A2E2" w:rsidR="006F5C80" w:rsidRPr="009901FA" w:rsidRDefault="006F5C80" w:rsidP="006F5C80">
      <w:pPr>
        <w:pStyle w:val="Caption"/>
        <w:keepNext/>
      </w:pPr>
      <w:bookmarkStart w:id="115" w:name="_Ref203749941"/>
      <w:r w:rsidRPr="009901FA">
        <w:lastRenderedPageBreak/>
        <w:t xml:space="preserve">Exhibit </w:t>
      </w:r>
      <w:r w:rsidR="00E61394">
        <w:t>4</w:t>
      </w:r>
      <w:r w:rsidR="008725B4" w:rsidRPr="009901FA">
        <w:t>.</w:t>
      </w:r>
      <w:fldSimple w:instr=" SEQ Exhibit \* ARABIC \s 2 ">
        <w:r w:rsidR="00DE378F" w:rsidRPr="009901FA">
          <w:rPr>
            <w:noProof/>
          </w:rPr>
          <w:t>22</w:t>
        </w:r>
      </w:fldSimple>
      <w:bookmarkEnd w:id="115"/>
    </w:p>
    <w:p w14:paraId="69A11963" w14:textId="4EBC2D8F" w:rsidR="00B77268" w:rsidRPr="00A247A6" w:rsidRDefault="005D0D5A" w:rsidP="006749A9">
      <w:pPr>
        <w:rPr>
          <w:lang w:val="en-US"/>
        </w:rPr>
      </w:pPr>
      <w:r w:rsidRPr="009901FA">
        <w:rPr>
          <w:noProof/>
        </w:rPr>
        <w:drawing>
          <wp:inline distT="0" distB="0" distL="0" distR="0" wp14:anchorId="0ACAC6F6" wp14:editId="520277A0">
            <wp:extent cx="6263640" cy="3523615"/>
            <wp:effectExtent l="0" t="0" r="0" b="0"/>
            <wp:docPr id="101213724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137246" name=""/>
                    <pic:cNvPicPr/>
                  </pic:nvPicPr>
                  <pic:blipFill>
                    <a:blip r:embed="rId106">
                      <a:extLst>
                        <a:ext uri="{96DAC541-7B7A-43D3-8B79-37D633B846F1}">
                          <asvg:svgBlip xmlns:asvg="http://schemas.microsoft.com/office/drawing/2016/SVG/main" r:embed="rId107"/>
                        </a:ext>
                      </a:extLst>
                    </a:blip>
                    <a:stretch>
                      <a:fillRect/>
                    </a:stretch>
                  </pic:blipFill>
                  <pic:spPr>
                    <a:xfrm>
                      <a:off x="0" y="0"/>
                      <a:ext cx="6263640" cy="3523615"/>
                    </a:xfrm>
                    <a:prstGeom prst="rect">
                      <a:avLst/>
                    </a:prstGeom>
                  </pic:spPr>
                </pic:pic>
              </a:graphicData>
            </a:graphic>
          </wp:inline>
        </w:drawing>
      </w:r>
    </w:p>
    <w:p w14:paraId="66987F7E" w14:textId="48FBCF16" w:rsidR="00733F07" w:rsidRPr="009901FA" w:rsidRDefault="00733F07" w:rsidP="00CA46DA">
      <w:pPr>
        <w:rPr>
          <w:lang w:val="en-US"/>
        </w:rPr>
      </w:pPr>
      <w:r w:rsidRPr="009901FA">
        <w:rPr>
          <w:b/>
          <w:bCs/>
          <w:lang w:val="en-US"/>
        </w:rPr>
        <w:t>Using a standard reference crop such as switchgrass (~</w:t>
      </w:r>
      <w:r w:rsidRPr="00A247A6">
        <w:rPr>
          <w:rFonts w:ascii="Arial" w:hAnsi="Arial" w:cs="Arial"/>
          <w:b/>
          <w:bCs/>
          <w:lang w:val="en-US"/>
        </w:rPr>
        <w:t> </w:t>
      </w:r>
      <w:r w:rsidRPr="009901FA">
        <w:rPr>
          <w:b/>
          <w:bCs/>
          <w:lang w:val="en-US"/>
        </w:rPr>
        <w:t>180</w:t>
      </w:r>
      <w:r w:rsidRPr="00A247A6">
        <w:rPr>
          <w:rFonts w:ascii="Arial" w:hAnsi="Arial" w:cs="Arial"/>
          <w:b/>
          <w:bCs/>
          <w:lang w:val="en-US"/>
        </w:rPr>
        <w:t> </w:t>
      </w:r>
      <w:r w:rsidRPr="009901FA">
        <w:rPr>
          <w:b/>
          <w:bCs/>
          <w:lang w:val="en-US"/>
        </w:rPr>
        <w:t>GJ</w:t>
      </w:r>
      <w:r w:rsidRPr="009901FA">
        <w:rPr>
          <w:rFonts w:cs="Arial"/>
          <w:b/>
          <w:bCs/>
          <w:lang w:val="en-US"/>
        </w:rPr>
        <w:t>/</w:t>
      </w:r>
      <w:r w:rsidRPr="009901FA">
        <w:rPr>
          <w:b/>
          <w:bCs/>
          <w:lang w:val="en-US"/>
        </w:rPr>
        <w:t xml:space="preserve">ha), that </w:t>
      </w:r>
      <w:r w:rsidR="00234F68" w:rsidRPr="009901FA">
        <w:rPr>
          <w:b/>
          <w:bCs/>
          <w:lang w:val="en-US"/>
        </w:rPr>
        <w:t xml:space="preserve">degraded </w:t>
      </w:r>
      <w:r w:rsidRPr="009901FA">
        <w:rPr>
          <w:b/>
          <w:bCs/>
          <w:lang w:val="en-US"/>
        </w:rPr>
        <w:t xml:space="preserve"> land could supply up to 36</w:t>
      </w:r>
      <w:r w:rsidRPr="00A247A6">
        <w:rPr>
          <w:rFonts w:ascii="Arial" w:hAnsi="Arial" w:cs="Arial"/>
          <w:b/>
          <w:bCs/>
          <w:lang w:val="en-US"/>
        </w:rPr>
        <w:t> </w:t>
      </w:r>
      <w:r w:rsidRPr="009901FA">
        <w:rPr>
          <w:b/>
          <w:bCs/>
          <w:lang w:val="en-US"/>
        </w:rPr>
        <w:t>EJ of sustainable, non</w:t>
      </w:r>
      <w:r w:rsidRPr="009901FA">
        <w:rPr>
          <w:b/>
          <w:bCs/>
          <w:lang w:val="en-US"/>
        </w:rPr>
        <w:noBreakHyphen/>
        <w:t>food biomass.</w:t>
      </w:r>
      <w:r w:rsidRPr="009901FA">
        <w:rPr>
          <w:lang w:val="en-US"/>
        </w:rPr>
        <w:t xml:space="preserve"> This accounts for a ~570% increase from ETC’s prudent estimate on </w:t>
      </w:r>
      <w:r w:rsidR="00883848" w:rsidRPr="009901FA">
        <w:rPr>
          <w:highlight w:val="yellow"/>
          <w:lang w:val="en-US"/>
        </w:rPr>
        <w:fldChar w:fldCharType="begin"/>
      </w:r>
      <w:r w:rsidR="00883848" w:rsidRPr="009901FA">
        <w:rPr>
          <w:lang w:val="en-US"/>
        </w:rPr>
        <w:instrText xml:space="preserve"> REF _Ref203749976 \h </w:instrText>
      </w:r>
      <w:r w:rsidR="00A247A6">
        <w:rPr>
          <w:highlight w:val="yellow"/>
          <w:lang w:val="en-US"/>
        </w:rPr>
        <w:instrText xml:space="preserve"> \* MERGEFORMAT </w:instrText>
      </w:r>
      <w:r w:rsidR="00883848" w:rsidRPr="009901FA">
        <w:rPr>
          <w:highlight w:val="yellow"/>
          <w:lang w:val="en-US"/>
        </w:rPr>
      </w:r>
      <w:r w:rsidR="00883848" w:rsidRPr="009901FA">
        <w:rPr>
          <w:highlight w:val="yellow"/>
          <w:lang w:val="en-US"/>
        </w:rPr>
        <w:fldChar w:fldCharType="separate"/>
      </w:r>
      <w:r w:rsidR="00DE378F" w:rsidRPr="009901FA">
        <w:t xml:space="preserve">Exhibit </w:t>
      </w:r>
      <w:r w:rsidR="00E61394">
        <w:rPr>
          <w:noProof/>
        </w:rPr>
        <w:t>4</w:t>
      </w:r>
      <w:r w:rsidR="00DE378F" w:rsidRPr="009901FA">
        <w:t>.</w:t>
      </w:r>
      <w:r w:rsidR="00DE378F" w:rsidRPr="009901FA">
        <w:rPr>
          <w:noProof/>
        </w:rPr>
        <w:t>23</w:t>
      </w:r>
      <w:r w:rsidR="00883848" w:rsidRPr="009901FA">
        <w:rPr>
          <w:highlight w:val="yellow"/>
          <w:lang w:val="en-US"/>
        </w:rPr>
        <w:fldChar w:fldCharType="end"/>
      </w:r>
      <w:r w:rsidR="008C4361" w:rsidRPr="009901FA">
        <w:rPr>
          <w:lang w:val="en-US"/>
        </w:rPr>
        <w:t>.</w:t>
      </w:r>
    </w:p>
    <w:p w14:paraId="45708F95" w14:textId="4E74F38D" w:rsidR="00277D61" w:rsidRPr="009901FA" w:rsidRDefault="00B95B3F" w:rsidP="00CA46DA">
      <w:pPr>
        <w:rPr>
          <w:lang w:val="en-US"/>
        </w:rPr>
      </w:pPr>
      <w:r w:rsidRPr="009901FA">
        <w:rPr>
          <w:b/>
          <w:lang w:val="en-US"/>
        </w:rPr>
        <w:t>Literature review</w:t>
      </w:r>
      <w:r w:rsidR="00106049" w:rsidRPr="009901FA">
        <w:rPr>
          <w:b/>
          <w:lang w:val="en-US"/>
        </w:rPr>
        <w:t xml:space="preserve"> is valid for estimating </w:t>
      </w:r>
      <w:r w:rsidR="00355C7E" w:rsidRPr="009901FA">
        <w:rPr>
          <w:b/>
          <w:lang w:val="en-US"/>
        </w:rPr>
        <w:t xml:space="preserve">a maximum potential </w:t>
      </w:r>
      <w:r w:rsidR="004C65BC" w:rsidRPr="009901FA">
        <w:rPr>
          <w:b/>
          <w:lang w:val="en-US"/>
        </w:rPr>
        <w:t xml:space="preserve">of sustainable biomass growth in degraded </w:t>
      </w:r>
      <w:r w:rsidR="005B29F7" w:rsidRPr="009901FA">
        <w:rPr>
          <w:b/>
          <w:lang w:val="en-US"/>
        </w:rPr>
        <w:t>land</w:t>
      </w:r>
      <w:r w:rsidR="00B44848" w:rsidRPr="009901FA">
        <w:rPr>
          <w:b/>
          <w:lang w:val="en-US"/>
        </w:rPr>
        <w:t>,</w:t>
      </w:r>
      <w:r w:rsidR="005B29F7" w:rsidRPr="009901FA">
        <w:rPr>
          <w:b/>
          <w:lang w:val="en-US"/>
        </w:rPr>
        <w:t xml:space="preserve"> but</w:t>
      </w:r>
      <w:r w:rsidR="00FD201E" w:rsidRPr="009901FA">
        <w:rPr>
          <w:b/>
          <w:lang w:val="en-US"/>
        </w:rPr>
        <w:t xml:space="preserve"> </w:t>
      </w:r>
      <w:r w:rsidR="00832D2D" w:rsidRPr="009901FA">
        <w:rPr>
          <w:b/>
          <w:lang w:val="en-US"/>
        </w:rPr>
        <w:t>cannot account for regional factors</w:t>
      </w:r>
      <w:r w:rsidR="00482BCC" w:rsidRPr="009901FA">
        <w:rPr>
          <w:b/>
          <w:lang w:val="en-US"/>
        </w:rPr>
        <w:t>.</w:t>
      </w:r>
      <w:r w:rsidR="00482BCC" w:rsidRPr="009901FA">
        <w:rPr>
          <w:lang w:val="en-US"/>
        </w:rPr>
        <w:t xml:space="preserve"> A more </w:t>
      </w:r>
      <w:r w:rsidR="006E4592" w:rsidRPr="009901FA">
        <w:rPr>
          <w:lang w:val="en-US"/>
        </w:rPr>
        <w:t xml:space="preserve">accurate </w:t>
      </w:r>
      <w:r w:rsidR="00277D61" w:rsidRPr="009901FA">
        <w:rPr>
          <w:lang w:val="en-US"/>
        </w:rPr>
        <w:t>assessment</w:t>
      </w:r>
      <w:r w:rsidR="006E4592" w:rsidRPr="009901FA">
        <w:rPr>
          <w:lang w:val="en-US"/>
        </w:rPr>
        <w:t xml:space="preserve"> would</w:t>
      </w:r>
      <w:r w:rsidR="00277D61" w:rsidRPr="009901FA">
        <w:rPr>
          <w:lang w:val="en-US"/>
        </w:rPr>
        <w:t>:</w:t>
      </w:r>
      <w:r w:rsidR="006E4592" w:rsidRPr="009901FA">
        <w:rPr>
          <w:lang w:val="en-US"/>
        </w:rPr>
        <w:t xml:space="preserve"> </w:t>
      </w:r>
    </w:p>
    <w:p w14:paraId="7DE5AF6B" w14:textId="2C176F91" w:rsidR="00277D61" w:rsidRPr="009901FA" w:rsidRDefault="006E4592" w:rsidP="002C2B3F">
      <w:pPr>
        <w:pStyle w:val="ListParagraph"/>
        <w:numPr>
          <w:ilvl w:val="2"/>
          <w:numId w:val="34"/>
        </w:numPr>
        <w:rPr>
          <w:lang w:val="en-US"/>
        </w:rPr>
      </w:pPr>
      <w:r w:rsidRPr="009901FA">
        <w:rPr>
          <w:lang w:val="en-US"/>
        </w:rPr>
        <w:t>map</w:t>
      </w:r>
      <w:r w:rsidR="005B29F7" w:rsidRPr="009901FA">
        <w:rPr>
          <w:lang w:val="en-US"/>
        </w:rPr>
        <w:t xml:space="preserve"> </w:t>
      </w:r>
      <w:r w:rsidR="00C4189D" w:rsidRPr="009901FA">
        <w:rPr>
          <w:lang w:val="en-US"/>
        </w:rPr>
        <w:t xml:space="preserve">the global distribution of </w:t>
      </w:r>
      <w:r w:rsidR="005B29F7" w:rsidRPr="009901FA">
        <w:rPr>
          <w:lang w:val="en-US"/>
        </w:rPr>
        <w:t>degraded land</w:t>
      </w:r>
      <w:r w:rsidR="00CA0346" w:rsidRPr="009901FA">
        <w:rPr>
          <w:lang w:val="en-US"/>
        </w:rPr>
        <w:t>;</w:t>
      </w:r>
      <w:r w:rsidR="009F120A" w:rsidRPr="009901FA">
        <w:rPr>
          <w:lang w:val="en-US"/>
        </w:rPr>
        <w:t xml:space="preserve"> </w:t>
      </w:r>
    </w:p>
    <w:p w14:paraId="4D1630E4" w14:textId="0AA89360" w:rsidR="00277D61" w:rsidRPr="009901FA" w:rsidRDefault="00FD7179" w:rsidP="002C2B3F">
      <w:pPr>
        <w:pStyle w:val="ListParagraph"/>
        <w:numPr>
          <w:ilvl w:val="2"/>
          <w:numId w:val="34"/>
        </w:numPr>
        <w:rPr>
          <w:lang w:val="en-US"/>
        </w:rPr>
      </w:pPr>
      <w:r w:rsidRPr="009901FA">
        <w:t>identify the areas where</w:t>
      </w:r>
      <w:r w:rsidR="00714BD9" w:rsidRPr="009901FA">
        <w:t xml:space="preserve"> energy</w:t>
      </w:r>
      <w:r w:rsidRPr="009901FA">
        <w:noBreakHyphen/>
        <w:t xml:space="preserve">crop </w:t>
      </w:r>
      <w:r w:rsidR="00714BD9" w:rsidRPr="009901FA">
        <w:t xml:space="preserve">cultivation </w:t>
      </w:r>
      <w:r w:rsidRPr="009901FA">
        <w:t>generates the greatest net benefits</w:t>
      </w:r>
      <w:r w:rsidR="00CA0346" w:rsidRPr="009901FA">
        <w:rPr>
          <w:lang w:val="en-US"/>
        </w:rPr>
        <w:t>;</w:t>
      </w:r>
      <w:r w:rsidR="00D63FF2" w:rsidRPr="009901FA">
        <w:rPr>
          <w:lang w:val="en-US"/>
        </w:rPr>
        <w:t xml:space="preserve"> </w:t>
      </w:r>
    </w:p>
    <w:p w14:paraId="0D51E99C" w14:textId="5AC16051" w:rsidR="00277D61" w:rsidRPr="009901FA" w:rsidRDefault="00D63FF2" w:rsidP="002C2B3F">
      <w:pPr>
        <w:pStyle w:val="ListParagraph"/>
        <w:numPr>
          <w:ilvl w:val="2"/>
          <w:numId w:val="34"/>
        </w:numPr>
        <w:rPr>
          <w:lang w:val="en-US"/>
        </w:rPr>
      </w:pPr>
      <w:r w:rsidRPr="009901FA">
        <w:rPr>
          <w:lang w:val="en-US"/>
        </w:rPr>
        <w:t xml:space="preserve">match </w:t>
      </w:r>
      <w:r w:rsidR="00FD7179" w:rsidRPr="009901FA">
        <w:rPr>
          <w:lang w:val="en-US"/>
        </w:rPr>
        <w:t>suitable</w:t>
      </w:r>
      <w:r w:rsidRPr="009901FA">
        <w:rPr>
          <w:lang w:val="en-US"/>
        </w:rPr>
        <w:t xml:space="preserve"> energy </w:t>
      </w:r>
      <w:r w:rsidR="00FE735E" w:rsidRPr="009901FA">
        <w:rPr>
          <w:lang w:val="en-US"/>
        </w:rPr>
        <w:t>crops</w:t>
      </w:r>
      <w:r w:rsidRPr="009901FA">
        <w:rPr>
          <w:lang w:val="en-US"/>
        </w:rPr>
        <w:t xml:space="preserve"> to </w:t>
      </w:r>
      <w:r w:rsidR="000944AD" w:rsidRPr="009901FA">
        <w:rPr>
          <w:lang w:val="en-US"/>
        </w:rPr>
        <w:t>local</w:t>
      </w:r>
      <w:r w:rsidRPr="009901FA">
        <w:rPr>
          <w:lang w:val="en-US"/>
        </w:rPr>
        <w:t xml:space="preserve"> soil and climate </w:t>
      </w:r>
      <w:r w:rsidR="000944AD" w:rsidRPr="009901FA">
        <w:rPr>
          <w:lang w:val="en-US"/>
        </w:rPr>
        <w:t>conditions</w:t>
      </w:r>
      <w:r w:rsidR="00277D61" w:rsidRPr="009901FA">
        <w:rPr>
          <w:lang w:val="en-US"/>
        </w:rPr>
        <w:t>;</w:t>
      </w:r>
      <w:r w:rsidRPr="009901FA">
        <w:rPr>
          <w:lang w:val="en-US"/>
        </w:rPr>
        <w:t xml:space="preserve"> </w:t>
      </w:r>
    </w:p>
    <w:p w14:paraId="2A27032E" w14:textId="0A66F853" w:rsidR="00C4189D" w:rsidRPr="009901FA" w:rsidRDefault="00D63FF2" w:rsidP="002C2B3F">
      <w:pPr>
        <w:pStyle w:val="ListParagraph"/>
        <w:numPr>
          <w:ilvl w:val="2"/>
          <w:numId w:val="34"/>
        </w:numPr>
        <w:rPr>
          <w:lang w:val="en-US"/>
        </w:rPr>
      </w:pPr>
      <w:r w:rsidRPr="009901FA">
        <w:rPr>
          <w:lang w:val="en-US"/>
        </w:rPr>
        <w:t xml:space="preserve">determine a </w:t>
      </w:r>
      <w:r w:rsidR="004C181A" w:rsidRPr="009901FA">
        <w:rPr>
          <w:lang w:val="en-US"/>
        </w:rPr>
        <w:t>land rest</w:t>
      </w:r>
      <w:r w:rsidR="000944AD" w:rsidRPr="009901FA">
        <w:rPr>
          <w:lang w:val="en-US"/>
        </w:rPr>
        <w:t>o</w:t>
      </w:r>
      <w:r w:rsidR="004C181A" w:rsidRPr="009901FA">
        <w:rPr>
          <w:lang w:val="en-US"/>
        </w:rPr>
        <w:t>ration plan</w:t>
      </w:r>
      <w:r w:rsidR="006908FB" w:rsidRPr="009901FA">
        <w:rPr>
          <w:lang w:val="en-US"/>
        </w:rPr>
        <w:t xml:space="preserve"> </w:t>
      </w:r>
      <w:r w:rsidR="000944AD" w:rsidRPr="009901FA">
        <w:t xml:space="preserve">that specifies the timeframe and </w:t>
      </w:r>
      <w:r w:rsidR="0000759A" w:rsidRPr="009901FA">
        <w:t xml:space="preserve">inputs </w:t>
      </w:r>
      <w:r w:rsidR="000944AD" w:rsidRPr="009901FA">
        <w:t>required</w:t>
      </w:r>
      <w:r w:rsidR="0000759A" w:rsidRPr="009901FA">
        <w:t xml:space="preserve"> for soil recovery</w:t>
      </w:r>
      <w:r w:rsidR="005A24D9" w:rsidRPr="009901FA">
        <w:rPr>
          <w:lang w:val="en-US"/>
        </w:rPr>
        <w:t xml:space="preserve">. </w:t>
      </w:r>
    </w:p>
    <w:p w14:paraId="586953E4" w14:textId="7EEDB412" w:rsidR="00DC00D9" w:rsidRPr="009901FA" w:rsidRDefault="00E15299" w:rsidP="007F0E8D">
      <w:pPr>
        <w:rPr>
          <w:lang w:val="en-US"/>
        </w:rPr>
      </w:pPr>
      <w:r w:rsidRPr="009901FA">
        <w:rPr>
          <w:b/>
          <w:bCs/>
        </w:rPr>
        <w:t>In addition to using</w:t>
      </w:r>
      <w:r w:rsidR="001E19EE" w:rsidRPr="009901FA">
        <w:rPr>
          <w:b/>
        </w:rPr>
        <w:t xml:space="preserve"> more</w:t>
      </w:r>
      <w:r w:rsidR="004B2837" w:rsidRPr="009901FA">
        <w:rPr>
          <w:b/>
        </w:rPr>
        <w:t xml:space="preserve"> degraded land for energy production, </w:t>
      </w:r>
      <w:r w:rsidRPr="009901FA">
        <w:rPr>
          <w:b/>
          <w:bCs/>
        </w:rPr>
        <w:t xml:space="preserve">introducing </w:t>
      </w:r>
      <w:r w:rsidR="004B2837" w:rsidRPr="009901FA">
        <w:rPr>
          <w:b/>
        </w:rPr>
        <w:t xml:space="preserve">novel </w:t>
      </w:r>
      <w:r w:rsidRPr="009901FA">
        <w:rPr>
          <w:b/>
          <w:bCs/>
        </w:rPr>
        <w:t>non</w:t>
      </w:r>
      <w:r w:rsidRPr="009901FA">
        <w:rPr>
          <w:b/>
          <w:bCs/>
        </w:rPr>
        <w:noBreakHyphen/>
        <w:t>food energy crops</w:t>
      </w:r>
      <w:r w:rsidR="007B6153" w:rsidRPr="009901FA">
        <w:rPr>
          <w:b/>
        </w:rPr>
        <w:t xml:space="preserve"> </w:t>
      </w:r>
      <w:r w:rsidR="0074669F" w:rsidRPr="009901FA">
        <w:rPr>
          <w:b/>
        </w:rPr>
        <w:t xml:space="preserve">could </w:t>
      </w:r>
      <w:r w:rsidRPr="009901FA">
        <w:rPr>
          <w:b/>
          <w:bCs/>
        </w:rPr>
        <w:t>further boost</w:t>
      </w:r>
      <w:r w:rsidR="0074669F" w:rsidRPr="009901FA">
        <w:rPr>
          <w:b/>
        </w:rPr>
        <w:t xml:space="preserve"> the </w:t>
      </w:r>
      <w:r w:rsidR="00764B63" w:rsidRPr="009901FA">
        <w:rPr>
          <w:b/>
        </w:rPr>
        <w:t xml:space="preserve">sustainable biomass </w:t>
      </w:r>
      <w:r w:rsidRPr="009901FA">
        <w:rPr>
          <w:b/>
          <w:bCs/>
        </w:rPr>
        <w:t>supply.</w:t>
      </w:r>
      <w:r w:rsidRPr="009901FA">
        <w:t xml:space="preserve"> </w:t>
      </w:r>
      <w:r w:rsidR="007A1427" w:rsidRPr="009901FA">
        <w:t>Although many</w:t>
      </w:r>
      <w:r w:rsidRPr="009901FA">
        <w:t xml:space="preserve"> of these crops </w:t>
      </w:r>
      <w:r w:rsidR="007A1427" w:rsidRPr="009901FA">
        <w:t xml:space="preserve">can individually </w:t>
      </w:r>
      <w:r w:rsidRPr="009901FA">
        <w:t xml:space="preserve">deliver higher yields, </w:t>
      </w:r>
      <w:r w:rsidR="007A1427" w:rsidRPr="009901FA">
        <w:t>prosper</w:t>
      </w:r>
      <w:r w:rsidRPr="009901FA">
        <w:t xml:space="preserve"> on degraded or nutrient</w:t>
      </w:r>
      <w:r w:rsidRPr="009901FA">
        <w:noBreakHyphen/>
        <w:t xml:space="preserve">poor soils, </w:t>
      </w:r>
      <w:r w:rsidR="007A1427" w:rsidRPr="009901FA">
        <w:t>and act</w:t>
      </w:r>
      <w:r w:rsidRPr="009901FA">
        <w:t xml:space="preserve"> as both bioenergy feedstocks and carbon sinks</w:t>
      </w:r>
      <w:r w:rsidR="007A1427" w:rsidRPr="009901FA">
        <w:t>, realising all three advantages at once often requires substantial synthetic inputs.</w:t>
      </w:r>
      <w:r w:rsidRPr="009901FA">
        <w:t xml:space="preserve"> </w:t>
      </w:r>
      <w:r w:rsidR="00B80B37" w:rsidRPr="009901FA">
        <w:rPr>
          <w:highlight w:val="yellow"/>
        </w:rPr>
        <w:fldChar w:fldCharType="begin"/>
      </w:r>
      <w:r w:rsidR="00B80B37" w:rsidRPr="009901FA">
        <w:instrText xml:space="preserve"> REF _Ref203749995 \h </w:instrText>
      </w:r>
      <w:r w:rsidR="00A247A6">
        <w:rPr>
          <w:highlight w:val="yellow"/>
        </w:rPr>
        <w:instrText xml:space="preserve"> \* MERGEFORMAT </w:instrText>
      </w:r>
      <w:r w:rsidR="00B80B37" w:rsidRPr="009901FA">
        <w:rPr>
          <w:highlight w:val="yellow"/>
        </w:rPr>
      </w:r>
      <w:r w:rsidR="00B80B37" w:rsidRPr="009901FA">
        <w:rPr>
          <w:highlight w:val="yellow"/>
        </w:rPr>
        <w:fldChar w:fldCharType="separate"/>
      </w:r>
      <w:r w:rsidR="00DE378F" w:rsidRPr="009901FA">
        <w:t xml:space="preserve">Exhibit </w:t>
      </w:r>
      <w:r w:rsidR="00E61394">
        <w:rPr>
          <w:noProof/>
        </w:rPr>
        <w:t>4</w:t>
      </w:r>
      <w:r w:rsidR="00DE378F" w:rsidRPr="009901FA">
        <w:t>.</w:t>
      </w:r>
      <w:r w:rsidR="00DE378F" w:rsidRPr="009901FA">
        <w:rPr>
          <w:noProof/>
        </w:rPr>
        <w:t>24</w:t>
      </w:r>
      <w:r w:rsidR="00B80B37" w:rsidRPr="009901FA">
        <w:rPr>
          <w:highlight w:val="yellow"/>
        </w:rPr>
        <w:fldChar w:fldCharType="end"/>
      </w:r>
      <w:r w:rsidRPr="009901FA">
        <w:t xml:space="preserve"> summarises the options examined, with energy cane selected for detailed analysis.</w:t>
      </w:r>
    </w:p>
    <w:p w14:paraId="6E1D5768" w14:textId="3D427254" w:rsidR="0008770E" w:rsidRPr="009901FA" w:rsidRDefault="0008770E" w:rsidP="006F5C80">
      <w:pPr>
        <w:spacing w:after="200"/>
        <w:rPr>
          <w:b/>
          <w:bCs/>
          <w:color w:val="00146D" w:themeColor="text2"/>
        </w:rPr>
      </w:pPr>
    </w:p>
    <w:p w14:paraId="60985F78" w14:textId="3F143695" w:rsidR="006F5C80" w:rsidRPr="009901FA" w:rsidRDefault="006F5C80" w:rsidP="006749A9"/>
    <w:p w14:paraId="50936492" w14:textId="347F236A" w:rsidR="006F5C80" w:rsidRPr="009901FA" w:rsidRDefault="006F5C80" w:rsidP="006F5C80">
      <w:pPr>
        <w:pStyle w:val="Caption"/>
        <w:keepNext/>
      </w:pPr>
      <w:bookmarkStart w:id="116" w:name="_Ref203749976"/>
      <w:r w:rsidRPr="009901FA">
        <w:lastRenderedPageBreak/>
        <w:t xml:space="preserve">Exhibit </w:t>
      </w:r>
      <w:r w:rsidR="00E61394">
        <w:t>4</w:t>
      </w:r>
      <w:r w:rsidR="008725B4" w:rsidRPr="009901FA">
        <w:t>.</w:t>
      </w:r>
      <w:fldSimple w:instr=" SEQ Exhibit \* ARABIC \s 2 ">
        <w:r w:rsidR="00DE378F" w:rsidRPr="009901FA">
          <w:rPr>
            <w:noProof/>
          </w:rPr>
          <w:t>23</w:t>
        </w:r>
      </w:fldSimple>
      <w:bookmarkEnd w:id="116"/>
    </w:p>
    <w:p w14:paraId="16BC5D76" w14:textId="5FC9ED10" w:rsidR="00793471" w:rsidRPr="00A247A6" w:rsidRDefault="00652086" w:rsidP="006749A9">
      <w:pPr>
        <w:rPr>
          <w:lang w:val="en-US"/>
        </w:rPr>
      </w:pPr>
      <w:r w:rsidRPr="009901FA">
        <w:rPr>
          <w:noProof/>
        </w:rPr>
        <w:drawing>
          <wp:inline distT="0" distB="0" distL="0" distR="0" wp14:anchorId="46C9AC3E" wp14:editId="18DB5902">
            <wp:extent cx="5979381" cy="3363704"/>
            <wp:effectExtent l="0" t="0" r="0" b="0"/>
            <wp:docPr id="76296929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969295" name=""/>
                    <pic:cNvPicPr/>
                  </pic:nvPicPr>
                  <pic:blipFill>
                    <a:blip r:embed="rId108">
                      <a:extLst>
                        <a:ext uri="{96DAC541-7B7A-43D3-8B79-37D633B846F1}">
                          <asvg:svgBlip xmlns:asvg="http://schemas.microsoft.com/office/drawing/2016/SVG/main" r:embed="rId109"/>
                        </a:ext>
                      </a:extLst>
                    </a:blip>
                    <a:stretch>
                      <a:fillRect/>
                    </a:stretch>
                  </pic:blipFill>
                  <pic:spPr>
                    <a:xfrm>
                      <a:off x="0" y="0"/>
                      <a:ext cx="5991455" cy="3370496"/>
                    </a:xfrm>
                    <a:prstGeom prst="rect">
                      <a:avLst/>
                    </a:prstGeom>
                  </pic:spPr>
                </pic:pic>
              </a:graphicData>
            </a:graphic>
          </wp:inline>
        </w:drawing>
      </w:r>
    </w:p>
    <w:p w14:paraId="299A5B23" w14:textId="66140BD1" w:rsidR="008D1129" w:rsidRPr="009901FA" w:rsidRDefault="006749A9" w:rsidP="008D1129">
      <w:pPr>
        <w:rPr>
          <w:lang w:val="en-US"/>
        </w:rPr>
      </w:pPr>
      <w:r w:rsidRPr="009901FA">
        <w:rPr>
          <w:b/>
          <w:bCs/>
        </w:rPr>
        <w:t xml:space="preserve">Energy cane is a high-yield variant of sugarcane bred for </w:t>
      </w:r>
      <w:r w:rsidR="00DE48FB" w:rsidRPr="009901FA">
        <w:rPr>
          <w:b/>
          <w:bCs/>
          <w:lang w:val="en-US"/>
        </w:rPr>
        <w:t xml:space="preserve">cellulosic </w:t>
      </w:r>
      <w:r w:rsidRPr="009901FA">
        <w:rPr>
          <w:b/>
          <w:bCs/>
        </w:rPr>
        <w:t xml:space="preserve">biomass </w:t>
      </w:r>
      <w:r w:rsidR="00AE3FD6" w:rsidRPr="009901FA">
        <w:rPr>
          <w:b/>
          <w:bCs/>
        </w:rPr>
        <w:t>rather than</w:t>
      </w:r>
      <w:r w:rsidR="00DE48FB" w:rsidRPr="009901FA">
        <w:rPr>
          <w:b/>
          <w:bCs/>
          <w:lang w:val="en-US"/>
        </w:rPr>
        <w:t xml:space="preserve"> </w:t>
      </w:r>
      <w:r w:rsidR="00AE3FD6" w:rsidRPr="009901FA">
        <w:rPr>
          <w:b/>
          <w:bCs/>
          <w:lang w:val="en-US"/>
        </w:rPr>
        <w:t>sucrose</w:t>
      </w:r>
      <w:r w:rsidR="00DE48FB" w:rsidRPr="009901FA">
        <w:rPr>
          <w:b/>
          <w:bCs/>
          <w:lang w:val="en-US"/>
        </w:rPr>
        <w:t xml:space="preserve"> production</w:t>
      </w:r>
      <w:r w:rsidR="00907F17" w:rsidRPr="009901FA">
        <w:rPr>
          <w:b/>
          <w:bCs/>
          <w:lang w:val="en-US"/>
        </w:rPr>
        <w:t>,</w:t>
      </w:r>
      <w:r w:rsidRPr="009901FA">
        <w:rPr>
          <w:b/>
          <w:bCs/>
        </w:rPr>
        <w:t xml:space="preserve"> </w:t>
      </w:r>
      <w:r w:rsidR="00907F17" w:rsidRPr="009901FA">
        <w:rPr>
          <w:b/>
          <w:bCs/>
          <w:lang w:val="en-US"/>
        </w:rPr>
        <w:t>making it</w:t>
      </w:r>
      <w:r w:rsidR="00DE48FB" w:rsidRPr="009901FA">
        <w:rPr>
          <w:b/>
          <w:bCs/>
          <w:lang w:val="en-US"/>
        </w:rPr>
        <w:t xml:space="preserve"> a</w:t>
      </w:r>
      <w:r w:rsidR="008F1B03" w:rsidRPr="009901FA">
        <w:rPr>
          <w:b/>
          <w:bCs/>
          <w:lang w:val="en-US"/>
        </w:rPr>
        <w:t>n</w:t>
      </w:r>
      <w:r w:rsidR="00DE48FB" w:rsidRPr="009901FA">
        <w:rPr>
          <w:b/>
          <w:bCs/>
          <w:lang w:val="en-US"/>
        </w:rPr>
        <w:t xml:space="preserve"> </w:t>
      </w:r>
      <w:r w:rsidR="00907F17" w:rsidRPr="009901FA">
        <w:rPr>
          <w:b/>
          <w:bCs/>
          <w:lang w:val="en-US"/>
        </w:rPr>
        <w:t>optimal</w:t>
      </w:r>
      <w:r w:rsidR="008335C3" w:rsidRPr="009901FA">
        <w:rPr>
          <w:b/>
          <w:bCs/>
          <w:lang w:val="en-US"/>
        </w:rPr>
        <w:t xml:space="preserve"> </w:t>
      </w:r>
      <w:r w:rsidR="001A58B0" w:rsidRPr="009901FA">
        <w:rPr>
          <w:b/>
          <w:bCs/>
          <w:lang w:val="en-US"/>
        </w:rPr>
        <w:t>feedstock</w:t>
      </w:r>
      <w:r w:rsidR="008335C3" w:rsidRPr="009901FA">
        <w:rPr>
          <w:b/>
          <w:bCs/>
          <w:lang w:val="en-US"/>
        </w:rPr>
        <w:t xml:space="preserve"> for second</w:t>
      </w:r>
      <w:r w:rsidR="00A50A04" w:rsidRPr="009901FA">
        <w:rPr>
          <w:b/>
          <w:bCs/>
          <w:lang w:val="en-US"/>
        </w:rPr>
        <w:t xml:space="preserve"> generation biofuel</w:t>
      </w:r>
      <w:r w:rsidR="001C53CC" w:rsidRPr="009901FA">
        <w:rPr>
          <w:b/>
          <w:bCs/>
          <w:lang w:val="en-US"/>
        </w:rPr>
        <w:t>.</w:t>
      </w:r>
      <w:r w:rsidR="001C53CC" w:rsidRPr="009901FA">
        <w:rPr>
          <w:lang w:val="en-US"/>
        </w:rPr>
        <w:t xml:space="preserve"> </w:t>
      </w:r>
      <w:r w:rsidR="006F5C80" w:rsidRPr="009901FA">
        <w:rPr>
          <w:lang w:val="en-US"/>
        </w:rPr>
        <w:fldChar w:fldCharType="begin"/>
      </w:r>
      <w:r w:rsidR="006F5C80" w:rsidRPr="009901FA">
        <w:rPr>
          <w:lang w:val="en-US"/>
        </w:rPr>
        <w:instrText xml:space="preserve"> REF _Ref203749995 \h </w:instrText>
      </w:r>
      <w:r w:rsidR="00A247A6">
        <w:rPr>
          <w:lang w:val="en-US"/>
        </w:rPr>
        <w:instrText xml:space="preserve"> \* MERGEFORMAT </w:instrText>
      </w:r>
      <w:r w:rsidR="006F5C80" w:rsidRPr="009901FA">
        <w:rPr>
          <w:lang w:val="en-US"/>
        </w:rPr>
      </w:r>
      <w:r w:rsidR="006F5C80" w:rsidRPr="009901FA">
        <w:rPr>
          <w:lang w:val="en-US"/>
        </w:rPr>
        <w:fldChar w:fldCharType="separate"/>
      </w:r>
      <w:r w:rsidR="00DE378F" w:rsidRPr="009901FA">
        <w:t xml:space="preserve">Exhibit </w:t>
      </w:r>
      <w:r w:rsidR="00E61394">
        <w:rPr>
          <w:noProof/>
        </w:rPr>
        <w:t>4</w:t>
      </w:r>
      <w:r w:rsidR="00DE378F" w:rsidRPr="009901FA">
        <w:t>.</w:t>
      </w:r>
      <w:r w:rsidR="00DE378F" w:rsidRPr="009901FA">
        <w:rPr>
          <w:noProof/>
        </w:rPr>
        <w:t>24</w:t>
      </w:r>
      <w:r w:rsidR="006F5C80" w:rsidRPr="009901FA">
        <w:rPr>
          <w:lang w:val="en-US"/>
        </w:rPr>
        <w:fldChar w:fldCharType="end"/>
      </w:r>
      <w:r w:rsidR="00792E2D" w:rsidRPr="009901FA">
        <w:rPr>
          <w:lang w:val="en-US"/>
        </w:rPr>
        <w:t xml:space="preserve"> </w:t>
      </w:r>
      <w:r w:rsidR="008461C3" w:rsidRPr="009901FA">
        <w:rPr>
          <w:lang w:val="en-US"/>
        </w:rPr>
        <w:t xml:space="preserve">provides a detailed comparison </w:t>
      </w:r>
      <w:r w:rsidR="00792E2D" w:rsidRPr="009901FA">
        <w:rPr>
          <w:lang w:val="en-US"/>
        </w:rPr>
        <w:t xml:space="preserve">of both </w:t>
      </w:r>
      <w:r w:rsidR="008461C3" w:rsidRPr="009901FA">
        <w:rPr>
          <w:lang w:val="en-US"/>
        </w:rPr>
        <w:t xml:space="preserve">strains. </w:t>
      </w:r>
      <w:r w:rsidR="0049387F" w:rsidRPr="009901FA">
        <w:t>Thanks to its higher cellulosic content and superior yields, energy cane can raise the crop’s specific energy (energy per kilogram) by as much as 40</w:t>
      </w:r>
      <w:r w:rsidR="0049387F" w:rsidRPr="00A247A6">
        <w:rPr>
          <w:rFonts w:ascii="Arial" w:hAnsi="Arial" w:cs="Arial"/>
        </w:rPr>
        <w:t> </w:t>
      </w:r>
      <w:r w:rsidR="0049387F" w:rsidRPr="009901FA">
        <w:t>%. This advantage has attracted companies such as GranBio, which is evaluating the crop as a feedstock for bio</w:t>
      </w:r>
      <w:r w:rsidR="0049387F" w:rsidRPr="009901FA">
        <w:noBreakHyphen/>
        <w:t>derived sustainable aviation fuel (bio</w:t>
      </w:r>
      <w:r w:rsidR="0049387F" w:rsidRPr="009901FA">
        <w:noBreakHyphen/>
        <w:t>SAF).</w:t>
      </w:r>
    </w:p>
    <w:p w14:paraId="0E5D08D4" w14:textId="1B849EE5" w:rsidR="003312CC" w:rsidRPr="009901FA" w:rsidRDefault="003312CC">
      <w:pPr>
        <w:rPr>
          <w:b/>
          <w:bCs/>
          <w:color w:val="00146D" w:themeColor="text2"/>
          <w:highlight w:val="yellow"/>
        </w:rPr>
      </w:pPr>
    </w:p>
    <w:p w14:paraId="5A0BB701" w14:textId="31E8F68E" w:rsidR="006F5C80" w:rsidRPr="009901FA" w:rsidRDefault="006F5C80" w:rsidP="006F5C80">
      <w:pPr>
        <w:pStyle w:val="Caption"/>
        <w:keepNext/>
      </w:pPr>
      <w:bookmarkStart w:id="117" w:name="_Ref203749995"/>
      <w:r w:rsidRPr="009901FA">
        <w:lastRenderedPageBreak/>
        <w:t xml:space="preserve">Exhibit </w:t>
      </w:r>
      <w:r w:rsidR="00E61394">
        <w:t>4</w:t>
      </w:r>
      <w:r w:rsidR="008725B4" w:rsidRPr="009901FA">
        <w:t>.</w:t>
      </w:r>
      <w:fldSimple w:instr=" SEQ Exhibit \* ARABIC \s 2 ">
        <w:r w:rsidR="00DE378F" w:rsidRPr="009901FA">
          <w:rPr>
            <w:noProof/>
          </w:rPr>
          <w:t>24</w:t>
        </w:r>
      </w:fldSimple>
      <w:bookmarkEnd w:id="117"/>
    </w:p>
    <w:p w14:paraId="34C2BF10" w14:textId="3D0F121A" w:rsidR="008837CB" w:rsidRPr="00A247A6" w:rsidRDefault="00F87093" w:rsidP="006749A9">
      <w:pPr>
        <w:rPr>
          <w:lang w:val="en-US"/>
        </w:rPr>
      </w:pPr>
      <w:r w:rsidRPr="009901FA">
        <w:rPr>
          <w:noProof/>
        </w:rPr>
        <w:drawing>
          <wp:inline distT="0" distB="0" distL="0" distR="0" wp14:anchorId="06363FFF" wp14:editId="32941ECD">
            <wp:extent cx="6263640" cy="3523615"/>
            <wp:effectExtent l="0" t="0" r="0" b="0"/>
            <wp:docPr id="198973548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735489" name=""/>
                    <pic:cNvPicPr/>
                  </pic:nvPicPr>
                  <pic:blipFill>
                    <a:blip r:embed="rId110">
                      <a:extLst>
                        <a:ext uri="{96DAC541-7B7A-43D3-8B79-37D633B846F1}">
                          <asvg:svgBlip xmlns:asvg="http://schemas.microsoft.com/office/drawing/2016/SVG/main" r:embed="rId111"/>
                        </a:ext>
                      </a:extLst>
                    </a:blip>
                    <a:stretch>
                      <a:fillRect/>
                    </a:stretch>
                  </pic:blipFill>
                  <pic:spPr>
                    <a:xfrm>
                      <a:off x="0" y="0"/>
                      <a:ext cx="6263640" cy="3523615"/>
                    </a:xfrm>
                    <a:prstGeom prst="rect">
                      <a:avLst/>
                    </a:prstGeom>
                  </pic:spPr>
                </pic:pic>
              </a:graphicData>
            </a:graphic>
          </wp:inline>
        </w:drawing>
      </w:r>
    </w:p>
    <w:p w14:paraId="7D805E1E" w14:textId="3BD9CDD6" w:rsidR="006B4F01" w:rsidRPr="009901FA" w:rsidRDefault="00D809FC" w:rsidP="006B4F01">
      <w:pPr>
        <w:rPr>
          <w:lang w:val="en-US"/>
        </w:rPr>
      </w:pPr>
      <w:r w:rsidRPr="009901FA">
        <w:rPr>
          <w:b/>
          <w:bCs/>
        </w:rPr>
        <w:t>To illustrate the potential of novel energy crops in expanding sustainable biomass supply, an analysis has been conducted of energy</w:t>
      </w:r>
      <w:r w:rsidRPr="009901FA">
        <w:rPr>
          <w:b/>
          <w:bCs/>
        </w:rPr>
        <w:noBreakHyphen/>
        <w:t>cane cultivation on degraded land in Brazil.</w:t>
      </w:r>
      <w:r w:rsidRPr="009901FA">
        <w:t xml:space="preserve"> The country possesses an estimated 112</w:t>
      </w:r>
      <w:r w:rsidRPr="00A247A6">
        <w:rPr>
          <w:rFonts w:ascii="Arial" w:hAnsi="Arial" w:cs="Arial"/>
        </w:rPr>
        <w:t> </w:t>
      </w:r>
      <w:r w:rsidRPr="009901FA">
        <w:t>Mha of degraded land, of which 66</w:t>
      </w:r>
      <w:r w:rsidRPr="00A247A6">
        <w:rPr>
          <w:rFonts w:ascii="Arial" w:hAnsi="Arial" w:cs="Arial"/>
        </w:rPr>
        <w:t> </w:t>
      </w:r>
      <w:r w:rsidRPr="009901FA">
        <w:t>Mha lie within regions already devoted to sugarcane production (</w:t>
      </w:r>
      <w:r w:rsidR="0081151F" w:rsidRPr="009901FA">
        <w:rPr>
          <w:highlight w:val="yellow"/>
        </w:rPr>
        <w:fldChar w:fldCharType="begin"/>
      </w:r>
      <w:r w:rsidR="0081151F" w:rsidRPr="009901FA">
        <w:instrText xml:space="preserve"> REF _Ref203750204 \h </w:instrText>
      </w:r>
      <w:r w:rsidR="00A247A6">
        <w:rPr>
          <w:highlight w:val="yellow"/>
        </w:rPr>
        <w:instrText xml:space="preserve"> \* MERGEFORMAT </w:instrText>
      </w:r>
      <w:r w:rsidR="0081151F" w:rsidRPr="009901FA">
        <w:rPr>
          <w:highlight w:val="yellow"/>
        </w:rPr>
      </w:r>
      <w:r w:rsidR="0081151F" w:rsidRPr="009901FA">
        <w:rPr>
          <w:highlight w:val="yellow"/>
        </w:rPr>
        <w:fldChar w:fldCharType="separate"/>
      </w:r>
      <w:r w:rsidR="00DE378F" w:rsidRPr="009901FA">
        <w:t xml:space="preserve">Exhibit </w:t>
      </w:r>
      <w:r w:rsidR="00E61394">
        <w:rPr>
          <w:noProof/>
        </w:rPr>
        <w:t>4</w:t>
      </w:r>
      <w:r w:rsidR="00DE378F" w:rsidRPr="009901FA">
        <w:t>.</w:t>
      </w:r>
      <w:r w:rsidR="00DE378F" w:rsidRPr="009901FA">
        <w:rPr>
          <w:noProof/>
        </w:rPr>
        <w:t>25</w:t>
      </w:r>
      <w:r w:rsidR="0081151F" w:rsidRPr="009901FA">
        <w:rPr>
          <w:highlight w:val="yellow"/>
        </w:rPr>
        <w:fldChar w:fldCharType="end"/>
      </w:r>
      <w:r w:rsidR="00263F4E" w:rsidRPr="009901FA">
        <w:t>)</w:t>
      </w:r>
      <w:r w:rsidRPr="009901FA">
        <w:t>. Restricting energy</w:t>
      </w:r>
      <w:r w:rsidRPr="009901FA">
        <w:noBreakHyphen/>
        <w:t xml:space="preserve">cane plantations to degraded land in these established sugarcane areas </w:t>
      </w:r>
      <w:r w:rsidR="00420B56" w:rsidRPr="009901FA">
        <w:t>yields</w:t>
      </w:r>
      <w:r w:rsidRPr="009901FA">
        <w:t xml:space="preserve"> several advantages:</w:t>
      </w:r>
    </w:p>
    <w:p w14:paraId="4468970B" w14:textId="36558F3B" w:rsidR="006B4F01" w:rsidRPr="009901FA" w:rsidRDefault="000D0214" w:rsidP="002C2B3F">
      <w:pPr>
        <w:pStyle w:val="ListParagraph"/>
        <w:numPr>
          <w:ilvl w:val="0"/>
          <w:numId w:val="35"/>
        </w:numPr>
        <w:rPr>
          <w:lang w:val="en-US"/>
        </w:rPr>
      </w:pPr>
      <w:r w:rsidRPr="009901FA">
        <w:t>E</w:t>
      </w:r>
      <w:r w:rsidR="00D809FC" w:rsidRPr="009901FA">
        <w:t>xpansion into ecologically sensitive biomes—such as the Amazon—is avoided because commercial sugarcane is concentrated in the Centre</w:t>
      </w:r>
      <w:r w:rsidR="00D809FC" w:rsidRPr="009901FA">
        <w:noBreakHyphen/>
        <w:t>South.</w:t>
      </w:r>
    </w:p>
    <w:p w14:paraId="22F8FD9D" w14:textId="0CC6933E" w:rsidR="006B4F01" w:rsidRPr="009901FA" w:rsidRDefault="000D0214" w:rsidP="002C2B3F">
      <w:pPr>
        <w:pStyle w:val="ListParagraph"/>
        <w:numPr>
          <w:ilvl w:val="0"/>
          <w:numId w:val="35"/>
        </w:numPr>
        <w:rPr>
          <w:lang w:val="en-US"/>
        </w:rPr>
      </w:pPr>
      <w:r w:rsidRPr="009901FA">
        <w:t>P</w:t>
      </w:r>
      <w:r w:rsidR="00D809FC" w:rsidRPr="009901FA">
        <w:t>roximity to existing logistics and processing infrastructure minimises additional capital expenditure.</w:t>
      </w:r>
    </w:p>
    <w:p w14:paraId="26C69B2B" w14:textId="0082AEBF" w:rsidR="006B4F01" w:rsidRPr="009901FA" w:rsidRDefault="000D0214" w:rsidP="002C2B3F">
      <w:pPr>
        <w:pStyle w:val="ListParagraph"/>
        <w:numPr>
          <w:ilvl w:val="0"/>
          <w:numId w:val="35"/>
        </w:numPr>
        <w:rPr>
          <w:lang w:val="en-US"/>
        </w:rPr>
      </w:pPr>
      <w:r w:rsidRPr="009901FA">
        <w:t>D</w:t>
      </w:r>
      <w:r w:rsidR="00D809FC" w:rsidRPr="009901FA">
        <w:t>isplacement of food</w:t>
      </w:r>
      <w:r w:rsidR="00D809FC" w:rsidRPr="009901FA">
        <w:noBreakHyphen/>
        <w:t>producing land is prevented.</w:t>
      </w:r>
    </w:p>
    <w:p w14:paraId="35FBFF93" w14:textId="32841220" w:rsidR="006B4F01" w:rsidRPr="009901FA" w:rsidRDefault="000D0214" w:rsidP="002C2B3F">
      <w:pPr>
        <w:pStyle w:val="ListParagraph"/>
        <w:numPr>
          <w:ilvl w:val="0"/>
          <w:numId w:val="35"/>
        </w:numPr>
        <w:rPr>
          <w:lang w:val="en-US"/>
        </w:rPr>
      </w:pPr>
      <w:r w:rsidRPr="009901FA">
        <w:t>R</w:t>
      </w:r>
      <w:r w:rsidR="00D809FC" w:rsidRPr="009901FA">
        <w:t>evenue from energy</w:t>
      </w:r>
      <w:r w:rsidR="00D809FC" w:rsidRPr="009901FA">
        <w:noBreakHyphen/>
        <w:t>cane cultivation provides a financial incentive that can offset the high cost of soil restoration.</w:t>
      </w:r>
    </w:p>
    <w:p w14:paraId="54FBD77A" w14:textId="0BF80EFA" w:rsidR="00D809FC" w:rsidRPr="009901FA" w:rsidRDefault="00144F05" w:rsidP="002C2B3F">
      <w:pPr>
        <w:pStyle w:val="ListParagraph"/>
        <w:numPr>
          <w:ilvl w:val="0"/>
          <w:numId w:val="35"/>
        </w:numPr>
        <w:rPr>
          <w:lang w:val="en-US"/>
        </w:rPr>
      </w:pPr>
      <w:r w:rsidRPr="009901FA">
        <w:t>D</w:t>
      </w:r>
      <w:r w:rsidR="00D809FC" w:rsidRPr="009901FA">
        <w:t>egraded land elsewhere remains available for rehabilitation with food crops or native vegetation, supporting future food security and biodiversity recovery.</w:t>
      </w:r>
    </w:p>
    <w:p w14:paraId="10728D8A" w14:textId="40DB92E2" w:rsidR="003312CC" w:rsidRPr="009901FA" w:rsidRDefault="00EF74F0">
      <w:r w:rsidRPr="009901FA">
        <w:rPr>
          <w:b/>
          <w:bCs/>
        </w:rPr>
        <w:t>The analysis indicates a theoretical maximum of 65</w:t>
      </w:r>
      <w:r w:rsidRPr="00A247A6">
        <w:rPr>
          <w:rFonts w:ascii="Arial" w:hAnsi="Arial" w:cs="Arial"/>
          <w:b/>
          <w:bCs/>
        </w:rPr>
        <w:t> </w:t>
      </w:r>
      <w:r w:rsidRPr="009901FA">
        <w:rPr>
          <w:b/>
          <w:bCs/>
        </w:rPr>
        <w:t>EJ of additional biomass, demonstrating the significantly higher specific energy yield of energy cane relative to switchgrass.</w:t>
      </w:r>
      <w:r w:rsidRPr="009901FA">
        <w:t xml:space="preserve"> </w:t>
      </w:r>
      <w:r w:rsidR="00AA6244" w:rsidRPr="009901FA">
        <w:t xml:space="preserve">This estimate, using Brazil as </w:t>
      </w:r>
      <w:r w:rsidR="001A78EB" w:rsidRPr="009901FA">
        <w:t>a</w:t>
      </w:r>
      <w:r w:rsidR="00AA6244" w:rsidRPr="009901FA">
        <w:t xml:space="preserve"> use case, more than doubles the prudent estimate</w:t>
      </w:r>
      <w:r w:rsidR="001920CC" w:rsidRPr="009901FA">
        <w:t xml:space="preserve">, 50 – 60 EJ. </w:t>
      </w:r>
      <w:r w:rsidR="00A64A7B" w:rsidRPr="009901FA">
        <w:t>The additional value corresponds to a total</w:t>
      </w:r>
      <w:r w:rsidR="00C5547F" w:rsidRPr="009901FA">
        <w:t xml:space="preserve"> of </w:t>
      </w:r>
      <w:r w:rsidR="00A51B80" w:rsidRPr="009901FA">
        <w:t>~1.</w:t>
      </w:r>
      <w:r w:rsidR="00EC63B6" w:rsidRPr="009901FA">
        <w:t>6</w:t>
      </w:r>
      <w:r w:rsidR="00A51B80" w:rsidRPr="009901FA">
        <w:t xml:space="preserve"> Gt</w:t>
      </w:r>
      <w:r w:rsidR="000A74C4" w:rsidRPr="009901FA">
        <w:t xml:space="preserve"> of </w:t>
      </w:r>
      <w:r w:rsidR="001101A6" w:rsidRPr="009901FA">
        <w:t>carbon</w:t>
      </w:r>
      <w:r w:rsidR="00A51B80" w:rsidRPr="009901FA">
        <w:t xml:space="preserve">, showing that </w:t>
      </w:r>
      <w:r w:rsidR="00DF0518" w:rsidRPr="009901FA">
        <w:t xml:space="preserve">this use case alone </w:t>
      </w:r>
      <w:r w:rsidR="00ED5F43" w:rsidRPr="009901FA">
        <w:t xml:space="preserve">could supply around </w:t>
      </w:r>
      <w:r w:rsidR="00E849CD" w:rsidRPr="009901FA">
        <w:t>34</w:t>
      </w:r>
      <w:r w:rsidR="00ED5F43" w:rsidRPr="009901FA">
        <w:t xml:space="preserve">% of the </w:t>
      </w:r>
      <w:r w:rsidR="001101A6" w:rsidRPr="009901FA">
        <w:t xml:space="preserve">carbon </w:t>
      </w:r>
      <w:r w:rsidR="0092054D" w:rsidRPr="009901FA">
        <w:t>demand</w:t>
      </w:r>
      <w:r w:rsidR="00C2374F" w:rsidRPr="009901FA">
        <w:t xml:space="preserve"> in 2050</w:t>
      </w:r>
      <w:r w:rsidR="0092054D" w:rsidRPr="009901FA">
        <w:t>.</w:t>
      </w:r>
      <w:r w:rsidR="00AA6244" w:rsidRPr="009901FA">
        <w:t xml:space="preserve"> </w:t>
      </w:r>
      <w:r w:rsidRPr="009901FA">
        <w:t>Although this estimate is more precise than the literature review, a more rigorous assessment of degraded</w:t>
      </w:r>
      <w:r w:rsidRPr="009901FA">
        <w:noBreakHyphen/>
        <w:t>land suitability should be undertaken to identify the specific plots where energy</w:t>
      </w:r>
      <w:r w:rsidRPr="009901FA">
        <w:noBreakHyphen/>
        <w:t>cane plantations are technically, environmentally, and economically feasible.</w:t>
      </w:r>
    </w:p>
    <w:p w14:paraId="4CC21274" w14:textId="057EC7C7" w:rsidR="0081151F" w:rsidRPr="009901FA" w:rsidRDefault="0081151F" w:rsidP="006749A9"/>
    <w:p w14:paraId="4C4ABCB0" w14:textId="5FFCB8F7" w:rsidR="0081151F" w:rsidRPr="009901FA" w:rsidRDefault="0081151F" w:rsidP="0081151F">
      <w:pPr>
        <w:pStyle w:val="Caption"/>
        <w:keepNext/>
      </w:pPr>
      <w:bookmarkStart w:id="118" w:name="_Ref203750204"/>
      <w:r w:rsidRPr="009901FA">
        <w:t xml:space="preserve">Exhibit </w:t>
      </w:r>
      <w:r w:rsidR="00E61394">
        <w:t>4</w:t>
      </w:r>
      <w:r w:rsidR="008725B4" w:rsidRPr="009901FA">
        <w:t>.</w:t>
      </w:r>
      <w:fldSimple w:instr=" SEQ Exhibit \* ARABIC \s 2 ">
        <w:r w:rsidR="00DE378F" w:rsidRPr="009901FA">
          <w:rPr>
            <w:noProof/>
          </w:rPr>
          <w:t>25</w:t>
        </w:r>
      </w:fldSimple>
      <w:bookmarkEnd w:id="118"/>
    </w:p>
    <w:p w14:paraId="6D27A427" w14:textId="7A0A8ACA" w:rsidR="00D400CA" w:rsidRPr="00A247A6" w:rsidRDefault="005860F5" w:rsidP="006749A9">
      <w:pPr>
        <w:rPr>
          <w:lang w:val="en-US"/>
        </w:rPr>
      </w:pPr>
      <w:r w:rsidRPr="009901FA">
        <w:rPr>
          <w:noProof/>
        </w:rPr>
        <w:drawing>
          <wp:inline distT="0" distB="0" distL="0" distR="0" wp14:anchorId="017B5648" wp14:editId="536E32DC">
            <wp:extent cx="6263640" cy="3523615"/>
            <wp:effectExtent l="0" t="0" r="0" b="635"/>
            <wp:docPr id="1954816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81605" name=""/>
                    <pic:cNvPicPr/>
                  </pic:nvPicPr>
                  <pic:blipFill>
                    <a:blip r:embed="rId112">
                      <a:extLst>
                        <a:ext uri="{96DAC541-7B7A-43D3-8B79-37D633B846F1}">
                          <asvg:svgBlip xmlns:asvg="http://schemas.microsoft.com/office/drawing/2016/SVG/main" r:embed="rId113"/>
                        </a:ext>
                      </a:extLst>
                    </a:blip>
                    <a:stretch>
                      <a:fillRect/>
                    </a:stretch>
                  </pic:blipFill>
                  <pic:spPr>
                    <a:xfrm>
                      <a:off x="0" y="0"/>
                      <a:ext cx="6263640" cy="3523615"/>
                    </a:xfrm>
                    <a:prstGeom prst="rect">
                      <a:avLst/>
                    </a:prstGeom>
                  </pic:spPr>
                </pic:pic>
              </a:graphicData>
            </a:graphic>
          </wp:inline>
        </w:drawing>
      </w:r>
    </w:p>
    <w:p w14:paraId="1111002C" w14:textId="215D19A5" w:rsidR="0090577C" w:rsidRPr="009901FA" w:rsidRDefault="002471A8">
      <w:pPr>
        <w:rPr>
          <w:b/>
          <w:lang w:val="en-US"/>
        </w:rPr>
      </w:pPr>
      <w:r w:rsidRPr="009901FA">
        <w:rPr>
          <w:b/>
          <w:bCs/>
        </w:rPr>
        <w:t xml:space="preserve">The principle of using degraded land for sustainable biofuel production could create perverse incentives. </w:t>
      </w:r>
      <w:r w:rsidR="00E200EF" w:rsidRPr="009901FA">
        <w:t>Greater</w:t>
      </w:r>
      <w:r w:rsidR="00B46BFE" w:rsidRPr="009901FA">
        <w:t xml:space="preserve"> flexibility </w:t>
      </w:r>
      <w:r w:rsidR="00E200EF" w:rsidRPr="009901FA">
        <w:t>in classifying</w:t>
      </w:r>
      <w:r w:rsidR="00B46BFE" w:rsidRPr="009901FA">
        <w:t xml:space="preserve"> </w:t>
      </w:r>
      <w:r w:rsidRPr="009901FA">
        <w:t>such land may unintentionally reward actors who deliberately degrade it to secure sustainability certification for soil restoration or energy</w:t>
      </w:r>
      <w:r w:rsidRPr="009901FA">
        <w:noBreakHyphen/>
        <w:t>crop cultivation.</w:t>
      </w:r>
      <w:r w:rsidR="00E200EF" w:rsidRPr="009901FA">
        <w:t xml:space="preserve"> Existing</w:t>
      </w:r>
      <w:r w:rsidR="003A48A7" w:rsidRPr="009901FA">
        <w:t xml:space="preserve"> regulations do not </w:t>
      </w:r>
      <w:r w:rsidR="00E200EF" w:rsidRPr="009901FA">
        <w:t>prohibit</w:t>
      </w:r>
      <w:r w:rsidR="00E81556" w:rsidRPr="009901FA">
        <w:t xml:space="preserve"> this </w:t>
      </w:r>
      <w:r w:rsidR="00E200EF" w:rsidRPr="009901FA">
        <w:t xml:space="preserve">practice; therefore, as </w:t>
      </w:r>
      <w:r w:rsidR="004A6E24" w:rsidRPr="009901FA">
        <w:t xml:space="preserve">sustainable biomass </w:t>
      </w:r>
      <w:r w:rsidR="00E200EF" w:rsidRPr="009901FA">
        <w:t>becomes</w:t>
      </w:r>
      <w:r w:rsidR="004A6E24" w:rsidRPr="009901FA">
        <w:t xml:space="preserve"> more </w:t>
      </w:r>
      <w:r w:rsidR="00E200EF" w:rsidRPr="009901FA">
        <w:t>prominent, safeguards should</w:t>
      </w:r>
      <w:r w:rsidR="004A6E24" w:rsidRPr="009901FA">
        <w:t xml:space="preserve"> be </w:t>
      </w:r>
      <w:r w:rsidR="00E200EF" w:rsidRPr="009901FA">
        <w:t>established</w:t>
      </w:r>
      <w:r w:rsidR="004A6E24" w:rsidRPr="009901FA">
        <w:t xml:space="preserve"> to ensure that </w:t>
      </w:r>
      <w:r w:rsidR="00990BF9" w:rsidRPr="009901FA">
        <w:t xml:space="preserve">biofuel </w:t>
      </w:r>
      <w:r w:rsidR="00E200EF" w:rsidRPr="009901FA">
        <w:t>supply is</w:t>
      </w:r>
      <w:r w:rsidR="00990BF9" w:rsidRPr="009901FA">
        <w:t xml:space="preserve"> not </w:t>
      </w:r>
      <w:r w:rsidR="00E200EF" w:rsidRPr="009901FA">
        <w:t>generated</w:t>
      </w:r>
      <w:r w:rsidR="00990BF9" w:rsidRPr="009901FA">
        <w:t xml:space="preserve"> at the expense of </w:t>
      </w:r>
      <w:r w:rsidR="00E200EF" w:rsidRPr="009901FA">
        <w:t>deliberately</w:t>
      </w:r>
      <w:r w:rsidR="00990BF9" w:rsidRPr="009901FA">
        <w:t xml:space="preserve"> degraded land. </w:t>
      </w:r>
      <w:r w:rsidR="001F67A5" w:rsidRPr="009901FA">
        <w:fldChar w:fldCharType="begin"/>
      </w:r>
      <w:r w:rsidR="001F67A5" w:rsidRPr="009901FA">
        <w:instrText xml:space="preserve"> REF _Ref203751203 \h </w:instrText>
      </w:r>
      <w:r w:rsidR="00A247A6">
        <w:instrText xml:space="preserve"> \* MERGEFORMAT </w:instrText>
      </w:r>
      <w:r w:rsidR="001F67A5" w:rsidRPr="009901FA">
        <w:fldChar w:fldCharType="separate"/>
      </w:r>
      <w:r w:rsidR="00DE378F" w:rsidRPr="009901FA">
        <w:t xml:space="preserve">Exhibit </w:t>
      </w:r>
      <w:r w:rsidR="00E61394">
        <w:rPr>
          <w:noProof/>
        </w:rPr>
        <w:t>4</w:t>
      </w:r>
      <w:r w:rsidR="00DE378F" w:rsidRPr="009901FA">
        <w:t>.</w:t>
      </w:r>
      <w:r w:rsidR="00DE378F" w:rsidRPr="009901FA">
        <w:rPr>
          <w:noProof/>
        </w:rPr>
        <w:t>26</w:t>
      </w:r>
      <w:r w:rsidR="001F67A5" w:rsidRPr="009901FA">
        <w:fldChar w:fldCharType="end"/>
      </w:r>
      <w:r w:rsidR="00990BF9" w:rsidRPr="009901FA">
        <w:t xml:space="preserve"> </w:t>
      </w:r>
      <w:r w:rsidR="00E200EF" w:rsidRPr="009901FA">
        <w:t>outlines</w:t>
      </w:r>
      <w:r w:rsidR="00990BF9" w:rsidRPr="009901FA">
        <w:t xml:space="preserve"> </w:t>
      </w:r>
      <w:r w:rsidR="00A00E02" w:rsidRPr="009901FA">
        <w:t xml:space="preserve">five </w:t>
      </w:r>
      <w:r w:rsidR="00E200EF" w:rsidRPr="009901FA">
        <w:t xml:space="preserve">complementary </w:t>
      </w:r>
      <w:r w:rsidR="00A00E02" w:rsidRPr="009901FA">
        <w:t xml:space="preserve">actions that </w:t>
      </w:r>
      <w:r w:rsidR="00E200EF" w:rsidRPr="009901FA">
        <w:t>can be used to identify</w:t>
      </w:r>
      <w:r w:rsidR="00A00E02" w:rsidRPr="009901FA">
        <w:t xml:space="preserve"> and monitor </w:t>
      </w:r>
      <w:r w:rsidR="00E200EF" w:rsidRPr="009901FA">
        <w:t xml:space="preserve">suitable </w:t>
      </w:r>
      <w:r w:rsidR="00A00E02" w:rsidRPr="009901FA">
        <w:t xml:space="preserve">degraded </w:t>
      </w:r>
      <w:r w:rsidR="00E200EF" w:rsidRPr="009901FA">
        <w:t>areas</w:t>
      </w:r>
      <w:r w:rsidR="00A00E02" w:rsidRPr="009901FA">
        <w:t xml:space="preserve"> for sustainable biomass production</w:t>
      </w:r>
      <w:r w:rsidR="00E200EF" w:rsidRPr="009901FA">
        <w:t>, while discouraging</w:t>
      </w:r>
      <w:r w:rsidR="000A7323" w:rsidRPr="009901FA">
        <w:t xml:space="preserve"> further degradation</w:t>
      </w:r>
      <w:r w:rsidR="004F1C33" w:rsidRPr="009901FA">
        <w:t xml:space="preserve">. </w:t>
      </w:r>
      <w:r w:rsidR="00E200EF" w:rsidRPr="009901FA">
        <w:t xml:space="preserve">Adoption of such </w:t>
      </w:r>
      <w:r w:rsidR="00E95D2A" w:rsidRPr="009901FA">
        <w:t xml:space="preserve">policies </w:t>
      </w:r>
      <w:r w:rsidR="00E200EF" w:rsidRPr="009901FA">
        <w:t xml:space="preserve">would enable soil </w:t>
      </w:r>
      <w:r w:rsidR="004F1C33" w:rsidRPr="009901FA">
        <w:t xml:space="preserve">recovery and sustainable carbon sourcing </w:t>
      </w:r>
      <w:r w:rsidR="00E200EF" w:rsidRPr="009901FA">
        <w:t>without</w:t>
      </w:r>
      <w:r w:rsidR="00AA002C" w:rsidRPr="009901FA">
        <w:t xml:space="preserve"> additional environmental harm.</w:t>
      </w:r>
    </w:p>
    <w:p w14:paraId="38081269" w14:textId="1ECC625E" w:rsidR="001F67A5" w:rsidRPr="009901FA" w:rsidRDefault="001F67A5" w:rsidP="001F67A5">
      <w:pPr>
        <w:pStyle w:val="Caption"/>
        <w:keepNext/>
      </w:pPr>
      <w:bookmarkStart w:id="119" w:name="_Ref203751203"/>
      <w:r w:rsidRPr="009901FA">
        <w:lastRenderedPageBreak/>
        <w:t xml:space="preserve">Exhibit </w:t>
      </w:r>
      <w:r w:rsidR="00E61394">
        <w:t>4</w:t>
      </w:r>
      <w:r w:rsidR="008725B4" w:rsidRPr="009901FA">
        <w:t>.</w:t>
      </w:r>
      <w:fldSimple w:instr=" SEQ Exhibit \* ARABIC \s 2 ">
        <w:r w:rsidR="00DE378F" w:rsidRPr="009901FA">
          <w:rPr>
            <w:noProof/>
          </w:rPr>
          <w:t>26</w:t>
        </w:r>
      </w:fldSimple>
      <w:bookmarkEnd w:id="119"/>
    </w:p>
    <w:p w14:paraId="709E884F" w14:textId="7086742E" w:rsidR="00AA002C" w:rsidRPr="00A247A6" w:rsidRDefault="00AA002C" w:rsidP="006749A9">
      <w:r w:rsidRPr="009901FA">
        <w:rPr>
          <w:noProof/>
        </w:rPr>
        <w:drawing>
          <wp:inline distT="0" distB="0" distL="0" distR="0" wp14:anchorId="7123F8BA" wp14:editId="09C5C9BF">
            <wp:extent cx="6263640" cy="3523615"/>
            <wp:effectExtent l="0" t="0" r="0" b="0"/>
            <wp:docPr id="111941540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415401" name=""/>
                    <pic:cNvPicPr/>
                  </pic:nvPicPr>
                  <pic:blipFill>
                    <a:blip r:embed="rId114">
                      <a:extLst>
                        <a:ext uri="{96DAC541-7B7A-43D3-8B79-37D633B846F1}">
                          <asvg:svgBlip xmlns:asvg="http://schemas.microsoft.com/office/drawing/2016/SVG/main" r:embed="rId115"/>
                        </a:ext>
                      </a:extLst>
                    </a:blip>
                    <a:stretch>
                      <a:fillRect/>
                    </a:stretch>
                  </pic:blipFill>
                  <pic:spPr>
                    <a:xfrm>
                      <a:off x="0" y="0"/>
                      <a:ext cx="6263640" cy="3523615"/>
                    </a:xfrm>
                    <a:prstGeom prst="rect">
                      <a:avLst/>
                    </a:prstGeom>
                  </pic:spPr>
                </pic:pic>
              </a:graphicData>
            </a:graphic>
          </wp:inline>
        </w:drawing>
      </w:r>
    </w:p>
    <w:p w14:paraId="6437619C" w14:textId="1C9BFA96" w:rsidR="002471A8" w:rsidRPr="009901FA" w:rsidRDefault="005C4C40" w:rsidP="00BB07AA">
      <w:pPr>
        <w:pStyle w:val="Heading3"/>
        <w:ind w:firstLine="720"/>
      </w:pPr>
      <w:bookmarkStart w:id="120" w:name="_Toc205392467"/>
      <w:bookmarkStart w:id="121" w:name="_Toc205554236"/>
      <w:r>
        <w:t>4</w:t>
      </w:r>
      <w:r w:rsidR="001E28B4" w:rsidRPr="009901FA">
        <w:t>.</w:t>
      </w:r>
      <w:r w:rsidR="00974663" w:rsidRPr="009901FA">
        <w:t>2</w:t>
      </w:r>
      <w:r w:rsidR="001E28B4" w:rsidRPr="009901FA">
        <w:t>.</w:t>
      </w:r>
      <w:r w:rsidR="00974663" w:rsidRPr="009901FA">
        <w:t>2</w:t>
      </w:r>
      <w:r w:rsidR="006749A9" w:rsidRPr="009901FA">
        <w:t xml:space="preserve"> More Land – Alternative Proteins</w:t>
      </w:r>
      <w:bookmarkEnd w:id="120"/>
      <w:bookmarkEnd w:id="121"/>
    </w:p>
    <w:p w14:paraId="0A2A710F" w14:textId="36FA15E0" w:rsidR="001E28B4" w:rsidRPr="009901FA" w:rsidRDefault="002471A8" w:rsidP="00974663">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Overview</w:t>
      </w:r>
    </w:p>
    <w:p w14:paraId="6A4252AE" w14:textId="0337E960" w:rsidR="00E64EBC" w:rsidRPr="009901FA" w:rsidRDefault="00E64EBC" w:rsidP="00E64EBC">
      <w:r w:rsidRPr="009901FA">
        <w:rPr>
          <w:b/>
          <w:bCs/>
        </w:rPr>
        <w:t>Land needed for energy</w:t>
      </w:r>
      <w:r w:rsidRPr="009901FA">
        <w:rPr>
          <w:b/>
          <w:bCs/>
        </w:rPr>
        <w:noBreakHyphen/>
        <w:t>crop cultivation can be freed by adopting alternative protein production methods.</w:t>
      </w:r>
      <w:r w:rsidRPr="009901FA">
        <w:t xml:space="preserve"> Alternative proteins refer to technology</w:t>
      </w:r>
      <w:r w:rsidRPr="009901FA">
        <w:noBreakHyphen/>
        <w:t>based processes that re</w:t>
      </w:r>
      <w:r w:rsidRPr="009901FA">
        <w:noBreakHyphen/>
        <w:t xml:space="preserve">route protein supply from animal sources to </w:t>
      </w:r>
      <w:r w:rsidR="00081B34" w:rsidRPr="009901FA">
        <w:t xml:space="preserve">plant based, fermented and </w:t>
      </w:r>
      <w:r w:rsidRPr="009901FA">
        <w:t>lab</w:t>
      </w:r>
      <w:r w:rsidRPr="009901FA">
        <w:noBreakHyphen/>
        <w:t>grown products. Such methods require less water, land, and energy, achieve higher conversion efficiency, and shorten production cycles. A potential revolution in food sourcing is therefore offered, although significant technological, cultural, and consumer resistance must still be overcome.</w:t>
      </w:r>
    </w:p>
    <w:p w14:paraId="543EA20E" w14:textId="204EEE5E" w:rsidR="00E26684" w:rsidRPr="00A247A6" w:rsidRDefault="007B4163">
      <w:r w:rsidRPr="009901FA">
        <w:rPr>
          <w:b/>
          <w:bCs/>
        </w:rPr>
        <w:t xml:space="preserve">Three </w:t>
      </w:r>
      <w:r w:rsidR="0056133C" w:rsidRPr="009901FA">
        <w:rPr>
          <w:b/>
          <w:bCs/>
        </w:rPr>
        <w:t xml:space="preserve">innovations </w:t>
      </w:r>
      <w:r w:rsidR="00E64EBC" w:rsidRPr="009901FA">
        <w:rPr>
          <w:b/>
          <w:bCs/>
        </w:rPr>
        <w:t>have been identified</w:t>
      </w:r>
      <w:r w:rsidR="00FB3F93" w:rsidRPr="009901FA">
        <w:rPr>
          <w:b/>
          <w:bCs/>
        </w:rPr>
        <w:t xml:space="preserve"> as </w:t>
      </w:r>
      <w:r w:rsidR="00E64EBC" w:rsidRPr="009901FA">
        <w:rPr>
          <w:b/>
          <w:bCs/>
        </w:rPr>
        <w:t xml:space="preserve">having </w:t>
      </w:r>
      <w:r w:rsidR="00FB3F93" w:rsidRPr="009901FA">
        <w:rPr>
          <w:b/>
          <w:bCs/>
        </w:rPr>
        <w:t xml:space="preserve">the </w:t>
      </w:r>
      <w:r w:rsidR="00E64EBC" w:rsidRPr="009901FA">
        <w:rPr>
          <w:b/>
          <w:bCs/>
        </w:rPr>
        <w:t>greatest</w:t>
      </w:r>
      <w:r w:rsidR="00FB3F93" w:rsidRPr="009901FA">
        <w:rPr>
          <w:b/>
          <w:bCs/>
        </w:rPr>
        <w:t xml:space="preserve"> potential </w:t>
      </w:r>
      <w:r w:rsidR="00E64EBC" w:rsidRPr="009901FA">
        <w:rPr>
          <w:b/>
          <w:bCs/>
        </w:rPr>
        <w:t>for</w:t>
      </w:r>
      <w:r w:rsidR="00FB3F93" w:rsidRPr="009901FA">
        <w:rPr>
          <w:b/>
          <w:bCs/>
        </w:rPr>
        <w:t xml:space="preserve"> land savings</w:t>
      </w:r>
      <w:r w:rsidR="001C7105" w:rsidRPr="009901FA">
        <w:rPr>
          <w:b/>
          <w:bCs/>
        </w:rPr>
        <w:t>: biomass fermentation, precision fermentation</w:t>
      </w:r>
      <w:r w:rsidR="00E64EBC" w:rsidRPr="009901FA">
        <w:rPr>
          <w:b/>
          <w:bCs/>
        </w:rPr>
        <w:t>,</w:t>
      </w:r>
      <w:r w:rsidR="001C7105" w:rsidRPr="009901FA">
        <w:rPr>
          <w:b/>
          <w:bCs/>
        </w:rPr>
        <w:t xml:space="preserve"> and </w:t>
      </w:r>
      <w:r w:rsidR="00C1735C" w:rsidRPr="009901FA">
        <w:rPr>
          <w:b/>
          <w:bCs/>
        </w:rPr>
        <w:t>cultivated meat.</w:t>
      </w:r>
      <w:r w:rsidR="00C1735C" w:rsidRPr="009901FA">
        <w:t xml:space="preserve"> </w:t>
      </w:r>
      <w:r w:rsidR="00E64EBC" w:rsidRPr="009901FA">
        <w:t>In general, these</w:t>
      </w:r>
      <w:r w:rsidR="006C03B4" w:rsidRPr="009901FA">
        <w:t xml:space="preserve"> technologies involve </w:t>
      </w:r>
      <w:r w:rsidR="00FD475B" w:rsidRPr="009901FA">
        <w:t xml:space="preserve">three steps: (i) </w:t>
      </w:r>
      <w:r w:rsidR="00E64EBC" w:rsidRPr="009901FA">
        <w:t>microbe</w:t>
      </w:r>
      <w:r w:rsidR="00FD475B" w:rsidRPr="009901FA">
        <w:t xml:space="preserve"> selection or </w:t>
      </w:r>
      <w:r w:rsidR="00262E8D" w:rsidRPr="009901FA">
        <w:t>cell sourcing (</w:t>
      </w:r>
      <w:r w:rsidR="00E64EBC" w:rsidRPr="009901FA">
        <w:t>for</w:t>
      </w:r>
      <w:r w:rsidR="00262E8D" w:rsidRPr="009901FA">
        <w:t xml:space="preserve"> cultivated meat); (ii) </w:t>
      </w:r>
      <w:r w:rsidR="00E64EBC" w:rsidRPr="009901FA">
        <w:t xml:space="preserve">microbe or cell </w:t>
      </w:r>
      <w:r w:rsidR="0006343B" w:rsidRPr="009901FA">
        <w:t xml:space="preserve">growth in bioreactors; </w:t>
      </w:r>
      <w:r w:rsidR="00E64EBC" w:rsidRPr="009901FA">
        <w:t xml:space="preserve">and </w:t>
      </w:r>
      <w:r w:rsidR="0006343B" w:rsidRPr="009901FA">
        <w:t xml:space="preserve">(iii) </w:t>
      </w:r>
      <w:r w:rsidR="00EA3F34" w:rsidRPr="009901FA">
        <w:t>product extraction</w:t>
      </w:r>
      <w:r w:rsidR="006C03B4" w:rsidRPr="009901FA">
        <w:t>.</w:t>
      </w:r>
      <w:r w:rsidR="00EA3F34" w:rsidRPr="009901FA">
        <w:t xml:space="preserve"> </w:t>
      </w:r>
      <w:r w:rsidR="001F67A5" w:rsidRPr="009901FA">
        <w:rPr>
          <w:highlight w:val="yellow"/>
        </w:rPr>
        <w:fldChar w:fldCharType="begin"/>
      </w:r>
      <w:r w:rsidR="001F67A5" w:rsidRPr="009901FA">
        <w:instrText xml:space="preserve"> REF _Ref203751222 \h </w:instrText>
      </w:r>
      <w:r w:rsidR="00A247A6">
        <w:rPr>
          <w:highlight w:val="yellow"/>
        </w:rPr>
        <w:instrText xml:space="preserve"> \* MERGEFORMAT </w:instrText>
      </w:r>
      <w:r w:rsidR="001F67A5" w:rsidRPr="009901FA">
        <w:rPr>
          <w:highlight w:val="yellow"/>
        </w:rPr>
      </w:r>
      <w:r w:rsidR="001F67A5" w:rsidRPr="009901FA">
        <w:rPr>
          <w:highlight w:val="yellow"/>
        </w:rPr>
        <w:fldChar w:fldCharType="separate"/>
      </w:r>
      <w:r w:rsidR="00DE378F" w:rsidRPr="009901FA">
        <w:t xml:space="preserve">Exhibit </w:t>
      </w:r>
      <w:r w:rsidR="00E61394">
        <w:rPr>
          <w:noProof/>
        </w:rPr>
        <w:t>4</w:t>
      </w:r>
      <w:r w:rsidR="00DE378F" w:rsidRPr="009901FA">
        <w:t>.</w:t>
      </w:r>
      <w:r w:rsidR="00DE378F" w:rsidRPr="009901FA">
        <w:rPr>
          <w:noProof/>
        </w:rPr>
        <w:t>27</w:t>
      </w:r>
      <w:r w:rsidR="001F67A5" w:rsidRPr="009901FA">
        <w:rPr>
          <w:highlight w:val="yellow"/>
        </w:rPr>
        <w:fldChar w:fldCharType="end"/>
      </w:r>
      <w:r w:rsidR="00E64EBC" w:rsidRPr="009901FA">
        <w:t xml:space="preserve"> summarises the principal features of each technology and the leading industry participants.</w:t>
      </w:r>
      <w:r w:rsidR="00E26684" w:rsidRPr="009901FA">
        <w:rPr>
          <w:b/>
          <w:bCs/>
          <w:color w:val="00146D" w:themeColor="text2"/>
          <w:highlight w:val="yellow"/>
        </w:rPr>
        <w:br w:type="page"/>
      </w:r>
    </w:p>
    <w:p w14:paraId="2D300752" w14:textId="237BADC4" w:rsidR="001F67A5" w:rsidRPr="009901FA" w:rsidRDefault="001F67A5" w:rsidP="001F67A5">
      <w:pPr>
        <w:pStyle w:val="Caption"/>
        <w:keepNext/>
      </w:pPr>
      <w:bookmarkStart w:id="122" w:name="_Ref203751222"/>
      <w:r w:rsidRPr="009901FA">
        <w:lastRenderedPageBreak/>
        <w:t xml:space="preserve">Exhibit </w:t>
      </w:r>
      <w:r w:rsidR="00E61394">
        <w:t>4</w:t>
      </w:r>
      <w:r w:rsidR="008725B4" w:rsidRPr="009901FA">
        <w:t>.</w:t>
      </w:r>
      <w:fldSimple w:instr=" SEQ Exhibit \* ARABIC \s 2 ">
        <w:r w:rsidR="00DE378F" w:rsidRPr="009901FA">
          <w:rPr>
            <w:noProof/>
          </w:rPr>
          <w:t>27</w:t>
        </w:r>
      </w:fldSimple>
      <w:bookmarkEnd w:id="122"/>
    </w:p>
    <w:p w14:paraId="2A62ED27" w14:textId="574A42D3" w:rsidR="00E26684" w:rsidRPr="00A247A6" w:rsidRDefault="00767BEA" w:rsidP="006749A9">
      <w:pPr>
        <w:rPr>
          <w:b/>
          <w:bCs/>
        </w:rPr>
      </w:pPr>
      <w:r w:rsidRPr="009901FA">
        <w:rPr>
          <w:noProof/>
        </w:rPr>
        <w:drawing>
          <wp:inline distT="0" distB="0" distL="0" distR="0" wp14:anchorId="56F26F91" wp14:editId="173A77FB">
            <wp:extent cx="6263640" cy="3523615"/>
            <wp:effectExtent l="0" t="0" r="0" b="0"/>
            <wp:docPr id="2546595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65951" name=""/>
                    <pic:cNvPicPr/>
                  </pic:nvPicPr>
                  <pic:blipFill>
                    <a:blip r:embed="rId116">
                      <a:extLst>
                        <a:ext uri="{96DAC541-7B7A-43D3-8B79-37D633B846F1}">
                          <asvg:svgBlip xmlns:asvg="http://schemas.microsoft.com/office/drawing/2016/SVG/main" r:embed="rId117"/>
                        </a:ext>
                      </a:extLst>
                    </a:blip>
                    <a:stretch>
                      <a:fillRect/>
                    </a:stretch>
                  </pic:blipFill>
                  <pic:spPr>
                    <a:xfrm>
                      <a:off x="0" y="0"/>
                      <a:ext cx="6263640" cy="3523615"/>
                    </a:xfrm>
                    <a:prstGeom prst="rect">
                      <a:avLst/>
                    </a:prstGeom>
                  </pic:spPr>
                </pic:pic>
              </a:graphicData>
            </a:graphic>
          </wp:inline>
        </w:drawing>
      </w:r>
    </w:p>
    <w:p w14:paraId="19E8ADBD" w14:textId="0D766048" w:rsidR="00974663" w:rsidRPr="009901FA" w:rsidRDefault="00974663" w:rsidP="00974663">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Costs</w:t>
      </w:r>
    </w:p>
    <w:p w14:paraId="7D04CD33" w14:textId="76ACFB58" w:rsidR="00974663" w:rsidRPr="009901FA" w:rsidRDefault="00F04563">
      <w:pPr>
        <w:rPr>
          <w:bCs/>
        </w:rPr>
      </w:pPr>
      <w:r w:rsidRPr="009901FA">
        <w:rPr>
          <w:b/>
        </w:rPr>
        <w:t>Cost competitiveness with animal</w:t>
      </w:r>
      <w:r w:rsidRPr="009901FA">
        <w:rPr>
          <w:b/>
        </w:rPr>
        <w:noBreakHyphen/>
        <w:t>based protein has not yet been achieved by these innovations; however, parity could be reached by</w:t>
      </w:r>
      <w:r w:rsidRPr="00A247A6">
        <w:rPr>
          <w:rFonts w:ascii="Arial" w:hAnsi="Arial" w:cs="Arial"/>
          <w:b/>
        </w:rPr>
        <w:t> </w:t>
      </w:r>
      <w:r w:rsidRPr="009901FA">
        <w:rPr>
          <w:b/>
        </w:rPr>
        <w:t>2050</w:t>
      </w:r>
      <w:r w:rsidR="0071486B" w:rsidRPr="009901FA">
        <w:rPr>
          <w:b/>
        </w:rPr>
        <w:t>, or even before,</w:t>
      </w:r>
      <w:r w:rsidRPr="009901FA">
        <w:rPr>
          <w:b/>
        </w:rPr>
        <w:t xml:space="preserve"> if critical cost</w:t>
      </w:r>
      <w:r w:rsidRPr="009901FA">
        <w:rPr>
          <w:b/>
        </w:rPr>
        <w:noBreakHyphen/>
        <w:t>reduction levers are applied.</w:t>
      </w:r>
      <w:r w:rsidRPr="009901FA">
        <w:rPr>
          <w:bCs/>
        </w:rPr>
        <w:t xml:space="preserve"> An overview of current and projected costs is provided in </w:t>
      </w:r>
      <w:r w:rsidR="001F67A5" w:rsidRPr="009901FA">
        <w:rPr>
          <w:bCs/>
          <w:highlight w:val="yellow"/>
        </w:rPr>
        <w:fldChar w:fldCharType="begin"/>
      </w:r>
      <w:r w:rsidR="001F67A5" w:rsidRPr="009901FA">
        <w:rPr>
          <w:bCs/>
        </w:rPr>
        <w:instrText xml:space="preserve"> REF _Ref203751238 \h </w:instrText>
      </w:r>
      <w:r w:rsidR="00A247A6">
        <w:rPr>
          <w:bCs/>
          <w:highlight w:val="yellow"/>
        </w:rPr>
        <w:instrText xml:space="preserve"> \* MERGEFORMAT </w:instrText>
      </w:r>
      <w:r w:rsidR="001F67A5" w:rsidRPr="009901FA">
        <w:rPr>
          <w:bCs/>
          <w:highlight w:val="yellow"/>
        </w:rPr>
      </w:r>
      <w:r w:rsidR="001F67A5" w:rsidRPr="009901FA">
        <w:rPr>
          <w:bCs/>
          <w:highlight w:val="yellow"/>
        </w:rPr>
        <w:fldChar w:fldCharType="separate"/>
      </w:r>
      <w:r w:rsidR="00DE378F" w:rsidRPr="009901FA">
        <w:t xml:space="preserve">Exhibit </w:t>
      </w:r>
      <w:r w:rsidR="00E61394">
        <w:rPr>
          <w:noProof/>
        </w:rPr>
        <w:t>4</w:t>
      </w:r>
      <w:r w:rsidR="00DE378F" w:rsidRPr="009901FA">
        <w:t>.</w:t>
      </w:r>
      <w:r w:rsidR="00DE378F" w:rsidRPr="009901FA">
        <w:rPr>
          <w:noProof/>
        </w:rPr>
        <w:t>28</w:t>
      </w:r>
      <w:r w:rsidR="001F67A5" w:rsidRPr="009901FA">
        <w:rPr>
          <w:bCs/>
          <w:highlight w:val="yellow"/>
        </w:rPr>
        <w:fldChar w:fldCharType="end"/>
      </w:r>
      <w:r w:rsidRPr="009901FA">
        <w:rPr>
          <w:bCs/>
        </w:rPr>
        <w:t xml:space="preserve">. At present, mass adoption is constrained by low technological maturity, limited output, and complex processing requirements. </w:t>
      </w:r>
      <w:r w:rsidR="00461B6E" w:rsidRPr="009901FA">
        <w:rPr>
          <w:bCs/>
        </w:rPr>
        <w:t>Targeted strain optimisation can trim operating costs by 10</w:t>
      </w:r>
      <w:r w:rsidR="00461B6E" w:rsidRPr="00A247A6">
        <w:rPr>
          <w:rFonts w:ascii="Arial" w:hAnsi="Arial" w:cs="Arial"/>
          <w:bCs/>
        </w:rPr>
        <w:t> </w:t>
      </w:r>
      <w:r w:rsidR="00461B6E" w:rsidRPr="009901FA">
        <w:rPr>
          <w:rFonts w:cs="Arial Nova"/>
          <w:bCs/>
        </w:rPr>
        <w:t>–</w:t>
      </w:r>
      <w:r w:rsidR="00461B6E" w:rsidRPr="00A247A6">
        <w:rPr>
          <w:rFonts w:ascii="Arial" w:hAnsi="Arial" w:cs="Arial"/>
          <w:bCs/>
        </w:rPr>
        <w:t> </w:t>
      </w:r>
      <w:r w:rsidR="00461B6E" w:rsidRPr="009901FA">
        <w:rPr>
          <w:bCs/>
        </w:rPr>
        <w:t>50</w:t>
      </w:r>
      <w:r w:rsidR="00461B6E" w:rsidRPr="00A247A6">
        <w:rPr>
          <w:rFonts w:ascii="Arial" w:hAnsi="Arial" w:cs="Arial"/>
          <w:bCs/>
        </w:rPr>
        <w:t> </w:t>
      </w:r>
      <w:r w:rsidR="00461B6E" w:rsidRPr="009901FA">
        <w:rPr>
          <w:bCs/>
        </w:rPr>
        <w:t>%</w:t>
      </w:r>
      <w:r w:rsidR="0037548C" w:rsidRPr="009901FA">
        <w:rPr>
          <w:rStyle w:val="FootnoteReference"/>
          <w:bCs/>
        </w:rPr>
        <w:footnoteReference w:id="83"/>
      </w:r>
      <w:r w:rsidR="00461B6E" w:rsidRPr="009901FA">
        <w:rPr>
          <w:bCs/>
        </w:rPr>
        <w:t>. Scaling production</w:t>
      </w:r>
      <w:r w:rsidR="00C80163" w:rsidRPr="009901FA">
        <w:rPr>
          <w:rFonts w:cs="Arial Nova"/>
          <w:bCs/>
        </w:rPr>
        <w:t xml:space="preserve">, </w:t>
      </w:r>
      <w:r w:rsidR="00461B6E" w:rsidRPr="009901FA">
        <w:rPr>
          <w:bCs/>
        </w:rPr>
        <w:t>through repurposing existing plants, streamlining processes, and adopting next</w:t>
      </w:r>
      <w:r w:rsidR="00461B6E" w:rsidRPr="009901FA">
        <w:rPr>
          <w:bCs/>
        </w:rPr>
        <w:noBreakHyphen/>
        <w:t>generation bioreactors</w:t>
      </w:r>
      <w:r w:rsidR="00C80163" w:rsidRPr="009901FA">
        <w:rPr>
          <w:rFonts w:cs="Arial Nova"/>
          <w:bCs/>
        </w:rPr>
        <w:t xml:space="preserve">, </w:t>
      </w:r>
      <w:r w:rsidR="00461B6E" w:rsidRPr="009901FA">
        <w:rPr>
          <w:bCs/>
        </w:rPr>
        <w:t xml:space="preserve">could then shrink </w:t>
      </w:r>
      <w:r w:rsidR="00C80163" w:rsidRPr="009901FA">
        <w:rPr>
          <w:bCs/>
        </w:rPr>
        <w:t>CAPEX</w:t>
      </w:r>
      <w:r w:rsidR="00461B6E" w:rsidRPr="009901FA">
        <w:rPr>
          <w:bCs/>
        </w:rPr>
        <w:t xml:space="preserve"> by </w:t>
      </w:r>
      <w:r w:rsidR="00C80163" w:rsidRPr="009901FA">
        <w:rPr>
          <w:bCs/>
        </w:rPr>
        <w:t>more than</w:t>
      </w:r>
      <w:r w:rsidR="00461B6E" w:rsidRPr="009901FA">
        <w:rPr>
          <w:bCs/>
        </w:rPr>
        <w:t xml:space="preserve"> 70</w:t>
      </w:r>
      <w:r w:rsidR="00461B6E" w:rsidRPr="00A247A6">
        <w:rPr>
          <w:rFonts w:ascii="Arial" w:hAnsi="Arial" w:cs="Arial"/>
          <w:bCs/>
        </w:rPr>
        <w:t> </w:t>
      </w:r>
      <w:r w:rsidR="00461B6E" w:rsidRPr="009901FA">
        <w:rPr>
          <w:bCs/>
        </w:rPr>
        <w:t>%</w:t>
      </w:r>
      <w:r w:rsidR="00D43162" w:rsidRPr="009901FA">
        <w:rPr>
          <w:rStyle w:val="FootnoteReference"/>
          <w:bCs/>
        </w:rPr>
        <w:footnoteReference w:id="84"/>
      </w:r>
      <w:r w:rsidR="00E409EB" w:rsidRPr="009901FA">
        <w:rPr>
          <w:bCs/>
        </w:rPr>
        <w:t>.</w:t>
      </w:r>
      <w:r w:rsidR="00F401E3" w:rsidRPr="009901FA">
        <w:rPr>
          <w:bCs/>
        </w:rPr>
        <w:t xml:space="preserve"> </w:t>
      </w:r>
      <w:r w:rsidR="00E409EB" w:rsidRPr="009901FA">
        <w:rPr>
          <w:bCs/>
        </w:rPr>
        <w:t>When</w:t>
      </w:r>
      <w:r w:rsidRPr="009901FA">
        <w:rPr>
          <w:bCs/>
        </w:rPr>
        <w:t xml:space="preserve"> these barriers are overcome</w:t>
      </w:r>
      <w:r w:rsidR="00D30233" w:rsidRPr="009901FA">
        <w:rPr>
          <w:bCs/>
        </w:rPr>
        <w:t xml:space="preserve">, the </w:t>
      </w:r>
      <w:r w:rsidR="002A498E" w:rsidRPr="009901FA">
        <w:rPr>
          <w:bCs/>
        </w:rPr>
        <w:t xml:space="preserve">production costs of </w:t>
      </w:r>
      <w:r w:rsidR="00C35A6D" w:rsidRPr="009901FA">
        <w:rPr>
          <w:bCs/>
        </w:rPr>
        <w:t xml:space="preserve">alternative </w:t>
      </w:r>
      <w:r w:rsidR="00901314" w:rsidRPr="009901FA">
        <w:rPr>
          <w:bCs/>
        </w:rPr>
        <w:t xml:space="preserve">proteins could </w:t>
      </w:r>
      <w:r w:rsidRPr="009901FA">
        <w:rPr>
          <w:bCs/>
        </w:rPr>
        <w:t>fall sufficiently</w:t>
      </w:r>
      <w:r w:rsidR="00901314" w:rsidRPr="009901FA">
        <w:rPr>
          <w:bCs/>
        </w:rPr>
        <w:t xml:space="preserve"> to displace animal</w:t>
      </w:r>
      <w:r w:rsidRPr="009901FA">
        <w:rPr>
          <w:bCs/>
        </w:rPr>
        <w:noBreakHyphen/>
      </w:r>
      <w:r w:rsidR="00901314" w:rsidRPr="009901FA">
        <w:rPr>
          <w:bCs/>
        </w:rPr>
        <w:t xml:space="preserve">based protein and </w:t>
      </w:r>
      <w:r w:rsidR="00A06541" w:rsidRPr="009901FA">
        <w:rPr>
          <w:bCs/>
        </w:rPr>
        <w:t>free</w:t>
      </w:r>
      <w:r w:rsidRPr="009901FA">
        <w:rPr>
          <w:bCs/>
        </w:rPr>
        <w:t xml:space="preserve"> </w:t>
      </w:r>
      <w:r w:rsidR="00A06541" w:rsidRPr="009901FA">
        <w:rPr>
          <w:bCs/>
        </w:rPr>
        <w:t xml:space="preserve">up land </w:t>
      </w:r>
      <w:r w:rsidRPr="009901FA">
        <w:rPr>
          <w:bCs/>
        </w:rPr>
        <w:t>for other agricultural</w:t>
      </w:r>
      <w:r w:rsidR="00064194" w:rsidRPr="009901FA">
        <w:rPr>
          <w:bCs/>
        </w:rPr>
        <w:t xml:space="preserve">, </w:t>
      </w:r>
      <w:r w:rsidR="00702326" w:rsidRPr="009901FA">
        <w:rPr>
          <w:bCs/>
        </w:rPr>
        <w:t>biomass</w:t>
      </w:r>
      <w:r w:rsidRPr="009901FA">
        <w:rPr>
          <w:bCs/>
        </w:rPr>
        <w:t xml:space="preserve"> or ecological uses</w:t>
      </w:r>
      <w:r w:rsidR="00703E88" w:rsidRPr="009901FA">
        <w:rPr>
          <w:bCs/>
        </w:rPr>
        <w:t>.</w:t>
      </w:r>
    </w:p>
    <w:p w14:paraId="7D553847" w14:textId="77777777" w:rsidR="003E131C" w:rsidRPr="009901FA" w:rsidRDefault="003E131C">
      <w:pPr>
        <w:rPr>
          <w:b/>
          <w:bCs/>
          <w:color w:val="00146D" w:themeColor="text2"/>
          <w:highlight w:val="yellow"/>
        </w:rPr>
      </w:pPr>
      <w:r w:rsidRPr="009901FA">
        <w:rPr>
          <w:b/>
          <w:bCs/>
          <w:color w:val="00146D" w:themeColor="text2"/>
          <w:highlight w:val="yellow"/>
        </w:rPr>
        <w:br w:type="page"/>
      </w:r>
    </w:p>
    <w:p w14:paraId="6616246D" w14:textId="7E417374" w:rsidR="001F67A5" w:rsidRPr="009901FA" w:rsidRDefault="001F67A5" w:rsidP="001F67A5">
      <w:pPr>
        <w:pStyle w:val="Caption"/>
        <w:keepNext/>
      </w:pPr>
      <w:bookmarkStart w:id="123" w:name="_Ref203751238"/>
      <w:r w:rsidRPr="009901FA">
        <w:lastRenderedPageBreak/>
        <w:t xml:space="preserve">Exhibit </w:t>
      </w:r>
      <w:r w:rsidR="00E61394">
        <w:t>4</w:t>
      </w:r>
      <w:r w:rsidR="008725B4" w:rsidRPr="009901FA">
        <w:t>.</w:t>
      </w:r>
      <w:fldSimple w:instr=" SEQ Exhibit \* ARABIC \s 2 ">
        <w:r w:rsidR="00DE378F" w:rsidRPr="009901FA">
          <w:rPr>
            <w:noProof/>
          </w:rPr>
          <w:t>28</w:t>
        </w:r>
      </w:fldSimple>
      <w:bookmarkEnd w:id="123"/>
    </w:p>
    <w:p w14:paraId="4C852302" w14:textId="7CD2276B" w:rsidR="00AD47A6" w:rsidRPr="00A247A6" w:rsidRDefault="008775BD" w:rsidP="006749A9">
      <w:r w:rsidRPr="009901FA">
        <w:rPr>
          <w:noProof/>
        </w:rPr>
        <w:drawing>
          <wp:inline distT="0" distB="0" distL="0" distR="0" wp14:anchorId="0234C3BC" wp14:editId="2DFD2162">
            <wp:extent cx="6011186" cy="3381597"/>
            <wp:effectExtent l="0" t="0" r="0" b="0"/>
            <wp:docPr id="34374493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744932" name=""/>
                    <pic:cNvPicPr/>
                  </pic:nvPicPr>
                  <pic:blipFill>
                    <a:blip r:embed="rId118">
                      <a:extLst>
                        <a:ext uri="{96DAC541-7B7A-43D3-8B79-37D633B846F1}">
                          <asvg:svgBlip xmlns:asvg="http://schemas.microsoft.com/office/drawing/2016/SVG/main" r:embed="rId119"/>
                        </a:ext>
                      </a:extLst>
                    </a:blip>
                    <a:stretch>
                      <a:fillRect/>
                    </a:stretch>
                  </pic:blipFill>
                  <pic:spPr>
                    <a:xfrm>
                      <a:off x="0" y="0"/>
                      <a:ext cx="6013577" cy="3382942"/>
                    </a:xfrm>
                    <a:prstGeom prst="rect">
                      <a:avLst/>
                    </a:prstGeom>
                  </pic:spPr>
                </pic:pic>
              </a:graphicData>
            </a:graphic>
          </wp:inline>
        </w:drawing>
      </w:r>
      <w:r w:rsidR="00944A12" w:rsidRPr="00A247A6">
        <w:rPr>
          <w:b/>
        </w:rPr>
        <w:t xml:space="preserve"> </w:t>
      </w:r>
    </w:p>
    <w:p w14:paraId="48A6DFF5" w14:textId="594992F0" w:rsidR="000E56D1" w:rsidRPr="009901FA" w:rsidRDefault="000E56D1" w:rsidP="000E56D1">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Impact</w:t>
      </w:r>
    </w:p>
    <w:p w14:paraId="19D590BE" w14:textId="369296F5" w:rsidR="00A65033" w:rsidRPr="009901FA" w:rsidRDefault="00851ACC" w:rsidP="00A65033">
      <w:r w:rsidRPr="009901FA">
        <w:rPr>
          <w:b/>
          <w:bCs/>
        </w:rPr>
        <w:t>When</w:t>
      </w:r>
      <w:r w:rsidR="00A65033" w:rsidRPr="009901FA">
        <w:rPr>
          <w:b/>
          <w:bCs/>
        </w:rPr>
        <w:t xml:space="preserve"> cost parity </w:t>
      </w:r>
      <w:r w:rsidRPr="009901FA">
        <w:rPr>
          <w:b/>
          <w:bCs/>
        </w:rPr>
        <w:t>is</w:t>
      </w:r>
      <w:r w:rsidR="00A65033" w:rsidRPr="009901FA">
        <w:rPr>
          <w:b/>
          <w:bCs/>
        </w:rPr>
        <w:t xml:space="preserve"> achieved, up to 400</w:t>
      </w:r>
      <w:r w:rsidR="00A65033" w:rsidRPr="00A247A6">
        <w:rPr>
          <w:rFonts w:ascii="Arial" w:hAnsi="Arial" w:cs="Arial"/>
          <w:b/>
          <w:bCs/>
        </w:rPr>
        <w:t> </w:t>
      </w:r>
      <w:r w:rsidR="00A65033" w:rsidRPr="009901FA">
        <w:rPr>
          <w:b/>
          <w:bCs/>
        </w:rPr>
        <w:t>Mt (million tonnes) of animal</w:t>
      </w:r>
      <w:r w:rsidR="00A65033" w:rsidRPr="009901FA">
        <w:rPr>
          <w:b/>
          <w:bCs/>
        </w:rPr>
        <w:noBreakHyphen/>
        <w:t>based protein could be displaced</w:t>
      </w:r>
      <w:r w:rsidR="00734AF6" w:rsidRPr="009901FA">
        <w:rPr>
          <w:b/>
          <w:bCs/>
        </w:rPr>
        <w:t xml:space="preserve"> by alternative proteins</w:t>
      </w:r>
      <w:r w:rsidR="00A65033" w:rsidRPr="009901FA">
        <w:rPr>
          <w:b/>
          <w:bCs/>
        </w:rPr>
        <w:t>, freeing approximately 587</w:t>
      </w:r>
      <w:r w:rsidR="00A65033" w:rsidRPr="00A247A6">
        <w:rPr>
          <w:rFonts w:ascii="Arial" w:hAnsi="Arial" w:cs="Arial"/>
          <w:b/>
          <w:bCs/>
        </w:rPr>
        <w:t> </w:t>
      </w:r>
      <w:r w:rsidR="00A65033" w:rsidRPr="009901FA">
        <w:rPr>
          <w:b/>
          <w:bCs/>
        </w:rPr>
        <w:t xml:space="preserve">Mha of agricultural land. </w:t>
      </w:r>
      <w:r w:rsidR="00A65033" w:rsidRPr="009901FA">
        <w:t>This represents 40</w:t>
      </w:r>
      <w:r w:rsidR="00A65033" w:rsidRPr="00A247A6">
        <w:rPr>
          <w:rFonts w:ascii="Arial" w:hAnsi="Arial" w:cs="Arial"/>
        </w:rPr>
        <w:t> </w:t>
      </w:r>
      <w:r w:rsidR="00A65033" w:rsidRPr="009901FA">
        <w:t xml:space="preserve">% of </w:t>
      </w:r>
      <w:r w:rsidR="00A47567" w:rsidRPr="009901FA">
        <w:t xml:space="preserve">global </w:t>
      </w:r>
      <w:r w:rsidR="00A65033" w:rsidRPr="009901FA">
        <w:t>projected 2050 protein demand</w:t>
      </w:r>
      <w:r w:rsidR="00BD4D9D" w:rsidRPr="009901FA">
        <w:t xml:space="preserve"> (</w:t>
      </w:r>
      <w:r w:rsidR="001F67A5" w:rsidRPr="009901FA">
        <w:fldChar w:fldCharType="begin"/>
      </w:r>
      <w:r w:rsidR="001F67A5" w:rsidRPr="009901FA">
        <w:instrText xml:space="preserve"> REF _Ref203751273 \h </w:instrText>
      </w:r>
      <w:r w:rsidR="00A247A6">
        <w:instrText xml:space="preserve"> \* MERGEFORMAT </w:instrText>
      </w:r>
      <w:r w:rsidR="001F67A5" w:rsidRPr="009901FA">
        <w:fldChar w:fldCharType="separate"/>
      </w:r>
      <w:r w:rsidR="00DE378F" w:rsidRPr="009901FA">
        <w:t xml:space="preserve">Exhibit </w:t>
      </w:r>
      <w:r w:rsidR="00E61394">
        <w:rPr>
          <w:noProof/>
        </w:rPr>
        <w:t>4</w:t>
      </w:r>
      <w:r w:rsidR="00DE378F" w:rsidRPr="009901FA">
        <w:t>.</w:t>
      </w:r>
      <w:r w:rsidR="00DE378F" w:rsidRPr="009901FA">
        <w:rPr>
          <w:noProof/>
        </w:rPr>
        <w:t>29</w:t>
      </w:r>
      <w:r w:rsidR="001F67A5" w:rsidRPr="009901FA">
        <w:fldChar w:fldCharType="end"/>
      </w:r>
      <w:r w:rsidR="00BD4D9D" w:rsidRPr="009901FA">
        <w:t>)</w:t>
      </w:r>
      <w:r w:rsidR="00A65033" w:rsidRPr="009901FA">
        <w:t>, indicating a substantial shift in global protein production. Capturing this market share will require technological progress, supportive policy frameworks, and, most critically, increased consumer demand.</w:t>
      </w:r>
    </w:p>
    <w:p w14:paraId="687D385A" w14:textId="0DAFCE68" w:rsidR="0017325A" w:rsidRPr="009901FA" w:rsidRDefault="0017325A" w:rsidP="00A65033">
      <w:r w:rsidRPr="009901FA">
        <w:rPr>
          <w:b/>
          <w:bCs/>
        </w:rPr>
        <w:t>These figures were produced with a dedicated forecasting model that quantifies how quickly alternative proteins can gain market share and how much farmland their adoption could release.</w:t>
      </w:r>
      <w:r w:rsidRPr="009901FA">
        <w:t xml:space="preserve"> Annual growth rates for each protein category are projected from assumptions gathered through expert interviews and published studies</w:t>
      </w:r>
      <w:r w:rsidR="00EA24A5" w:rsidRPr="009901FA">
        <w:rPr>
          <w:rStyle w:val="FootnoteReference"/>
        </w:rPr>
        <w:footnoteReference w:id="85"/>
      </w:r>
      <w:r w:rsidRPr="009901FA">
        <w:t>. After production volumes are calculated, the model translates the resulting decline in animal</w:t>
      </w:r>
      <w:r w:rsidRPr="009901FA">
        <w:noBreakHyphen/>
        <w:t>based protein demand into the equivalent area of agricultural land no longer required for livestock and feed production.</w:t>
      </w:r>
    </w:p>
    <w:p w14:paraId="18FAF471" w14:textId="77777777" w:rsidR="00020032" w:rsidRPr="009901FA" w:rsidRDefault="00020032">
      <w:pPr>
        <w:rPr>
          <w:b/>
          <w:bCs/>
          <w:color w:val="00146D" w:themeColor="text2"/>
          <w:highlight w:val="yellow"/>
        </w:rPr>
      </w:pPr>
      <w:r w:rsidRPr="009901FA">
        <w:rPr>
          <w:b/>
          <w:bCs/>
          <w:color w:val="00146D" w:themeColor="text2"/>
          <w:highlight w:val="yellow"/>
        </w:rPr>
        <w:br w:type="page"/>
      </w:r>
    </w:p>
    <w:p w14:paraId="21C254E7" w14:textId="521F74C1" w:rsidR="001F67A5" w:rsidRPr="009901FA" w:rsidRDefault="001F67A5" w:rsidP="001F67A5">
      <w:pPr>
        <w:pStyle w:val="Caption"/>
        <w:keepNext/>
      </w:pPr>
      <w:bookmarkStart w:id="124" w:name="_Ref203751273"/>
      <w:r w:rsidRPr="009901FA">
        <w:lastRenderedPageBreak/>
        <w:t xml:space="preserve">Exhibit </w:t>
      </w:r>
      <w:r w:rsidR="00E61394">
        <w:t>4</w:t>
      </w:r>
      <w:r w:rsidR="008725B4" w:rsidRPr="009901FA">
        <w:t>.</w:t>
      </w:r>
      <w:fldSimple w:instr=" SEQ Exhibit \* ARABIC \s 2 ">
        <w:r w:rsidR="00DE378F" w:rsidRPr="009901FA">
          <w:rPr>
            <w:noProof/>
          </w:rPr>
          <w:t>29</w:t>
        </w:r>
      </w:fldSimple>
      <w:bookmarkEnd w:id="124"/>
    </w:p>
    <w:p w14:paraId="3F640297" w14:textId="12B3956D" w:rsidR="00D21C74" w:rsidRPr="009901FA" w:rsidRDefault="002D689C" w:rsidP="00A65033">
      <w:r w:rsidRPr="009901FA">
        <w:rPr>
          <w:noProof/>
        </w:rPr>
        <w:drawing>
          <wp:inline distT="0" distB="0" distL="0" distR="0" wp14:anchorId="0E78291A" wp14:editId="38D38904">
            <wp:extent cx="6263640" cy="3523615"/>
            <wp:effectExtent l="0" t="0" r="0" b="635"/>
            <wp:docPr id="1729778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77815" name=""/>
                    <pic:cNvPicPr/>
                  </pic:nvPicPr>
                  <pic:blipFill>
                    <a:blip r:embed="rId120">
                      <a:extLst>
                        <a:ext uri="{96DAC541-7B7A-43D3-8B79-37D633B846F1}">
                          <asvg:svgBlip xmlns:asvg="http://schemas.microsoft.com/office/drawing/2016/SVG/main" r:embed="rId121"/>
                        </a:ext>
                      </a:extLst>
                    </a:blip>
                    <a:stretch>
                      <a:fillRect/>
                    </a:stretch>
                  </pic:blipFill>
                  <pic:spPr>
                    <a:xfrm>
                      <a:off x="0" y="0"/>
                      <a:ext cx="6263640" cy="3523615"/>
                    </a:xfrm>
                    <a:prstGeom prst="rect">
                      <a:avLst/>
                    </a:prstGeom>
                  </pic:spPr>
                </pic:pic>
              </a:graphicData>
            </a:graphic>
          </wp:inline>
        </w:drawing>
      </w:r>
    </w:p>
    <w:p w14:paraId="0BE11EFA" w14:textId="6CACDEE7" w:rsidR="001F67A5" w:rsidRPr="009901FA" w:rsidRDefault="00A65033" w:rsidP="006749A9">
      <w:r w:rsidRPr="009901FA">
        <w:rPr>
          <w:b/>
          <w:bCs/>
        </w:rPr>
        <w:t>The freed land could be allocated to three primary uses: (i) biodiversity restoration; (ii) managed forestry; and (iii) energy</w:t>
      </w:r>
      <w:r w:rsidRPr="009901FA">
        <w:rPr>
          <w:b/>
          <w:bCs/>
        </w:rPr>
        <w:noBreakHyphen/>
        <w:t>crop cultivation.</w:t>
      </w:r>
      <w:r w:rsidRPr="009901FA">
        <w:t xml:space="preserve"> </w:t>
      </w:r>
      <w:r w:rsidR="001F67A5" w:rsidRPr="009901FA">
        <w:fldChar w:fldCharType="begin"/>
      </w:r>
      <w:r w:rsidR="001F67A5" w:rsidRPr="009901FA">
        <w:instrText xml:space="preserve"> REF _Ref203751290 \h </w:instrText>
      </w:r>
      <w:r w:rsidR="00A247A6">
        <w:instrText xml:space="preserve"> \* MERGEFORMAT </w:instrText>
      </w:r>
      <w:r w:rsidR="001F67A5" w:rsidRPr="009901FA">
        <w:fldChar w:fldCharType="separate"/>
      </w:r>
      <w:r w:rsidR="00DE378F" w:rsidRPr="009901FA">
        <w:t xml:space="preserve">Exhibit </w:t>
      </w:r>
      <w:r w:rsidR="00E61394">
        <w:rPr>
          <w:noProof/>
        </w:rPr>
        <w:t>4</w:t>
      </w:r>
      <w:r w:rsidR="00DE378F" w:rsidRPr="009901FA">
        <w:t>.</w:t>
      </w:r>
      <w:r w:rsidR="00DE378F" w:rsidRPr="009901FA">
        <w:rPr>
          <w:noProof/>
        </w:rPr>
        <w:t>30</w:t>
      </w:r>
      <w:r w:rsidR="001F67A5" w:rsidRPr="009901FA">
        <w:fldChar w:fldCharType="end"/>
      </w:r>
      <w:r w:rsidRPr="009901FA">
        <w:t xml:space="preserve"> illustrates the allocation approach for each use, aiming to maximise biodiversity restoration and, where feasible, generate sustainable biomass. Use</w:t>
      </w:r>
      <w:r w:rsidRPr="009901FA">
        <w:noBreakHyphen/>
        <w:t>case selection is guided by region</w:t>
      </w:r>
      <w:r w:rsidRPr="009901FA">
        <w:noBreakHyphen/>
        <w:t>specific land</w:t>
      </w:r>
      <w:r w:rsidRPr="009901FA">
        <w:noBreakHyphen/>
        <w:t>use analyses that consider soil health, native vegetation, and other local factors. Under this scenario, an additional 27</w:t>
      </w:r>
      <w:r w:rsidRPr="009901FA">
        <w:rPr>
          <w:rFonts w:cs="Century Gothic"/>
        </w:rPr>
        <w:t>–</w:t>
      </w:r>
      <w:r w:rsidRPr="009901FA">
        <w:t>28</w:t>
      </w:r>
      <w:r w:rsidRPr="00A247A6">
        <w:rPr>
          <w:rFonts w:ascii="Arial" w:hAnsi="Arial" w:cs="Arial"/>
        </w:rPr>
        <w:t> </w:t>
      </w:r>
      <w:r w:rsidRPr="009901FA">
        <w:t>EJ of sustainable biomass could be supplied.</w:t>
      </w:r>
    </w:p>
    <w:p w14:paraId="566E0DE6" w14:textId="227ACAB3" w:rsidR="001F67A5" w:rsidRPr="009901FA" w:rsidRDefault="001F67A5" w:rsidP="001F67A5">
      <w:pPr>
        <w:pStyle w:val="Caption"/>
        <w:keepNext/>
      </w:pPr>
      <w:bookmarkStart w:id="125" w:name="_Ref203751290"/>
      <w:r w:rsidRPr="009901FA">
        <w:lastRenderedPageBreak/>
        <w:t xml:space="preserve">Exhibit </w:t>
      </w:r>
      <w:r w:rsidR="00E61394">
        <w:t>4</w:t>
      </w:r>
      <w:r w:rsidR="008725B4" w:rsidRPr="009901FA">
        <w:t>.</w:t>
      </w:r>
      <w:fldSimple w:instr=" SEQ Exhibit \* ARABIC \s 2 ">
        <w:r w:rsidR="00DE378F" w:rsidRPr="009901FA">
          <w:rPr>
            <w:noProof/>
          </w:rPr>
          <w:t>30</w:t>
        </w:r>
      </w:fldSimple>
      <w:bookmarkEnd w:id="125"/>
    </w:p>
    <w:p w14:paraId="47688055" w14:textId="2CED16ED" w:rsidR="00C7683E" w:rsidRPr="00A247A6" w:rsidRDefault="00F54B87" w:rsidP="006749A9">
      <w:pPr>
        <w:rPr>
          <w:bCs/>
        </w:rPr>
      </w:pPr>
      <w:r w:rsidRPr="009901FA">
        <w:rPr>
          <w:noProof/>
        </w:rPr>
        <w:drawing>
          <wp:inline distT="0" distB="0" distL="0" distR="0" wp14:anchorId="5BCC3031" wp14:editId="4AAA5A36">
            <wp:extent cx="6263640" cy="3523615"/>
            <wp:effectExtent l="0" t="0" r="0" b="0"/>
            <wp:docPr id="35201448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014483" name=""/>
                    <pic:cNvPicPr/>
                  </pic:nvPicPr>
                  <pic:blipFill>
                    <a:blip r:embed="rId122">
                      <a:extLst>
                        <a:ext uri="{96DAC541-7B7A-43D3-8B79-37D633B846F1}">
                          <asvg:svgBlip xmlns:asvg="http://schemas.microsoft.com/office/drawing/2016/SVG/main" r:embed="rId123"/>
                        </a:ext>
                      </a:extLst>
                    </a:blip>
                    <a:stretch>
                      <a:fillRect/>
                    </a:stretch>
                  </pic:blipFill>
                  <pic:spPr>
                    <a:xfrm>
                      <a:off x="0" y="0"/>
                      <a:ext cx="6263640" cy="3523615"/>
                    </a:xfrm>
                    <a:prstGeom prst="rect">
                      <a:avLst/>
                    </a:prstGeom>
                  </pic:spPr>
                </pic:pic>
              </a:graphicData>
            </a:graphic>
          </wp:inline>
        </w:drawing>
      </w:r>
    </w:p>
    <w:p w14:paraId="3F250B33" w14:textId="5D7A49EC" w:rsidR="00337A39" w:rsidRPr="009901FA" w:rsidRDefault="00337A39" w:rsidP="00337A39">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Barriers and Enablers</w:t>
      </w:r>
    </w:p>
    <w:p w14:paraId="1DF8FDF3" w14:textId="39D2F2A9" w:rsidR="00654776" w:rsidRPr="009901FA" w:rsidRDefault="004A5416" w:rsidP="00083FD9">
      <w:pPr>
        <w:rPr>
          <w:b/>
        </w:rPr>
      </w:pPr>
      <w:r w:rsidRPr="009901FA">
        <w:rPr>
          <w:b/>
          <w:bCs/>
        </w:rPr>
        <w:t>A</w:t>
      </w:r>
      <w:r w:rsidR="00654776" w:rsidRPr="009901FA">
        <w:rPr>
          <w:b/>
        </w:rPr>
        <w:t>lternative proteins will unlock their full land</w:t>
      </w:r>
      <w:r w:rsidR="00654776" w:rsidRPr="009901FA">
        <w:rPr>
          <w:b/>
        </w:rPr>
        <w:noBreakHyphen/>
        <w:t xml:space="preserve">saving and climate benefits only if consumers </w:t>
      </w:r>
      <w:r w:rsidRPr="009901FA">
        <w:rPr>
          <w:b/>
        </w:rPr>
        <w:t xml:space="preserve">embrace them. </w:t>
      </w:r>
      <w:r w:rsidR="00654776" w:rsidRPr="009901FA">
        <w:rPr>
          <w:bCs/>
        </w:rPr>
        <w:t>To steer the scale</w:t>
      </w:r>
      <w:r w:rsidR="00654776" w:rsidRPr="009901FA">
        <w:rPr>
          <w:bCs/>
        </w:rPr>
        <w:noBreakHyphen/>
        <w:t xml:space="preserve">up and measure progress, five </w:t>
      </w:r>
      <w:r w:rsidRPr="009901FA">
        <w:rPr>
          <w:bCs/>
        </w:rPr>
        <w:t xml:space="preserve">development criteria </w:t>
      </w:r>
      <w:r w:rsidR="00654776" w:rsidRPr="009901FA">
        <w:rPr>
          <w:bCs/>
        </w:rPr>
        <w:t>should be tracked:</w:t>
      </w:r>
    </w:p>
    <w:p w14:paraId="03635F8D" w14:textId="77777777" w:rsidR="00654776" w:rsidRPr="009901FA" w:rsidRDefault="00654776" w:rsidP="005F2502">
      <w:pPr>
        <w:pStyle w:val="ListParagraph"/>
        <w:numPr>
          <w:ilvl w:val="0"/>
          <w:numId w:val="42"/>
        </w:numPr>
        <w:rPr>
          <w:bCs/>
        </w:rPr>
      </w:pPr>
      <w:r w:rsidRPr="009901FA">
        <w:rPr>
          <w:b/>
        </w:rPr>
        <w:t xml:space="preserve">Affordability </w:t>
      </w:r>
      <w:r w:rsidRPr="009901FA">
        <w:rPr>
          <w:bCs/>
        </w:rPr>
        <w:t>– price parity with conventional proteins (target:</w:t>
      </w:r>
      <w:r w:rsidRPr="00A247A6">
        <w:rPr>
          <w:rFonts w:ascii="Arial" w:hAnsi="Arial" w:cs="Arial"/>
          <w:bCs/>
        </w:rPr>
        <w:t> </w:t>
      </w:r>
      <w:r w:rsidRPr="009901FA">
        <w:rPr>
          <w:rFonts w:cs="Cambria Math"/>
          <w:bCs/>
        </w:rPr>
        <w:t>≤</w:t>
      </w:r>
      <w:r w:rsidRPr="00A247A6">
        <w:rPr>
          <w:rFonts w:ascii="Arial" w:hAnsi="Arial" w:cs="Arial"/>
          <w:bCs/>
        </w:rPr>
        <w:t> </w:t>
      </w:r>
      <w:r w:rsidRPr="009901FA">
        <w:rPr>
          <w:bCs/>
        </w:rPr>
        <w:t>US</w:t>
      </w:r>
      <w:r w:rsidRPr="00A247A6">
        <w:rPr>
          <w:rFonts w:ascii="Arial" w:hAnsi="Arial" w:cs="Arial"/>
          <w:bCs/>
        </w:rPr>
        <w:t> </w:t>
      </w:r>
      <w:r w:rsidRPr="009901FA">
        <w:rPr>
          <w:bCs/>
        </w:rPr>
        <w:t>$15</w:t>
      </w:r>
      <w:r w:rsidRPr="00A247A6">
        <w:rPr>
          <w:rFonts w:ascii="Arial" w:hAnsi="Arial" w:cs="Arial"/>
          <w:bCs/>
        </w:rPr>
        <w:t> </w:t>
      </w:r>
      <w:r w:rsidRPr="009901FA">
        <w:rPr>
          <w:bCs/>
        </w:rPr>
        <w:t>kg</w:t>
      </w:r>
      <w:r w:rsidRPr="009901FA">
        <w:rPr>
          <w:bCs/>
        </w:rPr>
        <w:noBreakHyphen/>
      </w:r>
      <w:r w:rsidRPr="009901FA">
        <w:rPr>
          <w:rFonts w:cs="Century Gothic"/>
          <w:bCs/>
        </w:rPr>
        <w:t>¹</w:t>
      </w:r>
      <w:r w:rsidRPr="009901FA">
        <w:rPr>
          <w:bCs/>
        </w:rPr>
        <w:t xml:space="preserve"> protein).</w:t>
      </w:r>
    </w:p>
    <w:p w14:paraId="239B49DB" w14:textId="77777777" w:rsidR="00654776" w:rsidRPr="009901FA" w:rsidRDefault="00654776" w:rsidP="005F2502">
      <w:pPr>
        <w:pStyle w:val="ListParagraph"/>
        <w:numPr>
          <w:ilvl w:val="0"/>
          <w:numId w:val="42"/>
        </w:numPr>
        <w:rPr>
          <w:bCs/>
        </w:rPr>
      </w:pPr>
      <w:r w:rsidRPr="009901FA">
        <w:rPr>
          <w:b/>
        </w:rPr>
        <w:t>Attractiveness</w:t>
      </w:r>
      <w:r w:rsidRPr="009901FA">
        <w:rPr>
          <w:bCs/>
        </w:rPr>
        <w:t xml:space="preserve"> – taste, texture, and nutrition at least equal to meat, enabling ~40</w:t>
      </w:r>
      <w:r w:rsidRPr="00A247A6">
        <w:rPr>
          <w:rFonts w:ascii="Arial" w:hAnsi="Arial" w:cs="Arial"/>
          <w:bCs/>
        </w:rPr>
        <w:t> </w:t>
      </w:r>
      <w:r w:rsidRPr="009901FA">
        <w:rPr>
          <w:bCs/>
        </w:rPr>
        <w:t>% market share.</w:t>
      </w:r>
    </w:p>
    <w:p w14:paraId="6F1F57A8" w14:textId="77777777" w:rsidR="00654776" w:rsidRPr="009901FA" w:rsidRDefault="00654776" w:rsidP="005F2502">
      <w:pPr>
        <w:pStyle w:val="ListParagraph"/>
        <w:numPr>
          <w:ilvl w:val="0"/>
          <w:numId w:val="42"/>
        </w:numPr>
        <w:rPr>
          <w:bCs/>
        </w:rPr>
      </w:pPr>
      <w:r w:rsidRPr="009901FA">
        <w:rPr>
          <w:b/>
        </w:rPr>
        <w:t>Accessibility</w:t>
      </w:r>
      <w:r w:rsidRPr="009901FA">
        <w:rPr>
          <w:bCs/>
        </w:rPr>
        <w:t xml:space="preserve"> – adequate scale</w:t>
      </w:r>
      <w:r w:rsidRPr="009901FA">
        <w:rPr>
          <w:bCs/>
        </w:rPr>
        <w:noBreakHyphen/>
        <w:t>up finance and early adoption by public institutions, displacing up to</w:t>
      </w:r>
      <w:r w:rsidRPr="00A247A6">
        <w:rPr>
          <w:rFonts w:ascii="Arial" w:hAnsi="Arial" w:cs="Arial"/>
          <w:bCs/>
        </w:rPr>
        <w:t> </w:t>
      </w:r>
      <w:r w:rsidRPr="009901FA">
        <w:rPr>
          <w:bCs/>
        </w:rPr>
        <w:t>400</w:t>
      </w:r>
      <w:r w:rsidRPr="00A247A6">
        <w:rPr>
          <w:rFonts w:ascii="Arial" w:hAnsi="Arial" w:cs="Arial"/>
          <w:bCs/>
        </w:rPr>
        <w:t> </w:t>
      </w:r>
      <w:r w:rsidRPr="009901FA">
        <w:rPr>
          <w:bCs/>
        </w:rPr>
        <w:t>Mt of animal protein.</w:t>
      </w:r>
    </w:p>
    <w:p w14:paraId="37165D72" w14:textId="77777777" w:rsidR="00654776" w:rsidRPr="009901FA" w:rsidRDefault="00654776" w:rsidP="005F2502">
      <w:pPr>
        <w:pStyle w:val="ListParagraph"/>
        <w:numPr>
          <w:ilvl w:val="0"/>
          <w:numId w:val="42"/>
        </w:numPr>
        <w:rPr>
          <w:bCs/>
        </w:rPr>
      </w:pPr>
      <w:r w:rsidRPr="009901FA">
        <w:rPr>
          <w:b/>
        </w:rPr>
        <w:t>Land liberation</w:t>
      </w:r>
      <w:r w:rsidRPr="009901FA">
        <w:rPr>
          <w:bCs/>
        </w:rPr>
        <w:t xml:space="preserve"> – the protein shift releases ~587</w:t>
      </w:r>
      <w:r w:rsidRPr="00A247A6">
        <w:rPr>
          <w:rFonts w:ascii="Arial" w:hAnsi="Arial" w:cs="Arial"/>
          <w:bCs/>
        </w:rPr>
        <w:t> </w:t>
      </w:r>
      <w:r w:rsidRPr="009901FA">
        <w:rPr>
          <w:bCs/>
        </w:rPr>
        <w:t>Mha of farmland.</w:t>
      </w:r>
    </w:p>
    <w:p w14:paraId="31DD438F" w14:textId="2EBA2B28" w:rsidR="00654776" w:rsidRPr="009901FA" w:rsidRDefault="00654776" w:rsidP="005F2502">
      <w:pPr>
        <w:pStyle w:val="ListParagraph"/>
        <w:numPr>
          <w:ilvl w:val="0"/>
          <w:numId w:val="42"/>
        </w:numPr>
        <w:rPr>
          <w:bCs/>
        </w:rPr>
      </w:pPr>
      <w:r w:rsidRPr="009901FA">
        <w:rPr>
          <w:b/>
        </w:rPr>
        <w:t>Land allocation</w:t>
      </w:r>
      <w:r w:rsidRPr="009901FA">
        <w:rPr>
          <w:bCs/>
        </w:rPr>
        <w:t xml:space="preserve"> – freed hectares are steered toward biodiversity recovery and biomass production, supplying an extra 27–28</w:t>
      </w:r>
      <w:r w:rsidRPr="00A247A6">
        <w:rPr>
          <w:rFonts w:ascii="Arial" w:hAnsi="Arial" w:cs="Arial"/>
          <w:bCs/>
        </w:rPr>
        <w:t> </w:t>
      </w:r>
      <w:r w:rsidRPr="009901FA">
        <w:rPr>
          <w:bCs/>
        </w:rPr>
        <w:t>EJ of sustainable biomass.</w:t>
      </w:r>
    </w:p>
    <w:p w14:paraId="3B494FFC" w14:textId="6B6C0C9C" w:rsidR="003F3425" w:rsidRPr="009901FA" w:rsidRDefault="00654776" w:rsidP="006749A9">
      <w:pPr>
        <w:rPr>
          <w:bCs/>
        </w:rPr>
      </w:pPr>
      <w:r w:rsidRPr="009901FA">
        <w:rPr>
          <w:bCs/>
        </w:rPr>
        <w:t>Among these metrics, attractiveness is pivotal: once consumers perceive alternative proteins as tasty and healthy, demand surges, investors deploy capital, production scales, costs fall, and all other targets become attainable. Without that consumer pull, progress on affordability or capacity alone will not deliver the desired impact.</w:t>
      </w:r>
    </w:p>
    <w:p w14:paraId="141A0662" w14:textId="5490D4AD" w:rsidR="006749A9" w:rsidRPr="009901FA" w:rsidRDefault="005C4C40" w:rsidP="00BB07AA">
      <w:pPr>
        <w:pStyle w:val="Heading3"/>
        <w:ind w:firstLine="720"/>
      </w:pPr>
      <w:bookmarkStart w:id="126" w:name="_Toc205392468"/>
      <w:bookmarkStart w:id="127" w:name="_Toc205554237"/>
      <w:r>
        <w:t>4</w:t>
      </w:r>
      <w:r w:rsidR="00F813BC" w:rsidRPr="009901FA">
        <w:t>.</w:t>
      </w:r>
      <w:r w:rsidR="00613862" w:rsidRPr="009901FA">
        <w:t>2</w:t>
      </w:r>
      <w:r w:rsidR="00F813BC" w:rsidRPr="009901FA">
        <w:t>.</w:t>
      </w:r>
      <w:r w:rsidR="00613862" w:rsidRPr="009901FA">
        <w:t>3</w:t>
      </w:r>
      <w:r w:rsidR="006749A9" w:rsidRPr="009901FA">
        <w:t xml:space="preserve"> New Sources of Biomass – Macro and Microalgae</w:t>
      </w:r>
      <w:bookmarkEnd w:id="126"/>
      <w:bookmarkEnd w:id="127"/>
    </w:p>
    <w:p w14:paraId="255D303C" w14:textId="77777777" w:rsidR="00F813BC" w:rsidRPr="00A247A6" w:rsidRDefault="00F813BC" w:rsidP="00214505">
      <w:pPr>
        <w:rPr>
          <w:b/>
          <w:bCs/>
        </w:rPr>
      </w:pPr>
    </w:p>
    <w:p w14:paraId="52CC3F6E" w14:textId="74EA11B6" w:rsidR="00D133F3" w:rsidRPr="009901FA" w:rsidRDefault="00481A61" w:rsidP="00481A61">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Overview</w:t>
      </w:r>
    </w:p>
    <w:p w14:paraId="6F81D3D3" w14:textId="77777777" w:rsidR="00214505" w:rsidRPr="009901FA" w:rsidRDefault="00214505" w:rsidP="00214505">
      <w:pPr>
        <w:rPr>
          <w:b/>
          <w:bCs/>
        </w:rPr>
      </w:pPr>
      <w:r w:rsidRPr="009901FA">
        <w:rPr>
          <w:b/>
          <w:bCs/>
        </w:rPr>
        <w:t xml:space="preserve">A further measure for expanding land availability for sustainable biomass production involves shifting food supply from terrestrial to aquatic systems. </w:t>
      </w:r>
      <w:r w:rsidRPr="009901FA">
        <w:t xml:space="preserve">In this context, </w:t>
      </w:r>
      <w:r w:rsidRPr="009901FA">
        <w:lastRenderedPageBreak/>
        <w:t>macroalgae and microalgae have been identified as promising substitutes for land</w:t>
      </w:r>
      <w:r w:rsidRPr="009901FA">
        <w:noBreakHyphen/>
        <w:t>based food and feed. Macroalgae are fast</w:t>
      </w:r>
      <w:r w:rsidRPr="009901FA">
        <w:noBreakHyphen/>
        <w:t>growing photosynthetic organisms cultivated in coastal waters, whereas microalgae are microscopic photosynthetic organisms grown in open ponds or closed</w:t>
      </w:r>
      <w:r w:rsidRPr="009901FA">
        <w:noBreakHyphen/>
        <w:t>reactor systems. Both groups can supply biomass for food or for third</w:t>
      </w:r>
      <w:r w:rsidRPr="009901FA">
        <w:noBreakHyphen/>
        <w:t>generation biofuels.</w:t>
      </w:r>
    </w:p>
    <w:p w14:paraId="48D0CC9A" w14:textId="46158C98" w:rsidR="00183945" w:rsidRPr="009901FA" w:rsidRDefault="00261230">
      <w:pPr>
        <w:rPr>
          <w:b/>
          <w:bCs/>
        </w:rPr>
      </w:pPr>
      <w:r w:rsidRPr="009901FA">
        <w:rPr>
          <w:b/>
        </w:rPr>
        <w:t xml:space="preserve">Although </w:t>
      </w:r>
      <w:r w:rsidR="00A10227" w:rsidRPr="009901FA">
        <w:rPr>
          <w:b/>
        </w:rPr>
        <w:t>significant</w:t>
      </w:r>
      <w:r w:rsidRPr="009901FA">
        <w:rPr>
          <w:b/>
        </w:rPr>
        <w:t xml:space="preserve"> potential </w:t>
      </w:r>
      <w:r w:rsidR="00214505" w:rsidRPr="009901FA">
        <w:rPr>
          <w:b/>
          <w:bCs/>
        </w:rPr>
        <w:t xml:space="preserve">exists </w:t>
      </w:r>
      <w:r w:rsidRPr="009901FA">
        <w:rPr>
          <w:b/>
        </w:rPr>
        <w:t xml:space="preserve">for </w:t>
      </w:r>
      <w:r w:rsidR="003F4E33" w:rsidRPr="009901FA">
        <w:rPr>
          <w:b/>
        </w:rPr>
        <w:t>food</w:t>
      </w:r>
      <w:r w:rsidR="00214505" w:rsidRPr="009901FA">
        <w:rPr>
          <w:b/>
          <w:bCs/>
        </w:rPr>
        <w:t xml:space="preserve"> and </w:t>
      </w:r>
      <w:r w:rsidR="003F4E33" w:rsidRPr="009901FA">
        <w:rPr>
          <w:b/>
        </w:rPr>
        <w:t>feed production</w:t>
      </w:r>
      <w:r w:rsidR="00214505" w:rsidRPr="009901FA">
        <w:rPr>
          <w:b/>
          <w:bCs/>
        </w:rPr>
        <w:t xml:space="preserve"> from these sources, technological maturity remains low. </w:t>
      </w:r>
      <w:r w:rsidR="00214505" w:rsidRPr="009901FA">
        <w:t>Scaling efforts for macroalgae and microalgae are under way as companies seek optimal use cases. The innovation landscape and the land</w:t>
      </w:r>
      <w:r w:rsidR="00214505" w:rsidRPr="009901FA">
        <w:noBreakHyphen/>
        <w:t xml:space="preserve">saving potential of each technology are outlined in </w:t>
      </w:r>
      <w:r w:rsidR="001F67A5" w:rsidRPr="009901FA">
        <w:rPr>
          <w:highlight w:val="yellow"/>
        </w:rPr>
        <w:fldChar w:fldCharType="begin"/>
      </w:r>
      <w:r w:rsidR="001F67A5" w:rsidRPr="009901FA">
        <w:instrText xml:space="preserve"> REF _Ref203751306 \h </w:instrText>
      </w:r>
      <w:r w:rsidR="00A247A6">
        <w:rPr>
          <w:highlight w:val="yellow"/>
        </w:rPr>
        <w:instrText xml:space="preserve"> \* MERGEFORMAT </w:instrText>
      </w:r>
      <w:r w:rsidR="001F67A5" w:rsidRPr="009901FA">
        <w:rPr>
          <w:highlight w:val="yellow"/>
        </w:rPr>
      </w:r>
      <w:r w:rsidR="001F67A5" w:rsidRPr="009901FA">
        <w:rPr>
          <w:highlight w:val="yellow"/>
        </w:rPr>
        <w:fldChar w:fldCharType="separate"/>
      </w:r>
      <w:r w:rsidR="00DE378F" w:rsidRPr="009901FA">
        <w:t xml:space="preserve">Exhibit </w:t>
      </w:r>
      <w:r w:rsidR="00E61394">
        <w:rPr>
          <w:noProof/>
        </w:rPr>
        <w:t>4</w:t>
      </w:r>
      <w:r w:rsidR="00DE378F" w:rsidRPr="009901FA">
        <w:t>.</w:t>
      </w:r>
      <w:r w:rsidR="00DE378F" w:rsidRPr="009901FA">
        <w:rPr>
          <w:noProof/>
        </w:rPr>
        <w:t>31</w:t>
      </w:r>
      <w:r w:rsidR="001F67A5" w:rsidRPr="009901FA">
        <w:rPr>
          <w:highlight w:val="yellow"/>
        </w:rPr>
        <w:fldChar w:fldCharType="end"/>
      </w:r>
      <w:r w:rsidR="00214505" w:rsidRPr="009901FA">
        <w:t>.</w:t>
      </w:r>
    </w:p>
    <w:p w14:paraId="18ED1C3A" w14:textId="2658412A" w:rsidR="001F67A5" w:rsidRPr="009901FA" w:rsidRDefault="001F67A5" w:rsidP="001F67A5">
      <w:pPr>
        <w:pStyle w:val="Caption"/>
        <w:keepNext/>
      </w:pPr>
      <w:bookmarkStart w:id="128" w:name="_Ref203751306"/>
      <w:r w:rsidRPr="009901FA">
        <w:t xml:space="preserve">Exhibit </w:t>
      </w:r>
      <w:r w:rsidR="00E61394">
        <w:t>4</w:t>
      </w:r>
      <w:r w:rsidR="008725B4" w:rsidRPr="009901FA">
        <w:t>.</w:t>
      </w:r>
      <w:fldSimple w:instr=" SEQ Exhibit \* ARABIC \s 2 ">
        <w:r w:rsidR="00DE378F" w:rsidRPr="009901FA">
          <w:rPr>
            <w:noProof/>
          </w:rPr>
          <w:t>31</w:t>
        </w:r>
      </w:fldSimple>
      <w:bookmarkEnd w:id="128"/>
    </w:p>
    <w:p w14:paraId="4D0138D8" w14:textId="152CF330" w:rsidR="00BE58A0" w:rsidRPr="009901FA" w:rsidRDefault="00F17B99" w:rsidP="00F17B99">
      <w:pPr>
        <w:pStyle w:val="ListParagraph"/>
        <w:spacing w:after="200"/>
        <w:ind w:left="360"/>
        <w:rPr>
          <w:b/>
          <w:color w:val="00146D" w:themeColor="text2"/>
        </w:rPr>
      </w:pPr>
      <w:r w:rsidRPr="009901FA">
        <w:rPr>
          <w:noProof/>
        </w:rPr>
        <w:drawing>
          <wp:inline distT="0" distB="0" distL="0" distR="0" wp14:anchorId="61C6F741" wp14:editId="2EC510EC">
            <wp:extent cx="6263640" cy="3523615"/>
            <wp:effectExtent l="0" t="0" r="0" b="635"/>
            <wp:docPr id="139042950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429504" name=""/>
                    <pic:cNvPicPr/>
                  </pic:nvPicPr>
                  <pic:blipFill>
                    <a:blip r:embed="rId124">
                      <a:extLst>
                        <a:ext uri="{96DAC541-7B7A-43D3-8B79-37D633B846F1}">
                          <asvg:svgBlip xmlns:asvg="http://schemas.microsoft.com/office/drawing/2016/SVG/main" r:embed="rId125"/>
                        </a:ext>
                      </a:extLst>
                    </a:blip>
                    <a:stretch>
                      <a:fillRect/>
                    </a:stretch>
                  </pic:blipFill>
                  <pic:spPr>
                    <a:xfrm>
                      <a:off x="0" y="0"/>
                      <a:ext cx="6263640" cy="3523615"/>
                    </a:xfrm>
                    <a:prstGeom prst="rect">
                      <a:avLst/>
                    </a:prstGeom>
                  </pic:spPr>
                </pic:pic>
              </a:graphicData>
            </a:graphic>
          </wp:inline>
        </w:drawing>
      </w:r>
    </w:p>
    <w:p w14:paraId="2BB6F21C" w14:textId="37F8A3D7" w:rsidR="006024A6" w:rsidRPr="009901FA" w:rsidRDefault="00D133F3" w:rsidP="00D133F3">
      <w:pPr>
        <w:spacing w:after="200"/>
        <w:rPr>
          <w:rFonts w:eastAsia="MS Gothic" w:cs="Times New Roman"/>
          <w:color w:val="585854"/>
          <w:sz w:val="26"/>
          <w:szCs w:val="24"/>
        </w:rPr>
      </w:pPr>
      <w:r w:rsidRPr="009901FA">
        <w:rPr>
          <w:rFonts w:eastAsia="MS Gothic" w:cs="Times New Roman"/>
          <w:color w:val="585854"/>
          <w:sz w:val="26"/>
          <w:szCs w:val="24"/>
        </w:rPr>
        <w:t>Costs</w:t>
      </w:r>
    </w:p>
    <w:p w14:paraId="2EEC9C41" w14:textId="0683DC08" w:rsidR="00183945" w:rsidRPr="009901FA" w:rsidRDefault="007D7BDA">
      <w:pPr>
        <w:rPr>
          <w:b/>
          <w:bCs/>
        </w:rPr>
      </w:pPr>
      <w:r w:rsidRPr="009901FA">
        <w:rPr>
          <w:b/>
          <w:bCs/>
        </w:rPr>
        <w:t xml:space="preserve">Macroalgae are viewed as a more promising substitute for corn than as a biofuel feedstock. </w:t>
      </w:r>
      <w:r w:rsidRPr="009901FA">
        <w:t>Under favourable cultivation conditions, macroalgae can attain cost</w:t>
      </w:r>
      <w:r w:rsidRPr="009901FA">
        <w:noBreakHyphen/>
        <w:t>competitiveness with corn for food and feed applications, whereas competition with high</w:t>
      </w:r>
      <w:r w:rsidRPr="009901FA">
        <w:noBreakHyphen/>
        <w:t xml:space="preserve">yield energy crops such as energy cane remains unlikely. </w:t>
      </w:r>
      <w:r w:rsidR="001F67A5" w:rsidRPr="009901FA">
        <w:rPr>
          <w:highlight w:val="yellow"/>
        </w:rPr>
        <w:fldChar w:fldCharType="begin"/>
      </w:r>
      <w:r w:rsidR="001F67A5" w:rsidRPr="009901FA">
        <w:instrText xml:space="preserve"> REF _Ref203751319 \h </w:instrText>
      </w:r>
      <w:r w:rsidR="00A247A6">
        <w:rPr>
          <w:highlight w:val="yellow"/>
        </w:rPr>
        <w:instrText xml:space="preserve"> \* MERGEFORMAT </w:instrText>
      </w:r>
      <w:r w:rsidR="001F67A5" w:rsidRPr="009901FA">
        <w:rPr>
          <w:highlight w:val="yellow"/>
        </w:rPr>
      </w:r>
      <w:r w:rsidR="001F67A5" w:rsidRPr="009901FA">
        <w:rPr>
          <w:highlight w:val="yellow"/>
        </w:rPr>
        <w:fldChar w:fldCharType="separate"/>
      </w:r>
      <w:r w:rsidR="00DE378F" w:rsidRPr="009901FA">
        <w:t xml:space="preserve">Exhibit </w:t>
      </w:r>
      <w:r w:rsidR="00E61394">
        <w:rPr>
          <w:noProof/>
        </w:rPr>
        <w:t>4</w:t>
      </w:r>
      <w:r w:rsidR="00DE378F" w:rsidRPr="009901FA">
        <w:t>.</w:t>
      </w:r>
      <w:r w:rsidR="00DE378F" w:rsidRPr="009901FA">
        <w:rPr>
          <w:noProof/>
        </w:rPr>
        <w:t>32</w:t>
      </w:r>
      <w:r w:rsidR="001F67A5" w:rsidRPr="009901FA">
        <w:rPr>
          <w:highlight w:val="yellow"/>
        </w:rPr>
        <w:fldChar w:fldCharType="end"/>
      </w:r>
      <w:r w:rsidRPr="009901FA">
        <w:t xml:space="preserve"> shows that corn is currently far less expensive than macroalgae; however, advances in process automation could reduce macroalgae production costs by up to</w:t>
      </w:r>
      <w:r w:rsidRPr="00A247A6">
        <w:rPr>
          <w:rFonts w:ascii="Arial" w:hAnsi="Arial" w:cs="Arial"/>
        </w:rPr>
        <w:t> </w:t>
      </w:r>
      <w:r w:rsidRPr="009901FA">
        <w:t>80</w:t>
      </w:r>
      <w:r w:rsidRPr="00A247A6">
        <w:rPr>
          <w:rFonts w:ascii="Arial" w:hAnsi="Arial" w:cs="Arial"/>
        </w:rPr>
        <w:t> </w:t>
      </w:r>
      <w:r w:rsidRPr="009901FA">
        <w:t>% by</w:t>
      </w:r>
      <w:r w:rsidRPr="00A247A6">
        <w:rPr>
          <w:rFonts w:ascii="Arial" w:hAnsi="Arial" w:cs="Arial"/>
        </w:rPr>
        <w:t> </w:t>
      </w:r>
      <w:r w:rsidRPr="009901FA">
        <w:t>2050. Automation is expected to cut labour and energy requirements while increasing yields, thereby strengthening overall process economics.</w:t>
      </w:r>
    </w:p>
    <w:p w14:paraId="29DCFC76" w14:textId="2B2C9E74" w:rsidR="00ED3718" w:rsidRPr="009901FA" w:rsidRDefault="00ED3718">
      <w:pPr>
        <w:rPr>
          <w:b/>
          <w:bCs/>
          <w:color w:val="00146D" w:themeColor="text2"/>
          <w:highlight w:val="yellow"/>
        </w:rPr>
      </w:pPr>
    </w:p>
    <w:p w14:paraId="275534B2" w14:textId="19C430D6" w:rsidR="001F67A5" w:rsidRPr="009901FA" w:rsidRDefault="001F67A5" w:rsidP="001F67A5">
      <w:pPr>
        <w:pStyle w:val="Caption"/>
        <w:keepNext/>
      </w:pPr>
      <w:bookmarkStart w:id="129" w:name="_Ref203751319"/>
      <w:r w:rsidRPr="009901FA">
        <w:lastRenderedPageBreak/>
        <w:t xml:space="preserve">Exhibit </w:t>
      </w:r>
      <w:r w:rsidR="00E61394">
        <w:t>4</w:t>
      </w:r>
      <w:r w:rsidR="008725B4" w:rsidRPr="009901FA">
        <w:t>.</w:t>
      </w:r>
      <w:fldSimple w:instr=" SEQ Exhibit \* ARABIC \s 2 ">
        <w:r w:rsidR="00DE378F" w:rsidRPr="009901FA">
          <w:rPr>
            <w:noProof/>
          </w:rPr>
          <w:t>32</w:t>
        </w:r>
      </w:fldSimple>
      <w:bookmarkEnd w:id="129"/>
    </w:p>
    <w:p w14:paraId="779E6E62" w14:textId="7454FBCD" w:rsidR="00EF6714" w:rsidRPr="00A247A6" w:rsidRDefault="00EF6714" w:rsidP="006749A9">
      <w:pPr>
        <w:rPr>
          <w:b/>
        </w:rPr>
      </w:pPr>
      <w:r w:rsidRPr="009901FA">
        <w:rPr>
          <w:noProof/>
        </w:rPr>
        <w:drawing>
          <wp:inline distT="0" distB="0" distL="0" distR="0" wp14:anchorId="734654C2" wp14:editId="18499304">
            <wp:extent cx="6263640" cy="3523615"/>
            <wp:effectExtent l="0" t="0" r="0" b="0"/>
            <wp:docPr id="12766282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62829" name=""/>
                    <pic:cNvPicPr/>
                  </pic:nvPicPr>
                  <pic:blipFill>
                    <a:blip r:embed="rId126">
                      <a:extLst>
                        <a:ext uri="{96DAC541-7B7A-43D3-8B79-37D633B846F1}">
                          <asvg:svgBlip xmlns:asvg="http://schemas.microsoft.com/office/drawing/2016/SVG/main" r:embed="rId127"/>
                        </a:ext>
                      </a:extLst>
                    </a:blip>
                    <a:stretch>
                      <a:fillRect/>
                    </a:stretch>
                  </pic:blipFill>
                  <pic:spPr>
                    <a:xfrm>
                      <a:off x="0" y="0"/>
                      <a:ext cx="6263640" cy="3523615"/>
                    </a:xfrm>
                    <a:prstGeom prst="rect">
                      <a:avLst/>
                    </a:prstGeom>
                  </pic:spPr>
                </pic:pic>
              </a:graphicData>
            </a:graphic>
          </wp:inline>
        </w:drawing>
      </w:r>
    </w:p>
    <w:p w14:paraId="21F0DAA5" w14:textId="058E6ECD" w:rsidR="00183945" w:rsidRPr="009901FA" w:rsidRDefault="004C0E71">
      <w:pPr>
        <w:rPr>
          <w:b/>
          <w:bCs/>
        </w:rPr>
      </w:pPr>
      <w:r w:rsidRPr="009901FA">
        <w:rPr>
          <w:b/>
          <w:bCs/>
        </w:rPr>
        <w:t xml:space="preserve">Microalgae are regarded as a potential feed substitute, particularly as a replacement for soy protein isolate. </w:t>
      </w:r>
      <w:r w:rsidRPr="009901FA">
        <w:t>Production costs remain higher than those of soy and are likely to require policy or market incentives to reach cost parity. Scaling is hindered by the need for controlled</w:t>
      </w:r>
      <w:r w:rsidRPr="009901FA">
        <w:noBreakHyphen/>
        <w:t xml:space="preserve">environment cultivation, like open ponds or closed photobioreactors, whose unit sizes are smaller than those employed for macroalgae. In addition, extensive strain engineering is required to increase cell density, protein concentration, and growth rates. </w:t>
      </w:r>
      <w:r w:rsidR="001F67A5" w:rsidRPr="009901FA">
        <w:rPr>
          <w:highlight w:val="yellow"/>
        </w:rPr>
        <w:fldChar w:fldCharType="begin"/>
      </w:r>
      <w:r w:rsidR="001F67A5" w:rsidRPr="009901FA">
        <w:instrText xml:space="preserve"> REF _Ref203751334 \h </w:instrText>
      </w:r>
      <w:r w:rsidR="00A247A6">
        <w:rPr>
          <w:highlight w:val="yellow"/>
        </w:rPr>
        <w:instrText xml:space="preserve"> \* MERGEFORMAT </w:instrText>
      </w:r>
      <w:r w:rsidR="001F67A5" w:rsidRPr="009901FA">
        <w:rPr>
          <w:highlight w:val="yellow"/>
        </w:rPr>
      </w:r>
      <w:r w:rsidR="001F67A5" w:rsidRPr="009901FA">
        <w:rPr>
          <w:highlight w:val="yellow"/>
        </w:rPr>
        <w:fldChar w:fldCharType="separate"/>
      </w:r>
      <w:r w:rsidR="00DE378F" w:rsidRPr="009901FA">
        <w:t xml:space="preserve">Exhibit </w:t>
      </w:r>
      <w:r w:rsidR="00E61394">
        <w:rPr>
          <w:noProof/>
        </w:rPr>
        <w:t>4</w:t>
      </w:r>
      <w:r w:rsidR="00DE378F" w:rsidRPr="009901FA">
        <w:t>.</w:t>
      </w:r>
      <w:r w:rsidR="00DE378F" w:rsidRPr="009901FA">
        <w:rPr>
          <w:noProof/>
        </w:rPr>
        <w:t>33</w:t>
      </w:r>
      <w:r w:rsidR="001F67A5" w:rsidRPr="009901FA">
        <w:rPr>
          <w:highlight w:val="yellow"/>
        </w:rPr>
        <w:fldChar w:fldCharType="end"/>
      </w:r>
      <w:r w:rsidRPr="009901FA">
        <w:t xml:space="preserve"> indicates that, even under optimistic assumptions, microalgae are expected to achieve cost competitiveness with soy only in a best</w:t>
      </w:r>
      <w:r w:rsidRPr="009901FA">
        <w:noBreakHyphen/>
        <w:t>case scenario; premium pricing may therefore be needed to offset the remaining cost differential.</w:t>
      </w:r>
    </w:p>
    <w:p w14:paraId="0190A862" w14:textId="77777777" w:rsidR="00ED3718" w:rsidRPr="009901FA" w:rsidRDefault="00ED3718">
      <w:pPr>
        <w:rPr>
          <w:b/>
          <w:bCs/>
          <w:color w:val="00146D" w:themeColor="text2"/>
          <w:highlight w:val="yellow"/>
        </w:rPr>
      </w:pPr>
      <w:r w:rsidRPr="009901FA">
        <w:rPr>
          <w:b/>
          <w:bCs/>
          <w:color w:val="00146D" w:themeColor="text2"/>
          <w:highlight w:val="yellow"/>
        </w:rPr>
        <w:br w:type="page"/>
      </w:r>
    </w:p>
    <w:p w14:paraId="6F4DEE91" w14:textId="7F7974C0" w:rsidR="001F67A5" w:rsidRPr="009901FA" w:rsidRDefault="001F67A5" w:rsidP="001F67A5">
      <w:pPr>
        <w:pStyle w:val="Caption"/>
        <w:keepNext/>
      </w:pPr>
      <w:bookmarkStart w:id="130" w:name="_Ref203751334"/>
      <w:r w:rsidRPr="009901FA">
        <w:lastRenderedPageBreak/>
        <w:t xml:space="preserve">Exhibit </w:t>
      </w:r>
      <w:r w:rsidR="00E61394">
        <w:t>4</w:t>
      </w:r>
      <w:r w:rsidR="008725B4" w:rsidRPr="009901FA">
        <w:t>.</w:t>
      </w:r>
      <w:fldSimple w:instr=" SEQ Exhibit \* ARABIC \s 2 ">
        <w:r w:rsidR="00DE378F" w:rsidRPr="009901FA">
          <w:rPr>
            <w:noProof/>
          </w:rPr>
          <w:t>33</w:t>
        </w:r>
      </w:fldSimple>
      <w:bookmarkEnd w:id="130"/>
    </w:p>
    <w:p w14:paraId="72C3929A" w14:textId="77359EF5" w:rsidR="00E83F7C" w:rsidRPr="00A247A6" w:rsidRDefault="00830FD4" w:rsidP="006749A9">
      <w:r w:rsidRPr="009901FA">
        <w:rPr>
          <w:noProof/>
        </w:rPr>
        <w:drawing>
          <wp:inline distT="0" distB="0" distL="0" distR="0" wp14:anchorId="5F200ED2" wp14:editId="2EAD6DEE">
            <wp:extent cx="6263640" cy="3523615"/>
            <wp:effectExtent l="0" t="0" r="0" b="0"/>
            <wp:docPr id="211930488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304887" name=""/>
                    <pic:cNvPicPr/>
                  </pic:nvPicPr>
                  <pic:blipFill>
                    <a:blip r:embed="rId128">
                      <a:extLst>
                        <a:ext uri="{96DAC541-7B7A-43D3-8B79-37D633B846F1}">
                          <asvg:svgBlip xmlns:asvg="http://schemas.microsoft.com/office/drawing/2016/SVG/main" r:embed="rId129"/>
                        </a:ext>
                      </a:extLst>
                    </a:blip>
                    <a:stretch>
                      <a:fillRect/>
                    </a:stretch>
                  </pic:blipFill>
                  <pic:spPr>
                    <a:xfrm>
                      <a:off x="0" y="0"/>
                      <a:ext cx="6263640" cy="3523615"/>
                    </a:xfrm>
                    <a:prstGeom prst="rect">
                      <a:avLst/>
                    </a:prstGeom>
                  </pic:spPr>
                </pic:pic>
              </a:graphicData>
            </a:graphic>
          </wp:inline>
        </w:drawing>
      </w:r>
    </w:p>
    <w:p w14:paraId="4D6A9101" w14:textId="6CDB1C54" w:rsidR="006024A6" w:rsidRPr="009901FA" w:rsidRDefault="006024A6" w:rsidP="006024A6">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Impact</w:t>
      </w:r>
    </w:p>
    <w:p w14:paraId="484C23FD" w14:textId="7A17A1E6" w:rsidR="00695FCA" w:rsidRPr="009901FA" w:rsidRDefault="00695FCA" w:rsidP="006749A9">
      <w:r w:rsidRPr="009901FA">
        <w:rPr>
          <w:b/>
          <w:bCs/>
        </w:rPr>
        <w:t xml:space="preserve">Estimating the true potential of these technologies is challenging. </w:t>
      </w:r>
      <w:r w:rsidRPr="009901FA">
        <w:t>Should cost parity be achieved, a transformation of food and feed production could follow; at present, however, the technologies remain far from competing with incumbent feedstocks. A pragmatic estimate has therefore been prepared for their contribution as food and feed sources. Algal derivatives could supply approximately 2% of global food production and 8% of feed production by</w:t>
      </w:r>
      <w:r w:rsidRPr="00A247A6">
        <w:rPr>
          <w:rFonts w:ascii="Arial" w:hAnsi="Arial" w:cs="Arial"/>
        </w:rPr>
        <w:t> </w:t>
      </w:r>
      <w:r w:rsidRPr="009901FA">
        <w:t>2050, equivalent to 395</w:t>
      </w:r>
      <w:r w:rsidRPr="00A247A6">
        <w:rPr>
          <w:rFonts w:ascii="Arial" w:hAnsi="Arial" w:cs="Arial"/>
        </w:rPr>
        <w:t> </w:t>
      </w:r>
      <w:r w:rsidRPr="009901FA">
        <w:t>Mt. This output would release about 81</w:t>
      </w:r>
      <w:r w:rsidRPr="00A247A6">
        <w:rPr>
          <w:rFonts w:ascii="Arial" w:hAnsi="Arial" w:cs="Arial"/>
        </w:rPr>
        <w:t> </w:t>
      </w:r>
      <w:r w:rsidRPr="009901FA">
        <w:t xml:space="preserve">Mha of conventional agricultural land. Applying the framework used in </w:t>
      </w:r>
      <w:r w:rsidR="004A0C03" w:rsidRPr="009901FA">
        <w:fldChar w:fldCharType="begin"/>
      </w:r>
      <w:r w:rsidR="004A0C03" w:rsidRPr="009901FA">
        <w:instrText xml:space="preserve"> REF _Ref203751290 \h </w:instrText>
      </w:r>
      <w:r w:rsidR="00A247A6">
        <w:instrText xml:space="preserve"> \* MERGEFORMAT </w:instrText>
      </w:r>
      <w:r w:rsidR="004A0C03" w:rsidRPr="009901FA">
        <w:fldChar w:fldCharType="separate"/>
      </w:r>
      <w:r w:rsidR="00DE378F" w:rsidRPr="009901FA">
        <w:t xml:space="preserve">Exhibit </w:t>
      </w:r>
      <w:r w:rsidR="00E61394">
        <w:rPr>
          <w:noProof/>
        </w:rPr>
        <w:t>4</w:t>
      </w:r>
      <w:r w:rsidR="00DE378F" w:rsidRPr="009901FA">
        <w:t>.</w:t>
      </w:r>
      <w:r w:rsidR="00DE378F" w:rsidRPr="009901FA">
        <w:rPr>
          <w:noProof/>
        </w:rPr>
        <w:t>30</w:t>
      </w:r>
      <w:r w:rsidR="004A0C03" w:rsidRPr="009901FA">
        <w:fldChar w:fldCharType="end"/>
      </w:r>
      <w:r w:rsidR="00EF0541" w:rsidRPr="009901FA">
        <w:t xml:space="preserve"> </w:t>
      </w:r>
      <w:r w:rsidRPr="009901FA">
        <w:t>an additional 10</w:t>
      </w:r>
      <w:r w:rsidRPr="00A247A6">
        <w:rPr>
          <w:rFonts w:ascii="Arial" w:hAnsi="Arial" w:cs="Arial"/>
        </w:rPr>
        <w:t> </w:t>
      </w:r>
      <w:r w:rsidRPr="009901FA">
        <w:t>EJ of sustainable biomass</w:t>
      </w:r>
      <w:r w:rsidR="00E4247E" w:rsidRPr="009901FA">
        <w:t>, which represents a</w:t>
      </w:r>
      <w:r w:rsidR="00DA60F8" w:rsidRPr="009901FA">
        <w:t>round 17% increase from the prudent estimate,</w:t>
      </w:r>
      <w:r w:rsidRPr="009901FA">
        <w:t xml:space="preserve"> could be generated while </w:t>
      </w:r>
      <w:r w:rsidR="009E1709" w:rsidRPr="009901FA">
        <w:t xml:space="preserve">prioritising </w:t>
      </w:r>
      <w:r w:rsidRPr="009901FA">
        <w:t>biodiversity restoration.</w:t>
      </w:r>
    </w:p>
    <w:p w14:paraId="1F45095D" w14:textId="03FFCE2A" w:rsidR="007F482D" w:rsidRPr="009901FA" w:rsidRDefault="007F482D" w:rsidP="006749A9">
      <w:r w:rsidRPr="009901FA">
        <w:rPr>
          <w:b/>
          <w:bCs/>
        </w:rPr>
        <w:t>These results were produced with a forecasting model tailored to algal proteins, where growth projections are more uncertain because published estimates diverge</w:t>
      </w:r>
      <w:r w:rsidRPr="009901FA">
        <w:t xml:space="preserve">. Multiple data sources were </w:t>
      </w:r>
      <w:r w:rsidR="009E7A40" w:rsidRPr="009901FA">
        <w:t>reviewed,</w:t>
      </w:r>
      <w:r w:rsidRPr="009901FA">
        <w:t xml:space="preserve"> and a deliberately conservative annual growth rate was adopted</w:t>
      </w:r>
      <w:r w:rsidRPr="009901FA">
        <w:rPr>
          <w:rStyle w:val="FootnoteReference"/>
        </w:rPr>
        <w:footnoteReference w:id="86"/>
      </w:r>
      <w:r w:rsidRPr="009901FA">
        <w:t xml:space="preserve">. After projected production volumes were established, </w:t>
      </w:r>
      <w:r w:rsidRPr="009901FA">
        <w:lastRenderedPageBreak/>
        <w:t>the model translated the anticipated replacement of conventional food and feed into the corresponding area of farmland released.</w:t>
      </w:r>
    </w:p>
    <w:p w14:paraId="305F5233" w14:textId="57D447AD" w:rsidR="00377E8D" w:rsidRPr="00A247A6" w:rsidRDefault="00377E8D">
      <w:pPr>
        <w:rPr>
          <w:b/>
          <w:bCs/>
        </w:rPr>
      </w:pPr>
      <w:r w:rsidRPr="009901FA">
        <w:rPr>
          <w:rFonts w:eastAsia="MS Gothic" w:cs="Times New Roman"/>
          <w:color w:val="585854"/>
          <w:sz w:val="26"/>
          <w:szCs w:val="24"/>
        </w:rPr>
        <w:t>Barriers and Enablers</w:t>
      </w:r>
    </w:p>
    <w:p w14:paraId="409B798F" w14:textId="718A89FF" w:rsidR="001336FC" w:rsidRPr="009901FA" w:rsidRDefault="00FB20C1">
      <w:r w:rsidRPr="009901FA">
        <w:rPr>
          <w:b/>
          <w:bCs/>
        </w:rPr>
        <w:t>Yield improvements and the facilitation of large</w:t>
      </w:r>
      <w:r w:rsidRPr="009901FA">
        <w:rPr>
          <w:b/>
          <w:bCs/>
        </w:rPr>
        <w:noBreakHyphen/>
        <w:t xml:space="preserve">scale cultivation are regarded as essential, implying that financing and infrastructure development will be critical. </w:t>
      </w:r>
      <w:r w:rsidRPr="009901FA">
        <w:t xml:space="preserve">Once these conditions are met, production costs are expected to fall, improving competitiveness with existing feedstocks. </w:t>
      </w:r>
      <w:r w:rsidR="001336FC" w:rsidRPr="009901FA">
        <w:t xml:space="preserve">The same development criteria as for alternative protein are tracked to ensure </w:t>
      </w:r>
      <w:r w:rsidR="00C71106" w:rsidRPr="009901FA">
        <w:t>impact and measure progress:</w:t>
      </w:r>
    </w:p>
    <w:p w14:paraId="34CE2F11" w14:textId="63351885" w:rsidR="00C71106" w:rsidRPr="009901FA" w:rsidRDefault="00C71106" w:rsidP="005F2502">
      <w:pPr>
        <w:pStyle w:val="ListParagraph"/>
        <w:numPr>
          <w:ilvl w:val="0"/>
          <w:numId w:val="43"/>
        </w:numPr>
        <w:rPr>
          <w:bCs/>
        </w:rPr>
      </w:pPr>
      <w:r w:rsidRPr="009901FA">
        <w:rPr>
          <w:b/>
        </w:rPr>
        <w:t xml:space="preserve">Affordability </w:t>
      </w:r>
      <w:r w:rsidRPr="009901FA">
        <w:rPr>
          <w:bCs/>
        </w:rPr>
        <w:t xml:space="preserve">– price parity with conventional </w:t>
      </w:r>
      <w:r w:rsidR="00B73DE9" w:rsidRPr="009901FA">
        <w:rPr>
          <w:bCs/>
        </w:rPr>
        <w:t>feedstocks</w:t>
      </w:r>
      <w:r w:rsidRPr="009901FA">
        <w:rPr>
          <w:bCs/>
        </w:rPr>
        <w:t>.</w:t>
      </w:r>
    </w:p>
    <w:p w14:paraId="64F06FB9" w14:textId="6C06BBAE" w:rsidR="00C71106" w:rsidRPr="009901FA" w:rsidRDefault="00C71106" w:rsidP="005F2502">
      <w:pPr>
        <w:pStyle w:val="ListParagraph"/>
        <w:numPr>
          <w:ilvl w:val="0"/>
          <w:numId w:val="43"/>
        </w:numPr>
        <w:rPr>
          <w:bCs/>
        </w:rPr>
      </w:pPr>
      <w:r w:rsidRPr="009901FA">
        <w:rPr>
          <w:b/>
        </w:rPr>
        <w:t>Attractiveness</w:t>
      </w:r>
      <w:r w:rsidRPr="009901FA">
        <w:rPr>
          <w:bCs/>
        </w:rPr>
        <w:t xml:space="preserve"> – taste, texture, and nutrition </w:t>
      </w:r>
      <w:r w:rsidR="00C91ECA" w:rsidRPr="009901FA">
        <w:rPr>
          <w:bCs/>
        </w:rPr>
        <w:t>match incumbent feedstocks</w:t>
      </w:r>
      <w:r w:rsidRPr="009901FA">
        <w:rPr>
          <w:bCs/>
        </w:rPr>
        <w:t xml:space="preserve">, enabling </w:t>
      </w:r>
      <w:r w:rsidR="002F60F6" w:rsidRPr="009901FA">
        <w:rPr>
          <w:bCs/>
        </w:rPr>
        <w:t>algae to capture 1% of the food market and 8% of the feed market</w:t>
      </w:r>
    </w:p>
    <w:p w14:paraId="76FAF029" w14:textId="01543989" w:rsidR="00C71106" w:rsidRPr="009901FA" w:rsidRDefault="00C71106" w:rsidP="005F2502">
      <w:pPr>
        <w:pStyle w:val="ListParagraph"/>
        <w:numPr>
          <w:ilvl w:val="0"/>
          <w:numId w:val="43"/>
        </w:numPr>
        <w:rPr>
          <w:bCs/>
        </w:rPr>
      </w:pPr>
      <w:r w:rsidRPr="009901FA">
        <w:rPr>
          <w:b/>
        </w:rPr>
        <w:t>Accessibility</w:t>
      </w:r>
      <w:r w:rsidRPr="009901FA">
        <w:rPr>
          <w:bCs/>
        </w:rPr>
        <w:t xml:space="preserve"> – </w:t>
      </w:r>
      <w:r w:rsidR="002F60F6" w:rsidRPr="009901FA">
        <w:rPr>
          <w:bCs/>
        </w:rPr>
        <w:t xml:space="preserve">infrastructure is mobilised to allow for scale up of ponds and </w:t>
      </w:r>
      <w:r w:rsidR="000E510B" w:rsidRPr="009901FA">
        <w:rPr>
          <w:bCs/>
        </w:rPr>
        <w:t>sea farms, displacing 395 Mt of terrestrial crops</w:t>
      </w:r>
    </w:p>
    <w:p w14:paraId="13DC3A93" w14:textId="2F9D8B45" w:rsidR="00C71106" w:rsidRPr="009901FA" w:rsidRDefault="00C71106" w:rsidP="005F2502">
      <w:pPr>
        <w:pStyle w:val="ListParagraph"/>
        <w:numPr>
          <w:ilvl w:val="0"/>
          <w:numId w:val="43"/>
        </w:numPr>
        <w:rPr>
          <w:bCs/>
        </w:rPr>
      </w:pPr>
      <w:r w:rsidRPr="009901FA">
        <w:rPr>
          <w:b/>
        </w:rPr>
        <w:t>Land liberation</w:t>
      </w:r>
      <w:r w:rsidRPr="009901FA">
        <w:rPr>
          <w:bCs/>
        </w:rPr>
        <w:t xml:space="preserve"> – </w:t>
      </w:r>
      <w:r w:rsidR="000E510B" w:rsidRPr="009901FA">
        <w:rPr>
          <w:bCs/>
        </w:rPr>
        <w:t xml:space="preserve">switch to </w:t>
      </w:r>
      <w:r w:rsidR="00C66CED" w:rsidRPr="009901FA">
        <w:rPr>
          <w:bCs/>
        </w:rPr>
        <w:t>algae-based</w:t>
      </w:r>
      <w:r w:rsidR="000E510B" w:rsidRPr="009901FA">
        <w:rPr>
          <w:bCs/>
        </w:rPr>
        <w:t xml:space="preserve"> products free up 81</w:t>
      </w:r>
      <w:r w:rsidR="00243F41" w:rsidRPr="009901FA">
        <w:rPr>
          <w:bCs/>
        </w:rPr>
        <w:t xml:space="preserve"> Mha of agriculture land</w:t>
      </w:r>
    </w:p>
    <w:p w14:paraId="6C5FC80A" w14:textId="7DA9EDDB" w:rsidR="001336FC" w:rsidRPr="009901FA" w:rsidRDefault="00C71106" w:rsidP="005F2502">
      <w:pPr>
        <w:pStyle w:val="ListParagraph"/>
        <w:numPr>
          <w:ilvl w:val="0"/>
          <w:numId w:val="43"/>
        </w:numPr>
        <w:rPr>
          <w:bCs/>
        </w:rPr>
      </w:pPr>
      <w:r w:rsidRPr="009901FA">
        <w:rPr>
          <w:b/>
        </w:rPr>
        <w:t>Land allocation</w:t>
      </w:r>
      <w:r w:rsidRPr="009901FA">
        <w:rPr>
          <w:bCs/>
        </w:rPr>
        <w:t xml:space="preserve"> – freed hectares are steered toward biodiversity recovery and biomass production, supplying an extra </w:t>
      </w:r>
      <w:r w:rsidR="00243F41" w:rsidRPr="009901FA">
        <w:rPr>
          <w:bCs/>
        </w:rPr>
        <w:t>~10</w:t>
      </w:r>
      <w:r w:rsidRPr="00A247A6">
        <w:rPr>
          <w:rFonts w:ascii="Arial" w:hAnsi="Arial" w:cs="Arial"/>
          <w:bCs/>
        </w:rPr>
        <w:t> </w:t>
      </w:r>
      <w:r w:rsidRPr="009901FA">
        <w:rPr>
          <w:bCs/>
        </w:rPr>
        <w:t>EJ of sustainable biomass.</w:t>
      </w:r>
    </w:p>
    <w:p w14:paraId="69EC92F4" w14:textId="067E8F8D" w:rsidR="0018306A" w:rsidRPr="009901FA" w:rsidRDefault="00FB20C1">
      <w:r w:rsidRPr="009901FA">
        <w:t>Product “attractiveness” (taste, health profile, and sourcing perceptions) is considered less decisive than for alternative proteins because algal derivatives are also destined for feed markets and</w:t>
      </w:r>
      <w:r w:rsidR="00C66CED" w:rsidRPr="009901FA">
        <w:t>; therefore,</w:t>
      </w:r>
      <w:r w:rsidRPr="009901FA">
        <w:t xml:space="preserve"> face fewer sourcing biases.</w:t>
      </w:r>
    </w:p>
    <w:p w14:paraId="773F5B3D" w14:textId="3B5C6B43" w:rsidR="00776B43" w:rsidRPr="009901FA" w:rsidRDefault="005C4C40" w:rsidP="00F813BC">
      <w:pPr>
        <w:pStyle w:val="Heading3"/>
      </w:pPr>
      <w:bookmarkStart w:id="131" w:name="_Toc205554238"/>
      <w:bookmarkStart w:id="132" w:name="_Toc205392469"/>
      <w:r>
        <w:t>4</w:t>
      </w:r>
      <w:r w:rsidR="00F813BC" w:rsidRPr="009901FA">
        <w:t>.</w:t>
      </w:r>
      <w:r w:rsidR="00C66CED" w:rsidRPr="009901FA">
        <w:t>2.4</w:t>
      </w:r>
      <w:r w:rsidR="00F813BC" w:rsidRPr="009901FA">
        <w:t xml:space="preserve"> </w:t>
      </w:r>
      <w:r w:rsidR="00AD375E" w:rsidRPr="009901FA">
        <w:t xml:space="preserve">Biomass </w:t>
      </w:r>
      <w:r w:rsidR="000F5FBB" w:rsidRPr="009901FA">
        <w:t>Conversion</w:t>
      </w:r>
      <w:r w:rsidR="00AD375E" w:rsidRPr="009901FA">
        <w:t xml:space="preserve">: </w:t>
      </w:r>
      <w:r w:rsidR="000F5FBB" w:rsidRPr="009901FA">
        <w:t xml:space="preserve">Improving Utilization of </w:t>
      </w:r>
      <w:r w:rsidR="000056E9" w:rsidRPr="009901FA">
        <w:t>B</w:t>
      </w:r>
      <w:r w:rsidR="000F5FBB" w:rsidRPr="009901FA">
        <w:t>io-resources</w:t>
      </w:r>
      <w:bookmarkEnd w:id="131"/>
      <w:r w:rsidR="000F5FBB" w:rsidRPr="009901FA">
        <w:t xml:space="preserve"> </w:t>
      </w:r>
      <w:bookmarkEnd w:id="132"/>
    </w:p>
    <w:p w14:paraId="3842F2C3" w14:textId="77777777" w:rsidR="00F813BC" w:rsidRPr="009901FA" w:rsidRDefault="00F813BC" w:rsidP="00F813BC"/>
    <w:p w14:paraId="75B93825" w14:textId="10FC4E41" w:rsidR="003F760A" w:rsidRPr="009901FA" w:rsidRDefault="003F760A" w:rsidP="003F760A">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Overview</w:t>
      </w:r>
    </w:p>
    <w:p w14:paraId="42EF9881" w14:textId="72F599CF" w:rsidR="00D31B44" w:rsidRPr="009901FA" w:rsidRDefault="00BE0196">
      <w:r w:rsidRPr="009901FA">
        <w:rPr>
          <w:b/>
          <w:bCs/>
        </w:rPr>
        <w:t>I</w:t>
      </w:r>
      <w:r w:rsidR="00F64133" w:rsidRPr="009901FA">
        <w:rPr>
          <w:b/>
          <w:bCs/>
        </w:rPr>
        <w:t>n a de-</w:t>
      </w:r>
      <w:r w:rsidR="00F80ED0" w:rsidRPr="009901FA">
        <w:rPr>
          <w:b/>
          <w:bCs/>
        </w:rPr>
        <w:t>fossilised</w:t>
      </w:r>
      <w:r w:rsidR="00F64133" w:rsidRPr="009901FA">
        <w:rPr>
          <w:b/>
          <w:bCs/>
        </w:rPr>
        <w:t xml:space="preserve"> economy</w:t>
      </w:r>
      <w:r w:rsidRPr="009901FA">
        <w:rPr>
          <w:b/>
          <w:bCs/>
        </w:rPr>
        <w:t xml:space="preserve">, biomass </w:t>
      </w:r>
      <w:r w:rsidR="00F80ED0" w:rsidRPr="009901FA">
        <w:rPr>
          <w:b/>
          <w:bCs/>
        </w:rPr>
        <w:t xml:space="preserve">serves as </w:t>
      </w:r>
      <w:r w:rsidR="00077445" w:rsidRPr="009901FA">
        <w:rPr>
          <w:b/>
          <w:bCs/>
        </w:rPr>
        <w:t>a feedstock for</w:t>
      </w:r>
      <w:r w:rsidR="00F64133" w:rsidRPr="009901FA">
        <w:rPr>
          <w:b/>
          <w:bCs/>
        </w:rPr>
        <w:t xml:space="preserve"> </w:t>
      </w:r>
      <w:r w:rsidR="00077445" w:rsidRPr="009901FA">
        <w:rPr>
          <w:b/>
          <w:bCs/>
        </w:rPr>
        <w:t>bio</w:t>
      </w:r>
      <w:r w:rsidR="00F80ED0" w:rsidRPr="009901FA">
        <w:rPr>
          <w:b/>
          <w:bCs/>
        </w:rPr>
        <w:noBreakHyphen/>
      </w:r>
      <w:r w:rsidR="00077445" w:rsidRPr="009901FA">
        <w:rPr>
          <w:b/>
          <w:bCs/>
        </w:rPr>
        <w:t xml:space="preserve">based materials, </w:t>
      </w:r>
      <w:r w:rsidR="00F80ED0" w:rsidRPr="009901FA">
        <w:rPr>
          <w:b/>
          <w:bCs/>
        </w:rPr>
        <w:t>such as</w:t>
      </w:r>
      <w:r w:rsidR="00077445" w:rsidRPr="009901FA">
        <w:rPr>
          <w:b/>
          <w:bCs/>
        </w:rPr>
        <w:t xml:space="preserve"> wood </w:t>
      </w:r>
      <w:r w:rsidR="0069351C" w:rsidRPr="009901FA">
        <w:rPr>
          <w:b/>
          <w:bCs/>
        </w:rPr>
        <w:t xml:space="preserve">and </w:t>
      </w:r>
      <w:r w:rsidR="00F80ED0" w:rsidRPr="009901FA">
        <w:rPr>
          <w:b/>
          <w:bCs/>
        </w:rPr>
        <w:t>bioplastics</w:t>
      </w:r>
      <w:r w:rsidR="00C759F9" w:rsidRPr="009901FA">
        <w:rPr>
          <w:b/>
          <w:bCs/>
        </w:rPr>
        <w:t xml:space="preserve">, </w:t>
      </w:r>
      <w:r w:rsidR="00F80ED0" w:rsidRPr="009901FA">
        <w:rPr>
          <w:b/>
          <w:bCs/>
        </w:rPr>
        <w:t xml:space="preserve">and for </w:t>
      </w:r>
      <w:r w:rsidR="0069351C" w:rsidRPr="009901FA">
        <w:rPr>
          <w:b/>
          <w:bCs/>
        </w:rPr>
        <w:t xml:space="preserve">biofuels, </w:t>
      </w:r>
      <w:r w:rsidR="00F80ED0" w:rsidRPr="009901FA">
        <w:rPr>
          <w:b/>
          <w:bCs/>
        </w:rPr>
        <w:t>including</w:t>
      </w:r>
      <w:r w:rsidR="0069351C" w:rsidRPr="009901FA">
        <w:rPr>
          <w:b/>
          <w:bCs/>
        </w:rPr>
        <w:t xml:space="preserve"> bio</w:t>
      </w:r>
      <w:r w:rsidR="00F80ED0" w:rsidRPr="009901FA">
        <w:rPr>
          <w:b/>
          <w:bCs/>
        </w:rPr>
        <w:noBreakHyphen/>
      </w:r>
      <w:r w:rsidR="0069351C" w:rsidRPr="009901FA">
        <w:rPr>
          <w:b/>
          <w:bCs/>
        </w:rPr>
        <w:t xml:space="preserve">SAF and </w:t>
      </w:r>
      <w:r w:rsidR="00016CAB" w:rsidRPr="009901FA">
        <w:rPr>
          <w:b/>
          <w:bCs/>
        </w:rPr>
        <w:t>biodiesel</w:t>
      </w:r>
      <w:r w:rsidR="0069351C" w:rsidRPr="009901FA">
        <w:rPr>
          <w:b/>
          <w:bCs/>
        </w:rPr>
        <w:t xml:space="preserve">. </w:t>
      </w:r>
      <w:r w:rsidR="00C86E80" w:rsidRPr="009901FA">
        <w:t>The objective is to upgrade primary biomass</w:t>
      </w:r>
      <w:r w:rsidR="006D7401" w:rsidRPr="009901FA">
        <w:t>, a carbon</w:t>
      </w:r>
      <w:r w:rsidR="00F80ED0" w:rsidRPr="009901FA">
        <w:noBreakHyphen/>
      </w:r>
      <w:r w:rsidR="006D7401" w:rsidRPr="009901FA">
        <w:t xml:space="preserve">neutral source, into </w:t>
      </w:r>
      <w:r w:rsidR="00F80ED0" w:rsidRPr="009901FA">
        <w:t xml:space="preserve">more </w:t>
      </w:r>
      <w:r w:rsidR="006D7401" w:rsidRPr="009901FA">
        <w:t>complex bio</w:t>
      </w:r>
      <w:r w:rsidR="00F80ED0" w:rsidRPr="009901FA">
        <w:noBreakHyphen/>
      </w:r>
      <w:r w:rsidR="006D7401" w:rsidRPr="009901FA">
        <w:t>based carbon</w:t>
      </w:r>
      <w:r w:rsidR="00C860C0" w:rsidRPr="009901FA">
        <w:t xml:space="preserve"> molecules. </w:t>
      </w:r>
      <w:r w:rsidR="009C48D8" w:rsidRPr="009901FA">
        <w:t xml:space="preserve">Primary biomass </w:t>
      </w:r>
      <w:r w:rsidR="00F80ED0" w:rsidRPr="009901FA">
        <w:t>is highly heterogeneous, originating</w:t>
      </w:r>
      <w:r w:rsidR="009C48D8" w:rsidRPr="009901FA">
        <w:t xml:space="preserve"> from </w:t>
      </w:r>
      <w:r w:rsidR="006474D4" w:rsidRPr="009901FA">
        <w:t xml:space="preserve">oily </w:t>
      </w:r>
      <w:r w:rsidR="00F80ED0" w:rsidRPr="009901FA">
        <w:t>feedstocks</w:t>
      </w:r>
      <w:r w:rsidR="006474D4" w:rsidRPr="009901FA">
        <w:t xml:space="preserve">, cellulosic </w:t>
      </w:r>
      <w:r w:rsidR="00F80ED0" w:rsidRPr="009901FA">
        <w:t>residues</w:t>
      </w:r>
      <w:r w:rsidR="00C4534C" w:rsidRPr="009901FA">
        <w:t xml:space="preserve">, liquid biogenic waste, </w:t>
      </w:r>
      <w:r w:rsidR="00F80ED0" w:rsidRPr="009901FA">
        <w:t>and other sources, which complicates categorisation.</w:t>
      </w:r>
      <w:r w:rsidR="005172DE" w:rsidRPr="009901FA">
        <w:t xml:space="preserve"> The </w:t>
      </w:r>
      <w:r w:rsidR="00F80ED0" w:rsidRPr="009901FA">
        <w:t xml:space="preserve">resulting </w:t>
      </w:r>
      <w:r w:rsidR="005172DE" w:rsidRPr="009901FA">
        <w:t xml:space="preserve">challenge is to </w:t>
      </w:r>
      <w:r w:rsidR="00F80ED0" w:rsidRPr="009901FA">
        <w:t>devise</w:t>
      </w:r>
      <w:r w:rsidR="005172DE" w:rsidRPr="009901FA">
        <w:t xml:space="preserve"> processes </w:t>
      </w:r>
      <w:r w:rsidR="00F80ED0" w:rsidRPr="009901FA">
        <w:t>that exploit</w:t>
      </w:r>
      <w:r w:rsidR="00E026BA" w:rsidRPr="009901FA">
        <w:t xml:space="preserve"> the </w:t>
      </w:r>
      <w:r w:rsidR="00F80ED0" w:rsidRPr="009901FA">
        <w:t>specific properties of each feedstock</w:t>
      </w:r>
      <w:r w:rsidR="00E026BA" w:rsidRPr="009901FA">
        <w:t xml:space="preserve"> </w:t>
      </w:r>
      <w:r w:rsidR="009E2920" w:rsidRPr="009901FA">
        <w:t xml:space="preserve">and convert them </w:t>
      </w:r>
      <w:r w:rsidR="00F80ED0" w:rsidRPr="009901FA">
        <w:t>efficiently</w:t>
      </w:r>
      <w:r w:rsidR="009E2920" w:rsidRPr="009901FA">
        <w:t xml:space="preserve"> into useful products.</w:t>
      </w:r>
      <w:r w:rsidR="0010565F" w:rsidRPr="009901FA">
        <w:t xml:space="preserve"> </w:t>
      </w:r>
      <w:r w:rsidR="001F67A5" w:rsidRPr="009901FA">
        <w:rPr>
          <w:highlight w:val="yellow"/>
        </w:rPr>
        <w:fldChar w:fldCharType="begin"/>
      </w:r>
      <w:r w:rsidR="001F67A5" w:rsidRPr="009901FA">
        <w:instrText xml:space="preserve"> REF _Ref203751351 \h </w:instrText>
      </w:r>
      <w:r w:rsidR="00A247A6">
        <w:rPr>
          <w:highlight w:val="yellow"/>
        </w:rPr>
        <w:instrText xml:space="preserve"> \* MERGEFORMAT </w:instrText>
      </w:r>
      <w:r w:rsidR="001F67A5" w:rsidRPr="009901FA">
        <w:rPr>
          <w:highlight w:val="yellow"/>
        </w:rPr>
      </w:r>
      <w:r w:rsidR="001F67A5" w:rsidRPr="009901FA">
        <w:rPr>
          <w:highlight w:val="yellow"/>
        </w:rPr>
        <w:fldChar w:fldCharType="separate"/>
      </w:r>
      <w:r w:rsidR="00DE378F" w:rsidRPr="009901FA">
        <w:t xml:space="preserve">Exhibit </w:t>
      </w:r>
      <w:r w:rsidR="00E61394">
        <w:rPr>
          <w:noProof/>
        </w:rPr>
        <w:t>4</w:t>
      </w:r>
      <w:r w:rsidR="00DE378F" w:rsidRPr="009901FA">
        <w:t>.</w:t>
      </w:r>
      <w:r w:rsidR="00DE378F" w:rsidRPr="009901FA">
        <w:rPr>
          <w:noProof/>
        </w:rPr>
        <w:t>34</w:t>
      </w:r>
      <w:r w:rsidR="001F67A5" w:rsidRPr="009901FA">
        <w:rPr>
          <w:highlight w:val="yellow"/>
        </w:rPr>
        <w:fldChar w:fldCharType="end"/>
      </w:r>
      <w:r w:rsidR="0010565F" w:rsidRPr="009901FA">
        <w:t xml:space="preserve"> </w:t>
      </w:r>
      <w:r w:rsidR="008C0092" w:rsidRPr="009901FA">
        <w:t xml:space="preserve">maps </w:t>
      </w:r>
      <w:r w:rsidR="00F80ED0" w:rsidRPr="009901FA">
        <w:t xml:space="preserve">the principal </w:t>
      </w:r>
      <w:r w:rsidR="008C0092" w:rsidRPr="009901FA">
        <w:t>routes for primary</w:t>
      </w:r>
      <w:r w:rsidR="00F80ED0" w:rsidRPr="009901FA">
        <w:noBreakHyphen/>
      </w:r>
      <w:r w:rsidR="008C0092" w:rsidRPr="009901FA">
        <w:t xml:space="preserve">biomass conversion, </w:t>
      </w:r>
      <w:r w:rsidR="00F80ED0" w:rsidRPr="009901FA">
        <w:t>demonstrating that, regardless</w:t>
      </w:r>
      <w:r w:rsidR="008C0092" w:rsidRPr="009901FA">
        <w:t xml:space="preserve"> of the input</w:t>
      </w:r>
      <w:r w:rsidR="001F790E" w:rsidRPr="009901FA">
        <w:t xml:space="preserve">, </w:t>
      </w:r>
      <w:r w:rsidR="00F80ED0" w:rsidRPr="009901FA">
        <w:t>products relevant to</w:t>
      </w:r>
      <w:r w:rsidR="001F790E" w:rsidRPr="009901FA">
        <w:t xml:space="preserve"> the </w:t>
      </w:r>
      <w:r w:rsidR="00EF513E" w:rsidRPr="009901FA">
        <w:t xml:space="preserve">same </w:t>
      </w:r>
      <w:r w:rsidR="00F80ED0" w:rsidRPr="009901FA">
        <w:t>end</w:t>
      </w:r>
      <w:r w:rsidR="00F80ED0" w:rsidRPr="009901FA">
        <w:noBreakHyphen/>
        <w:t xml:space="preserve">use </w:t>
      </w:r>
      <w:r w:rsidR="00EF513E" w:rsidRPr="009901FA">
        <w:t>sectors</w:t>
      </w:r>
      <w:r w:rsidR="00F80ED0" w:rsidRPr="009901FA">
        <w:t xml:space="preserve"> can be </w:t>
      </w:r>
      <w:r w:rsidR="00C759F9" w:rsidRPr="009901FA">
        <w:t>synthesized</w:t>
      </w:r>
      <w:r w:rsidR="00F80ED0" w:rsidRPr="009901FA">
        <w:t>.</w:t>
      </w:r>
      <w:r w:rsidR="00D31B44" w:rsidRPr="009901FA">
        <w:rPr>
          <w:b/>
          <w:bCs/>
          <w:color w:val="00146D" w:themeColor="text2"/>
        </w:rPr>
        <w:tab/>
      </w:r>
    </w:p>
    <w:p w14:paraId="35AA231B" w14:textId="3D6041A6" w:rsidR="001F67A5" w:rsidRPr="009901FA" w:rsidRDefault="001F67A5" w:rsidP="001F67A5">
      <w:pPr>
        <w:pStyle w:val="Caption"/>
        <w:keepNext/>
      </w:pPr>
      <w:bookmarkStart w:id="133" w:name="_Ref203751351"/>
      <w:r w:rsidRPr="009901FA">
        <w:lastRenderedPageBreak/>
        <w:t xml:space="preserve">Exhibit </w:t>
      </w:r>
      <w:r w:rsidR="00E61394">
        <w:t>4</w:t>
      </w:r>
      <w:r w:rsidR="008725B4" w:rsidRPr="009901FA">
        <w:t>.</w:t>
      </w:r>
      <w:fldSimple w:instr=" SEQ Exhibit \* ARABIC \s 2 ">
        <w:r w:rsidR="00DE378F" w:rsidRPr="009901FA">
          <w:rPr>
            <w:noProof/>
          </w:rPr>
          <w:t>34</w:t>
        </w:r>
      </w:fldSimple>
      <w:bookmarkEnd w:id="133"/>
    </w:p>
    <w:p w14:paraId="1BF07B88" w14:textId="5B51BE9D" w:rsidR="00590F1C" w:rsidRPr="009901FA" w:rsidRDefault="00B22EAA" w:rsidP="0056157E">
      <w:r w:rsidRPr="009901FA">
        <w:rPr>
          <w:noProof/>
        </w:rPr>
        <w:drawing>
          <wp:inline distT="0" distB="0" distL="0" distR="0" wp14:anchorId="6A0A6825" wp14:editId="51B26ECE">
            <wp:extent cx="6263640" cy="3523615"/>
            <wp:effectExtent l="0" t="0" r="0" b="635"/>
            <wp:docPr id="109828480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284802" name=""/>
                    <pic:cNvPicPr/>
                  </pic:nvPicPr>
                  <pic:blipFill>
                    <a:blip r:embed="rId130">
                      <a:extLst>
                        <a:ext uri="{96DAC541-7B7A-43D3-8B79-37D633B846F1}">
                          <asvg:svgBlip xmlns:asvg="http://schemas.microsoft.com/office/drawing/2016/SVG/main" r:embed="rId131"/>
                        </a:ext>
                      </a:extLst>
                    </a:blip>
                    <a:stretch>
                      <a:fillRect/>
                    </a:stretch>
                  </pic:blipFill>
                  <pic:spPr>
                    <a:xfrm>
                      <a:off x="0" y="0"/>
                      <a:ext cx="6263640" cy="3523615"/>
                    </a:xfrm>
                    <a:prstGeom prst="rect">
                      <a:avLst/>
                    </a:prstGeom>
                  </pic:spPr>
                </pic:pic>
              </a:graphicData>
            </a:graphic>
          </wp:inline>
        </w:drawing>
      </w:r>
    </w:p>
    <w:p w14:paraId="776405FE" w14:textId="521B0ACB" w:rsidR="005E497B" w:rsidRPr="009901FA" w:rsidRDefault="00C96CF5">
      <w:pPr>
        <w:rPr>
          <w:b/>
        </w:rPr>
      </w:pPr>
      <w:r w:rsidRPr="009901FA">
        <w:rPr>
          <w:b/>
          <w:bCs/>
        </w:rPr>
        <w:t xml:space="preserve">Conversion </w:t>
      </w:r>
      <w:r w:rsidR="00A8164C" w:rsidRPr="009901FA">
        <w:rPr>
          <w:b/>
          <w:bCs/>
        </w:rPr>
        <w:t>of p</w:t>
      </w:r>
      <w:r w:rsidR="00C834B3" w:rsidRPr="009901FA">
        <w:rPr>
          <w:b/>
          <w:bCs/>
        </w:rPr>
        <w:t xml:space="preserve">rimary biomass into useful products </w:t>
      </w:r>
      <w:r w:rsidRPr="009901FA">
        <w:rPr>
          <w:b/>
          <w:bCs/>
        </w:rPr>
        <w:t>can be enhanced to reduce feedstock</w:t>
      </w:r>
      <w:r w:rsidR="00C834B3" w:rsidRPr="009901FA">
        <w:rPr>
          <w:b/>
          <w:bCs/>
        </w:rPr>
        <w:t xml:space="preserve"> demand and </w:t>
      </w:r>
      <w:r w:rsidR="001804A3" w:rsidRPr="009901FA">
        <w:rPr>
          <w:b/>
          <w:bCs/>
        </w:rPr>
        <w:t>improve process economics.</w:t>
      </w:r>
      <w:r w:rsidR="001804A3" w:rsidRPr="009901FA">
        <w:t xml:space="preserve"> </w:t>
      </w:r>
      <w:r w:rsidRPr="009901FA">
        <w:t>Performance improvements may be achieved by adjusting operating conditions</w:t>
      </w:r>
      <w:r w:rsidR="00D76E3B" w:rsidRPr="009901FA">
        <w:t xml:space="preserve">, </w:t>
      </w:r>
      <w:r w:rsidRPr="009901FA">
        <w:t>such as temperature and pressure</w:t>
      </w:r>
      <w:r w:rsidR="00D76E3B" w:rsidRPr="009901FA">
        <w:t xml:space="preserve">, </w:t>
      </w:r>
      <w:r w:rsidRPr="009901FA">
        <w:t>or by adopting equipment innovations</w:t>
      </w:r>
      <w:r w:rsidR="0018357C" w:rsidRPr="009901FA">
        <w:rPr>
          <w:rStyle w:val="FootnoteReference"/>
        </w:rPr>
        <w:footnoteReference w:id="87"/>
      </w:r>
      <w:r w:rsidRPr="009901FA">
        <w:t xml:space="preserve">. Two </w:t>
      </w:r>
      <w:r w:rsidR="007C7807" w:rsidRPr="009901FA">
        <w:t>equipment</w:t>
      </w:r>
      <w:r w:rsidRPr="009901FA">
        <w:noBreakHyphen/>
      </w:r>
      <w:r w:rsidR="007C7807" w:rsidRPr="009901FA">
        <w:t>based</w:t>
      </w:r>
      <w:r w:rsidR="0083621D" w:rsidRPr="009901FA">
        <w:t xml:space="preserve"> </w:t>
      </w:r>
      <w:r w:rsidRPr="009901FA">
        <w:t xml:space="preserve">advances are particularly important: </w:t>
      </w:r>
      <w:r w:rsidR="00B71433" w:rsidRPr="009901FA">
        <w:t xml:space="preserve">catalysts and </w:t>
      </w:r>
      <w:r w:rsidRPr="009901FA">
        <w:t xml:space="preserve">specialised </w:t>
      </w:r>
      <w:r w:rsidR="00B71433" w:rsidRPr="009901FA">
        <w:t xml:space="preserve">reactors. </w:t>
      </w:r>
      <w:r w:rsidRPr="009901FA">
        <w:t xml:space="preserve">Catalysts are substances that accelerate reactions by lowering activation energy without being consumed, whereas reactors are vessels engineered to provide an optimal environment that maximises conversion efficiency. </w:t>
      </w:r>
      <w:r w:rsidR="001F67A5" w:rsidRPr="009901FA">
        <w:rPr>
          <w:highlight w:val="yellow"/>
        </w:rPr>
        <w:fldChar w:fldCharType="begin"/>
      </w:r>
      <w:r w:rsidR="001F67A5" w:rsidRPr="009901FA">
        <w:instrText xml:space="preserve"> REF _Ref203751364 \h </w:instrText>
      </w:r>
      <w:r w:rsidR="00A247A6">
        <w:rPr>
          <w:highlight w:val="yellow"/>
        </w:rPr>
        <w:instrText xml:space="preserve"> \* MERGEFORMAT </w:instrText>
      </w:r>
      <w:r w:rsidR="001F67A5" w:rsidRPr="009901FA">
        <w:rPr>
          <w:highlight w:val="yellow"/>
        </w:rPr>
      </w:r>
      <w:r w:rsidR="001F67A5" w:rsidRPr="009901FA">
        <w:rPr>
          <w:highlight w:val="yellow"/>
        </w:rPr>
        <w:fldChar w:fldCharType="separate"/>
      </w:r>
      <w:r w:rsidR="00DE378F" w:rsidRPr="009901FA">
        <w:t xml:space="preserve">Exhibit </w:t>
      </w:r>
      <w:r w:rsidR="00E61394">
        <w:rPr>
          <w:noProof/>
        </w:rPr>
        <w:t>4</w:t>
      </w:r>
      <w:r w:rsidR="00DE378F" w:rsidRPr="009901FA">
        <w:t>.</w:t>
      </w:r>
      <w:r w:rsidR="00DE378F" w:rsidRPr="009901FA">
        <w:rPr>
          <w:noProof/>
        </w:rPr>
        <w:t>35</w:t>
      </w:r>
      <w:r w:rsidR="001F67A5" w:rsidRPr="009901FA">
        <w:rPr>
          <w:highlight w:val="yellow"/>
        </w:rPr>
        <w:fldChar w:fldCharType="end"/>
      </w:r>
      <w:r w:rsidR="00BF18BC" w:rsidRPr="009901FA">
        <w:t xml:space="preserve"> </w:t>
      </w:r>
      <w:r w:rsidRPr="009901FA">
        <w:t>details</w:t>
      </w:r>
      <w:r w:rsidR="00687468" w:rsidRPr="009901FA">
        <w:t xml:space="preserve"> how these innovations </w:t>
      </w:r>
      <w:r w:rsidRPr="009901FA">
        <w:t>raise conversion efficiency and summarises</w:t>
      </w:r>
      <w:r w:rsidR="00687468" w:rsidRPr="009901FA">
        <w:t xml:space="preserve"> </w:t>
      </w:r>
      <w:r w:rsidR="00061FEB" w:rsidRPr="009901FA">
        <w:t xml:space="preserve">their deployment in bioenergy projects </w:t>
      </w:r>
      <w:r w:rsidRPr="009901FA">
        <w:t>across the industry.</w:t>
      </w:r>
    </w:p>
    <w:p w14:paraId="071FB9A6" w14:textId="49461C35" w:rsidR="001F67A5" w:rsidRPr="009901FA" w:rsidRDefault="001F67A5" w:rsidP="001F67A5">
      <w:pPr>
        <w:pStyle w:val="Caption"/>
        <w:keepNext/>
      </w:pPr>
      <w:bookmarkStart w:id="134" w:name="_Ref203751364"/>
      <w:r w:rsidRPr="009901FA">
        <w:lastRenderedPageBreak/>
        <w:t xml:space="preserve">Exhibit </w:t>
      </w:r>
      <w:r w:rsidR="00E61394">
        <w:t>4</w:t>
      </w:r>
      <w:r w:rsidR="008725B4" w:rsidRPr="009901FA">
        <w:t>.</w:t>
      </w:r>
      <w:fldSimple w:instr=" SEQ Exhibit \* ARABIC \s 2 ">
        <w:r w:rsidR="00DE378F" w:rsidRPr="009901FA">
          <w:rPr>
            <w:noProof/>
          </w:rPr>
          <w:t>35</w:t>
        </w:r>
      </w:fldSimple>
      <w:bookmarkEnd w:id="134"/>
    </w:p>
    <w:p w14:paraId="3F68CF46" w14:textId="13D13D16" w:rsidR="00D073E6" w:rsidRPr="00A247A6" w:rsidRDefault="005E497B">
      <w:r w:rsidRPr="009901FA">
        <w:rPr>
          <w:noProof/>
        </w:rPr>
        <w:drawing>
          <wp:inline distT="0" distB="0" distL="0" distR="0" wp14:anchorId="5D21386D" wp14:editId="20656740">
            <wp:extent cx="6263640" cy="3523615"/>
            <wp:effectExtent l="0" t="0" r="0" b="0"/>
            <wp:docPr id="3435223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22367" name=""/>
                    <pic:cNvPicPr/>
                  </pic:nvPicPr>
                  <pic:blipFill>
                    <a:blip r:embed="rId132">
                      <a:extLst>
                        <a:ext uri="{96DAC541-7B7A-43D3-8B79-37D633B846F1}">
                          <asvg:svgBlip xmlns:asvg="http://schemas.microsoft.com/office/drawing/2016/SVG/main" r:embed="rId133"/>
                        </a:ext>
                      </a:extLst>
                    </a:blip>
                    <a:stretch>
                      <a:fillRect/>
                    </a:stretch>
                  </pic:blipFill>
                  <pic:spPr>
                    <a:xfrm>
                      <a:off x="0" y="0"/>
                      <a:ext cx="6263640" cy="3523615"/>
                    </a:xfrm>
                    <a:prstGeom prst="rect">
                      <a:avLst/>
                    </a:prstGeom>
                  </pic:spPr>
                </pic:pic>
              </a:graphicData>
            </a:graphic>
          </wp:inline>
        </w:drawing>
      </w:r>
    </w:p>
    <w:p w14:paraId="67DE529A" w14:textId="69286749" w:rsidR="00E677CD" w:rsidRPr="009901FA" w:rsidRDefault="00E47059" w:rsidP="00C4534C">
      <w:pPr>
        <w:rPr>
          <w:b/>
          <w:bCs/>
        </w:rPr>
      </w:pPr>
      <w:r w:rsidRPr="009901FA">
        <w:rPr>
          <w:b/>
          <w:bCs/>
        </w:rPr>
        <w:t xml:space="preserve">The two equipment innovations are intended to push reaction conversion toward the </w:t>
      </w:r>
      <w:r w:rsidR="005A3BB4" w:rsidRPr="009901FA">
        <w:rPr>
          <w:b/>
          <w:bCs/>
        </w:rPr>
        <w:t>theoretical (</w:t>
      </w:r>
      <w:r w:rsidRPr="009901FA">
        <w:rPr>
          <w:b/>
          <w:bCs/>
        </w:rPr>
        <w:t>stoichiometric</w:t>
      </w:r>
      <w:r w:rsidR="005A3BB4" w:rsidRPr="009901FA">
        <w:rPr>
          <w:b/>
          <w:bCs/>
        </w:rPr>
        <w:t>)</w:t>
      </w:r>
      <w:r w:rsidRPr="009901FA">
        <w:rPr>
          <w:b/>
          <w:bCs/>
        </w:rPr>
        <w:t xml:space="preserve"> limit. </w:t>
      </w:r>
      <w:r w:rsidRPr="009901FA">
        <w:t>For catalysts, research focuses on identifying optimal compositions and physical properties for the target reaction. For reactors, vessels are designed to maximise heat and mass transfer between reactants. The effects of these innovations are more pronounced in low</w:t>
      </w:r>
      <w:r w:rsidRPr="009901FA">
        <w:noBreakHyphen/>
        <w:t>TRL processes than in mature ones; for example, bio</w:t>
      </w:r>
      <w:r w:rsidRPr="009901FA">
        <w:noBreakHyphen/>
        <w:t>SAF production via the HEFA route already operates near its theoretical conversion limit, whereas Alcohol</w:t>
      </w:r>
      <w:r w:rsidRPr="009901FA">
        <w:noBreakHyphen/>
        <w:t>to</w:t>
      </w:r>
      <w:r w:rsidRPr="009901FA">
        <w:noBreakHyphen/>
        <w:t>Jet and Gasification–Fischer</w:t>
      </w:r>
      <w:r w:rsidRPr="009901FA">
        <w:noBreakHyphen/>
        <w:t>Tropsch pathways remain further away, so larger conversion gains are still possible for the latter.</w:t>
      </w:r>
      <w:r w:rsidR="000A68EE" w:rsidRPr="009901FA">
        <w:t xml:space="preserve"> </w:t>
      </w:r>
      <w:r w:rsidR="001C4C0F" w:rsidRPr="009901FA">
        <w:t xml:space="preserve">The conversion gains are calculated for catalysts to range between 2% and 20% and for reactors between </w:t>
      </w:r>
      <w:r w:rsidR="00E02BE2" w:rsidRPr="009901FA">
        <w:t>8% and 20%.</w:t>
      </w:r>
    </w:p>
    <w:p w14:paraId="4301F77B" w14:textId="6D810C4E" w:rsidR="0092517A" w:rsidRPr="009901FA" w:rsidRDefault="00420DF0" w:rsidP="00420DF0">
      <w:pPr>
        <w:spacing w:after="200"/>
        <w:rPr>
          <w:rFonts w:eastAsia="MS Gothic" w:cs="Times New Roman"/>
          <w:color w:val="585854"/>
          <w:sz w:val="26"/>
          <w:szCs w:val="24"/>
        </w:rPr>
      </w:pPr>
      <w:r w:rsidRPr="009901FA">
        <w:rPr>
          <w:rFonts w:eastAsia="MS Gothic" w:cs="Times New Roman"/>
          <w:color w:val="585854"/>
          <w:sz w:val="26"/>
          <w:szCs w:val="24"/>
        </w:rPr>
        <w:t>Costs</w:t>
      </w:r>
    </w:p>
    <w:p w14:paraId="6F2D6311" w14:textId="3780997E" w:rsidR="004663A5" w:rsidRPr="00A247A6" w:rsidRDefault="003B393F">
      <w:r w:rsidRPr="009901FA">
        <w:rPr>
          <w:b/>
          <w:bCs/>
        </w:rPr>
        <w:t>Route</w:t>
      </w:r>
      <w:r w:rsidRPr="009901FA">
        <w:rPr>
          <w:b/>
          <w:bCs/>
        </w:rPr>
        <w:noBreakHyphen/>
        <w:t>specific techno</w:t>
      </w:r>
      <w:r w:rsidRPr="009901FA">
        <w:rPr>
          <w:b/>
          <w:bCs/>
        </w:rPr>
        <w:noBreakHyphen/>
        <w:t xml:space="preserve">economic assessments are constrained by limited access to proprietary catalyst and reactor data. </w:t>
      </w:r>
      <w:r w:rsidR="00B732E1" w:rsidRPr="009901FA">
        <w:t>To compensate for this data gap</w:t>
      </w:r>
      <w:r w:rsidRPr="009901FA">
        <w:t>, cost reductions were estimated indirectly from the feedstock savings associated with higher conversion and product</w:t>
      </w:r>
      <w:r w:rsidRPr="009901FA">
        <w:noBreakHyphen/>
        <w:t>yield factors along each biomass</w:t>
      </w:r>
      <w:r w:rsidRPr="009901FA">
        <w:noBreakHyphen/>
        <w:t>conversion pathway. Capital</w:t>
      </w:r>
      <w:r w:rsidRPr="009901FA">
        <w:noBreakHyphen/>
        <w:t>expenditure (CAPEX) effects were treated as neutral, on the premise that incremental yield gains do not justify an escalation in cost</w:t>
      </w:r>
      <w:r w:rsidR="00C7433D" w:rsidRPr="009901FA">
        <w:rPr>
          <w:rStyle w:val="FootnoteReference"/>
        </w:rPr>
        <w:footnoteReference w:id="88"/>
      </w:r>
      <w:r w:rsidRPr="009901FA">
        <w:t>.</w:t>
      </w:r>
      <w:r w:rsidR="00C7433D" w:rsidRPr="009901FA">
        <w:t xml:space="preserve"> </w:t>
      </w:r>
      <w:r w:rsidRPr="009901FA">
        <w:t>Operating</w:t>
      </w:r>
      <w:r w:rsidRPr="009901FA">
        <w:noBreakHyphen/>
        <w:t>expenditure (OPEX) impacts related to energy and utility demand were likewise excluded from the baseline calculation. The resulting analysis</w:t>
      </w:r>
      <w:r w:rsidR="00C7433D" w:rsidRPr="009901FA">
        <w:t xml:space="preserve">, </w:t>
      </w:r>
      <w:r w:rsidRPr="009901FA">
        <w:t xml:space="preserve">summarised in </w:t>
      </w:r>
      <w:r w:rsidR="001F67A5" w:rsidRPr="009901FA">
        <w:rPr>
          <w:highlight w:val="yellow"/>
        </w:rPr>
        <w:lastRenderedPageBreak/>
        <w:fldChar w:fldCharType="begin"/>
      </w:r>
      <w:r w:rsidR="001F67A5" w:rsidRPr="009901FA">
        <w:instrText xml:space="preserve"> REF _Ref203751382 \h </w:instrText>
      </w:r>
      <w:r w:rsidR="00A247A6">
        <w:rPr>
          <w:highlight w:val="yellow"/>
        </w:rPr>
        <w:instrText xml:space="preserve"> \* MERGEFORMAT </w:instrText>
      </w:r>
      <w:r w:rsidR="001F67A5" w:rsidRPr="009901FA">
        <w:rPr>
          <w:highlight w:val="yellow"/>
        </w:rPr>
      </w:r>
      <w:r w:rsidR="001F67A5" w:rsidRPr="009901FA">
        <w:rPr>
          <w:highlight w:val="yellow"/>
        </w:rPr>
        <w:fldChar w:fldCharType="separate"/>
      </w:r>
      <w:r w:rsidR="00DE378F" w:rsidRPr="009901FA">
        <w:t xml:space="preserve">Exhibit </w:t>
      </w:r>
      <w:r w:rsidR="00E61394">
        <w:rPr>
          <w:noProof/>
        </w:rPr>
        <w:t>4</w:t>
      </w:r>
      <w:r w:rsidR="00DE378F" w:rsidRPr="009901FA">
        <w:t>.</w:t>
      </w:r>
      <w:r w:rsidR="00DE378F" w:rsidRPr="009901FA">
        <w:rPr>
          <w:noProof/>
        </w:rPr>
        <w:t>36</w:t>
      </w:r>
      <w:r w:rsidR="001F67A5" w:rsidRPr="009901FA">
        <w:rPr>
          <w:highlight w:val="yellow"/>
        </w:rPr>
        <w:fldChar w:fldCharType="end"/>
      </w:r>
      <w:r w:rsidR="00C7433D" w:rsidRPr="009901FA">
        <w:rPr>
          <w:rFonts w:cs="Century Gothic"/>
        </w:rPr>
        <w:t xml:space="preserve">, </w:t>
      </w:r>
      <w:r w:rsidRPr="009901FA">
        <w:t>indicates that feedstock</w:t>
      </w:r>
      <w:r w:rsidRPr="009901FA">
        <w:noBreakHyphen/>
        <w:t xml:space="preserve">driven cost reductions </w:t>
      </w:r>
      <w:r w:rsidR="00405CA2" w:rsidRPr="009901FA">
        <w:t>that advanced catalysts and reactors could deliver are between the range of 4-8%.</w:t>
      </w:r>
      <w:r w:rsidR="00193A45" w:rsidRPr="009901FA">
        <w:t xml:space="preserve"> </w:t>
      </w:r>
      <w:r w:rsidR="001B6E68" w:rsidRPr="009901FA">
        <w:t>T</w:t>
      </w:r>
      <w:r w:rsidR="00A44668" w:rsidRPr="009901FA">
        <w:t xml:space="preserve">he </w:t>
      </w:r>
      <w:r w:rsidR="00FF382C" w:rsidRPr="009901FA">
        <w:t>reductions</w:t>
      </w:r>
      <w:r w:rsidR="00A44668" w:rsidRPr="009901FA">
        <w:t xml:space="preserve"> alone</w:t>
      </w:r>
      <w:r w:rsidRPr="009901FA">
        <w:t xml:space="preserve"> are insufficient to render bio</w:t>
      </w:r>
      <w:r w:rsidRPr="009901FA">
        <w:noBreakHyphen/>
        <w:t>based pathways cost</w:t>
      </w:r>
      <w:r w:rsidRPr="009901FA">
        <w:noBreakHyphen/>
        <w:t>competitive with their fossil counterparts</w:t>
      </w:r>
      <w:r w:rsidR="00A44668" w:rsidRPr="009901FA">
        <w:t xml:space="preserve">, </w:t>
      </w:r>
      <w:r w:rsidR="00E914F1" w:rsidRPr="009901FA">
        <w:t xml:space="preserve">but could help </w:t>
      </w:r>
      <w:r w:rsidR="00B31E0E" w:rsidRPr="009901FA">
        <w:t xml:space="preserve">enable bio-based products </w:t>
      </w:r>
      <w:r w:rsidR="00A0243B" w:rsidRPr="009901FA">
        <w:t>synthesis</w:t>
      </w:r>
      <w:r w:rsidR="00B31E0E" w:rsidRPr="009901FA">
        <w:t xml:space="preserve"> in locations </w:t>
      </w:r>
      <w:r w:rsidR="00A0243B" w:rsidRPr="009901FA">
        <w:t>with expensive feedstocks</w:t>
      </w:r>
      <w:r w:rsidRPr="009901FA">
        <w:t>. Accordingly, additional market incentives (e.g., carbon</w:t>
      </w:r>
      <w:r w:rsidRPr="009901FA">
        <w:noBreakHyphen/>
        <w:t>pricing mechanisms or green</w:t>
      </w:r>
      <w:r w:rsidRPr="009901FA">
        <w:noBreakHyphen/>
        <w:t>premium contracts) will be required to bridge the residual cost gap during initial deployment phases.</w:t>
      </w:r>
    </w:p>
    <w:p w14:paraId="2236B606" w14:textId="57F5A1B9" w:rsidR="001F67A5" w:rsidRPr="00BA70FE" w:rsidRDefault="001F67A5" w:rsidP="0095335E">
      <w:pPr>
        <w:rPr>
          <w:b/>
          <w:bCs/>
        </w:rPr>
      </w:pPr>
      <w:bookmarkStart w:id="135" w:name="_Ref203751382"/>
      <w:r w:rsidRPr="00BA70FE">
        <w:rPr>
          <w:b/>
          <w:bCs/>
        </w:rPr>
        <w:t xml:space="preserve">Exhibit </w:t>
      </w:r>
      <w:r w:rsidR="00E61394" w:rsidRPr="00BA70FE">
        <w:rPr>
          <w:b/>
          <w:bCs/>
        </w:rPr>
        <w:t>4</w:t>
      </w:r>
      <w:r w:rsidR="008725B4" w:rsidRPr="00BA70FE">
        <w:rPr>
          <w:b/>
          <w:bCs/>
        </w:rPr>
        <w:t>.</w:t>
      </w:r>
      <w:r w:rsidR="008725B4" w:rsidRPr="00BA70FE">
        <w:rPr>
          <w:b/>
          <w:bCs/>
        </w:rPr>
        <w:fldChar w:fldCharType="begin"/>
      </w:r>
      <w:r w:rsidR="008725B4" w:rsidRPr="00BA70FE">
        <w:rPr>
          <w:b/>
          <w:bCs/>
        </w:rPr>
        <w:instrText xml:space="preserve"> SEQ Exhibit \* ARABIC \s 2 </w:instrText>
      </w:r>
      <w:r w:rsidR="008725B4" w:rsidRPr="00BA70FE">
        <w:rPr>
          <w:b/>
          <w:bCs/>
        </w:rPr>
        <w:fldChar w:fldCharType="separate"/>
      </w:r>
      <w:r w:rsidR="00DE378F" w:rsidRPr="00BA70FE">
        <w:rPr>
          <w:b/>
          <w:bCs/>
          <w:noProof/>
        </w:rPr>
        <w:t>36</w:t>
      </w:r>
      <w:r w:rsidR="008725B4" w:rsidRPr="00BA70FE">
        <w:rPr>
          <w:b/>
          <w:bCs/>
        </w:rPr>
        <w:fldChar w:fldCharType="end"/>
      </w:r>
      <w:bookmarkEnd w:id="135"/>
    </w:p>
    <w:p w14:paraId="4BEDF471" w14:textId="21A65CDE" w:rsidR="004663A5" w:rsidRPr="00A247A6" w:rsidRDefault="004D75D9" w:rsidP="00C4534C">
      <w:r w:rsidRPr="009901FA">
        <w:rPr>
          <w:noProof/>
        </w:rPr>
        <w:drawing>
          <wp:inline distT="0" distB="0" distL="0" distR="0" wp14:anchorId="668E9C49" wp14:editId="04FC4642">
            <wp:extent cx="6263640" cy="3523615"/>
            <wp:effectExtent l="0" t="0" r="0" b="635"/>
            <wp:docPr id="94822946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229468" name=""/>
                    <pic:cNvPicPr/>
                  </pic:nvPicPr>
                  <pic:blipFill>
                    <a:blip r:embed="rId134">
                      <a:extLst>
                        <a:ext uri="{96DAC541-7B7A-43D3-8B79-37D633B846F1}">
                          <asvg:svgBlip xmlns:asvg="http://schemas.microsoft.com/office/drawing/2016/SVG/main" r:embed="rId135"/>
                        </a:ext>
                      </a:extLst>
                    </a:blip>
                    <a:stretch>
                      <a:fillRect/>
                    </a:stretch>
                  </pic:blipFill>
                  <pic:spPr>
                    <a:xfrm>
                      <a:off x="0" y="0"/>
                      <a:ext cx="6263640" cy="3523615"/>
                    </a:xfrm>
                    <a:prstGeom prst="rect">
                      <a:avLst/>
                    </a:prstGeom>
                  </pic:spPr>
                </pic:pic>
              </a:graphicData>
            </a:graphic>
          </wp:inline>
        </w:drawing>
      </w:r>
    </w:p>
    <w:p w14:paraId="6844F6C6" w14:textId="283D86A6" w:rsidR="0092517A" w:rsidRPr="009901FA" w:rsidRDefault="0092517A" w:rsidP="0092517A">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Impact</w:t>
      </w:r>
    </w:p>
    <w:p w14:paraId="69D05DA5" w14:textId="066A619F" w:rsidR="00140D3C" w:rsidRPr="009901FA" w:rsidRDefault="0052560F">
      <w:pPr>
        <w:rPr>
          <w:color w:val="00146D" w:themeColor="text2"/>
          <w:highlight w:val="yellow"/>
        </w:rPr>
      </w:pPr>
      <w:r w:rsidRPr="009901FA">
        <w:rPr>
          <w:b/>
          <w:bCs/>
        </w:rPr>
        <w:t>For the aviation sector, improvements in product yield are estimated to reduce primary</w:t>
      </w:r>
      <w:r w:rsidRPr="009901FA">
        <w:rPr>
          <w:b/>
          <w:bCs/>
        </w:rPr>
        <w:noBreakHyphen/>
        <w:t>biomass demand by approximately 30</w:t>
      </w:r>
      <w:r w:rsidRPr="00A247A6">
        <w:rPr>
          <w:rFonts w:ascii="Arial" w:hAnsi="Arial" w:cs="Arial"/>
          <w:b/>
          <w:bCs/>
        </w:rPr>
        <w:t> </w:t>
      </w:r>
      <w:r w:rsidRPr="009901FA">
        <w:rPr>
          <w:b/>
          <w:bCs/>
        </w:rPr>
        <w:t>%.</w:t>
      </w:r>
      <w:r w:rsidRPr="009901FA">
        <w:t xml:space="preserve"> </w:t>
      </w:r>
      <w:r w:rsidR="005F6350" w:rsidRPr="009901FA">
        <w:rPr>
          <w:highlight w:val="yellow"/>
        </w:rPr>
        <w:fldChar w:fldCharType="begin"/>
      </w:r>
      <w:r w:rsidR="005F6350" w:rsidRPr="009901FA">
        <w:instrText xml:space="preserve"> REF _Ref203751409 \h </w:instrText>
      </w:r>
      <w:r w:rsidR="00A247A6">
        <w:rPr>
          <w:highlight w:val="yellow"/>
        </w:rPr>
        <w:instrText xml:space="preserve"> \* MERGEFORMAT </w:instrText>
      </w:r>
      <w:r w:rsidR="005F6350" w:rsidRPr="009901FA">
        <w:rPr>
          <w:highlight w:val="yellow"/>
        </w:rPr>
      </w:r>
      <w:r w:rsidR="005F6350" w:rsidRPr="009901FA">
        <w:rPr>
          <w:highlight w:val="yellow"/>
        </w:rPr>
        <w:fldChar w:fldCharType="separate"/>
      </w:r>
      <w:r w:rsidR="00DE378F" w:rsidRPr="009901FA">
        <w:t xml:space="preserve">Exhibit </w:t>
      </w:r>
      <w:r w:rsidR="00E61394">
        <w:rPr>
          <w:noProof/>
        </w:rPr>
        <w:t>4</w:t>
      </w:r>
      <w:r w:rsidR="00DE378F" w:rsidRPr="009901FA">
        <w:t>.</w:t>
      </w:r>
      <w:r w:rsidR="00DE378F" w:rsidRPr="009901FA">
        <w:rPr>
          <w:noProof/>
        </w:rPr>
        <w:t>37</w:t>
      </w:r>
      <w:r w:rsidR="005F6350" w:rsidRPr="009901FA">
        <w:rPr>
          <w:highlight w:val="yellow"/>
        </w:rPr>
        <w:fldChar w:fldCharType="end"/>
      </w:r>
      <w:r w:rsidRPr="009901FA">
        <w:t xml:space="preserve"> indicates</w:t>
      </w:r>
      <w:r w:rsidR="00A54772" w:rsidRPr="009901FA">
        <w:t xml:space="preserve"> that yield gains in the Alcohol</w:t>
      </w:r>
      <w:r w:rsidRPr="009901FA">
        <w:noBreakHyphen/>
      </w:r>
      <w:r w:rsidR="00A54772" w:rsidRPr="009901FA">
        <w:t>to</w:t>
      </w:r>
      <w:r w:rsidRPr="009901FA">
        <w:noBreakHyphen/>
      </w:r>
      <w:r w:rsidR="00A54772" w:rsidRPr="009901FA">
        <w:t>Jet</w:t>
      </w:r>
      <w:r w:rsidR="00AF36F3" w:rsidRPr="009901FA">
        <w:t xml:space="preserve"> (AtJ)</w:t>
      </w:r>
      <w:r w:rsidR="00A54772" w:rsidRPr="009901FA">
        <w:t xml:space="preserve"> and Gasification</w:t>
      </w:r>
      <w:r w:rsidRPr="009901FA">
        <w:rPr>
          <w:rFonts w:cs="Century Gothic"/>
        </w:rPr>
        <w:t>–</w:t>
      </w:r>
      <w:r w:rsidR="00A54772" w:rsidRPr="009901FA">
        <w:t>Fischer</w:t>
      </w:r>
      <w:r w:rsidRPr="009901FA">
        <w:noBreakHyphen/>
      </w:r>
      <w:r w:rsidR="00A54772" w:rsidRPr="009901FA">
        <w:t xml:space="preserve">Tropsch </w:t>
      </w:r>
      <w:r w:rsidR="00AF36F3" w:rsidRPr="009901FA">
        <w:t xml:space="preserve">(GFT) </w:t>
      </w:r>
      <w:r w:rsidRPr="009901FA">
        <w:t xml:space="preserve">pathways contribute </w:t>
      </w:r>
      <w:r w:rsidR="00A54772" w:rsidRPr="009901FA">
        <w:t xml:space="preserve">more </w:t>
      </w:r>
      <w:r w:rsidRPr="009901FA">
        <w:t>to this reduction</w:t>
      </w:r>
      <w:r w:rsidR="00EA2F2E" w:rsidRPr="009901FA">
        <w:t xml:space="preserve"> than </w:t>
      </w:r>
      <w:r w:rsidR="00AF36F3" w:rsidRPr="009901FA">
        <w:t xml:space="preserve">gains in the </w:t>
      </w:r>
      <w:r w:rsidR="00B85926" w:rsidRPr="009901FA">
        <w:t>Hydro</w:t>
      </w:r>
      <w:r w:rsidR="008659A5" w:rsidRPr="009901FA">
        <w:t>p</w:t>
      </w:r>
      <w:r w:rsidR="00B85926" w:rsidRPr="009901FA">
        <w:t>rocessed Esters and Fatty Acids (</w:t>
      </w:r>
      <w:r w:rsidR="00AF36F3" w:rsidRPr="009901FA">
        <w:t>HEFA</w:t>
      </w:r>
      <w:r w:rsidR="00B85926" w:rsidRPr="009901FA">
        <w:t xml:space="preserve">) </w:t>
      </w:r>
      <w:r w:rsidR="00AF36F3" w:rsidRPr="009901FA">
        <w:t xml:space="preserve">route. </w:t>
      </w:r>
      <w:r w:rsidRPr="009901FA">
        <w:t>Two factors explain the difference: (i) AtJ and GFT are two</w:t>
      </w:r>
      <w:r w:rsidRPr="009901FA">
        <w:noBreakHyphen/>
        <w:t>step, lower</w:t>
      </w:r>
      <w:r w:rsidRPr="009901FA">
        <w:noBreakHyphen/>
        <w:t>TRL processes, so yield improvements have a larger relative impact; and (ii) these pathways are expected to supply a greater share of total bio</w:t>
      </w:r>
      <w:r w:rsidRPr="009901FA">
        <w:noBreakHyphen/>
        <w:t>SAF output because availability of sustainable feedstock for HEFA is constrained.</w:t>
      </w:r>
      <w:r w:rsidR="00640A66" w:rsidRPr="009901FA">
        <w:t xml:space="preserve"> </w:t>
      </w:r>
      <w:r w:rsidR="00463556" w:rsidRPr="009901FA">
        <w:t>Whereas AtJ and GFT can use abundant lignocellulosic residues and other organic waste streams that can be purpose</w:t>
      </w:r>
      <w:r w:rsidR="00463556" w:rsidRPr="009901FA">
        <w:noBreakHyphen/>
        <w:t>grown or easily collected, the HEFA pathway relies on lipid</w:t>
      </w:r>
      <w:r w:rsidR="00463556" w:rsidRPr="009901FA">
        <w:noBreakHyphen/>
        <w:t>rich feedstocks. Today these lipids come mainly from relatively scarce waste oils and animal fats, so the limited supply of suitable oily biomass naturally limits how much SAF can be produced via HEFA</w:t>
      </w:r>
      <w:r w:rsidR="001E279C" w:rsidRPr="009901FA">
        <w:t>.</w:t>
      </w:r>
      <w:r w:rsidR="00140D3C" w:rsidRPr="009901FA">
        <w:rPr>
          <w:color w:val="00146D" w:themeColor="text2"/>
          <w:highlight w:val="yellow"/>
        </w:rPr>
        <w:br w:type="page"/>
      </w:r>
    </w:p>
    <w:p w14:paraId="3E37F205" w14:textId="53AAFF4D" w:rsidR="001F67A5" w:rsidRPr="009901FA" w:rsidRDefault="001F67A5" w:rsidP="001F67A5">
      <w:pPr>
        <w:pStyle w:val="Caption"/>
        <w:keepNext/>
      </w:pPr>
      <w:bookmarkStart w:id="136" w:name="_Ref203751409"/>
      <w:r w:rsidRPr="009901FA">
        <w:lastRenderedPageBreak/>
        <w:t xml:space="preserve">Exhibit </w:t>
      </w:r>
      <w:r w:rsidR="00E61394">
        <w:t>4</w:t>
      </w:r>
      <w:r w:rsidR="008725B4" w:rsidRPr="009901FA">
        <w:t>.</w:t>
      </w:r>
      <w:fldSimple w:instr=" SEQ Exhibit \* ARABIC \s 2 ">
        <w:r w:rsidR="00DE378F" w:rsidRPr="009901FA">
          <w:rPr>
            <w:noProof/>
          </w:rPr>
          <w:t>37</w:t>
        </w:r>
      </w:fldSimple>
      <w:bookmarkEnd w:id="136"/>
    </w:p>
    <w:p w14:paraId="64404AF2" w14:textId="526E6F17" w:rsidR="00611CE3" w:rsidRPr="00A247A6" w:rsidRDefault="00BD76CD" w:rsidP="00C4534C">
      <w:r w:rsidRPr="009901FA">
        <w:rPr>
          <w:noProof/>
        </w:rPr>
        <w:drawing>
          <wp:inline distT="0" distB="0" distL="0" distR="0" wp14:anchorId="71A8B18D" wp14:editId="337F9BBC">
            <wp:extent cx="6263640" cy="3523615"/>
            <wp:effectExtent l="0" t="0" r="0" b="0"/>
            <wp:docPr id="185602864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028642" name=""/>
                    <pic:cNvPicPr/>
                  </pic:nvPicPr>
                  <pic:blipFill>
                    <a:blip r:embed="rId136">
                      <a:extLst>
                        <a:ext uri="{96DAC541-7B7A-43D3-8B79-37D633B846F1}">
                          <asvg:svgBlip xmlns:asvg="http://schemas.microsoft.com/office/drawing/2016/SVG/main" r:embed="rId137"/>
                        </a:ext>
                      </a:extLst>
                    </a:blip>
                    <a:stretch>
                      <a:fillRect/>
                    </a:stretch>
                  </pic:blipFill>
                  <pic:spPr>
                    <a:xfrm>
                      <a:off x="0" y="0"/>
                      <a:ext cx="6263640" cy="3523615"/>
                    </a:xfrm>
                    <a:prstGeom prst="rect">
                      <a:avLst/>
                    </a:prstGeom>
                  </pic:spPr>
                </pic:pic>
              </a:graphicData>
            </a:graphic>
          </wp:inline>
        </w:drawing>
      </w:r>
      <w:r w:rsidR="00AF36F3" w:rsidRPr="00A247A6">
        <w:t xml:space="preserve"> </w:t>
      </w:r>
    </w:p>
    <w:p w14:paraId="36B093DD" w14:textId="28D4C4AE" w:rsidR="00E01DC9" w:rsidRPr="009901FA" w:rsidRDefault="00E01DC9" w:rsidP="00E01DC9">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Barriers and Enablers</w:t>
      </w:r>
    </w:p>
    <w:p w14:paraId="334F9D65" w14:textId="6BF1E08E" w:rsidR="00D73911" w:rsidRPr="009901FA" w:rsidRDefault="0063111F">
      <w:r w:rsidRPr="009901FA">
        <w:rPr>
          <w:b/>
          <w:bCs/>
        </w:rPr>
        <w:t>Commercial viability of bio</w:t>
      </w:r>
      <w:r w:rsidRPr="009901FA">
        <w:rPr>
          <w:b/>
          <w:bCs/>
        </w:rPr>
        <w:noBreakHyphen/>
        <w:t xml:space="preserve">based carbon molecules depends on the continued development of integrated biorefinery systems for </w:t>
      </w:r>
      <w:r w:rsidR="0024094D" w:rsidRPr="009901FA">
        <w:rPr>
          <w:b/>
          <w:bCs/>
        </w:rPr>
        <w:t xml:space="preserve">sector </w:t>
      </w:r>
      <w:r w:rsidRPr="009901FA">
        <w:rPr>
          <w:b/>
          <w:bCs/>
        </w:rPr>
        <w:t xml:space="preserve">specific </w:t>
      </w:r>
      <w:r w:rsidR="003F3EB4" w:rsidRPr="009901FA">
        <w:rPr>
          <w:b/>
          <w:bCs/>
        </w:rPr>
        <w:t>applications, like aviation</w:t>
      </w:r>
      <w:r w:rsidR="00BE6623" w:rsidRPr="009901FA">
        <w:rPr>
          <w:b/>
          <w:bCs/>
        </w:rPr>
        <w:t>.</w:t>
      </w:r>
      <w:r w:rsidR="00BE6623" w:rsidRPr="009901FA">
        <w:t xml:space="preserve"> Two</w:t>
      </w:r>
      <w:r w:rsidR="006B30D7" w:rsidRPr="009901FA">
        <w:t xml:space="preserve"> pillars</w:t>
      </w:r>
      <w:r w:rsidR="00362EE8" w:rsidRPr="009901FA">
        <w:t xml:space="preserve"> </w:t>
      </w:r>
      <w:r w:rsidR="00BE6623" w:rsidRPr="009901FA">
        <w:t>require coordinated</w:t>
      </w:r>
      <w:r w:rsidR="00362EE8" w:rsidRPr="009901FA">
        <w:t xml:space="preserve"> support</w:t>
      </w:r>
      <w:r w:rsidR="006B30D7" w:rsidRPr="009901FA">
        <w:t xml:space="preserve">: feedstock </w:t>
      </w:r>
      <w:r w:rsidR="00BE6623" w:rsidRPr="009901FA">
        <w:t xml:space="preserve">access </w:t>
      </w:r>
      <w:r w:rsidR="006B30D7" w:rsidRPr="009901FA">
        <w:t xml:space="preserve">and </w:t>
      </w:r>
      <w:r w:rsidR="00362EE8" w:rsidRPr="009901FA">
        <w:t xml:space="preserve">demand creation. For </w:t>
      </w:r>
      <w:r w:rsidR="00BE6623" w:rsidRPr="009901FA">
        <w:t>feedstock access,</w:t>
      </w:r>
      <w:r w:rsidR="00362EE8" w:rsidRPr="009901FA">
        <w:t xml:space="preserve"> three criteria </w:t>
      </w:r>
      <w:r w:rsidR="00BE6623" w:rsidRPr="009901FA">
        <w:t>are key</w:t>
      </w:r>
      <w:r w:rsidR="00B40E17" w:rsidRPr="009901FA">
        <w:t xml:space="preserve">: </w:t>
      </w:r>
    </w:p>
    <w:p w14:paraId="1666C7DE" w14:textId="730590A5" w:rsidR="00B94602" w:rsidRPr="009901FA" w:rsidRDefault="00B94602" w:rsidP="005F2502">
      <w:pPr>
        <w:pStyle w:val="ListParagraph"/>
        <w:numPr>
          <w:ilvl w:val="0"/>
          <w:numId w:val="37"/>
        </w:numPr>
        <w:rPr>
          <w:b/>
          <w:bCs/>
        </w:rPr>
      </w:pPr>
      <w:r w:rsidRPr="009901FA">
        <w:rPr>
          <w:b/>
          <w:bCs/>
        </w:rPr>
        <w:t>U</w:t>
      </w:r>
      <w:r w:rsidR="00B40E17" w:rsidRPr="009901FA">
        <w:rPr>
          <w:b/>
        </w:rPr>
        <w:t xml:space="preserve">niform biomass regulations that </w:t>
      </w:r>
      <w:r w:rsidR="00BE6623" w:rsidRPr="009901FA">
        <w:rPr>
          <w:b/>
        </w:rPr>
        <w:t>safeguard</w:t>
      </w:r>
      <w:r w:rsidR="00B40E17" w:rsidRPr="009901FA">
        <w:rPr>
          <w:b/>
        </w:rPr>
        <w:t xml:space="preserve"> sustainability </w:t>
      </w:r>
      <w:r w:rsidR="00BE6623" w:rsidRPr="009901FA">
        <w:rPr>
          <w:b/>
        </w:rPr>
        <w:t>without excluding viable</w:t>
      </w:r>
      <w:r w:rsidR="00B40E17" w:rsidRPr="009901FA">
        <w:rPr>
          <w:b/>
        </w:rPr>
        <w:t xml:space="preserve"> resources</w:t>
      </w:r>
      <w:r w:rsidR="00C507DC" w:rsidRPr="009901FA">
        <w:rPr>
          <w:b/>
          <w:bCs/>
        </w:rPr>
        <w:t xml:space="preserve">. </w:t>
      </w:r>
      <w:r w:rsidR="00C507DC" w:rsidRPr="009901FA">
        <w:t>This allows for maximisation of resource utilization</w:t>
      </w:r>
      <w:r w:rsidR="00BE460E" w:rsidRPr="009901FA">
        <w:t xml:space="preserve"> and unification of legislations, avoiding regulatory mismatches</w:t>
      </w:r>
    </w:p>
    <w:p w14:paraId="79338209" w14:textId="0FCE9233" w:rsidR="00B94602" w:rsidRPr="009901FA" w:rsidRDefault="002B50B8" w:rsidP="005F2502">
      <w:pPr>
        <w:pStyle w:val="ListParagraph"/>
        <w:numPr>
          <w:ilvl w:val="0"/>
          <w:numId w:val="37"/>
        </w:numPr>
        <w:rPr>
          <w:b/>
          <w:bCs/>
        </w:rPr>
      </w:pPr>
      <w:r w:rsidRPr="009901FA">
        <w:rPr>
          <w:b/>
          <w:bCs/>
        </w:rPr>
        <w:t>R</w:t>
      </w:r>
      <w:r w:rsidR="00BE6623" w:rsidRPr="009901FA">
        <w:rPr>
          <w:b/>
          <w:bCs/>
        </w:rPr>
        <w:t xml:space="preserve">esource </w:t>
      </w:r>
      <w:r w:rsidR="00A94D5C" w:rsidRPr="009901FA">
        <w:rPr>
          <w:b/>
        </w:rPr>
        <w:t xml:space="preserve">mapping </w:t>
      </w:r>
      <w:r w:rsidR="00BE6623" w:rsidRPr="009901FA">
        <w:rPr>
          <w:b/>
        </w:rPr>
        <w:t>coupled with</w:t>
      </w:r>
      <w:r w:rsidR="00A94D5C" w:rsidRPr="009901FA">
        <w:rPr>
          <w:b/>
        </w:rPr>
        <w:t xml:space="preserve"> local</w:t>
      </w:r>
      <w:r w:rsidR="00BE6623" w:rsidRPr="009901FA">
        <w:rPr>
          <w:b/>
        </w:rPr>
        <w:noBreakHyphen/>
      </w:r>
      <w:r w:rsidR="00A94D5C" w:rsidRPr="009901FA">
        <w:rPr>
          <w:b/>
        </w:rPr>
        <w:t>infrastructure development</w:t>
      </w:r>
      <w:r w:rsidR="008B0E74" w:rsidRPr="009901FA">
        <w:rPr>
          <w:b/>
          <w:bCs/>
        </w:rPr>
        <w:t xml:space="preserve">. </w:t>
      </w:r>
      <w:r w:rsidR="008B0E74" w:rsidRPr="009901FA">
        <w:t xml:space="preserve">Maximizes </w:t>
      </w:r>
      <w:r w:rsidR="00936641" w:rsidRPr="009901FA">
        <w:t>resource availability and f</w:t>
      </w:r>
      <w:r w:rsidR="008B0E74" w:rsidRPr="009901FA">
        <w:t xml:space="preserve">acilitates collection and processing of primary biomass into </w:t>
      </w:r>
      <w:r w:rsidR="00936641" w:rsidRPr="009901FA">
        <w:t>tradeable products</w:t>
      </w:r>
    </w:p>
    <w:p w14:paraId="663E60D6" w14:textId="0F285509" w:rsidR="00D73911" w:rsidRPr="009901FA" w:rsidRDefault="00936641" w:rsidP="005F2502">
      <w:pPr>
        <w:pStyle w:val="ListParagraph"/>
        <w:numPr>
          <w:ilvl w:val="0"/>
          <w:numId w:val="37"/>
        </w:numPr>
        <w:rPr>
          <w:b/>
        </w:rPr>
      </w:pPr>
      <w:r w:rsidRPr="009901FA">
        <w:rPr>
          <w:b/>
          <w:bCs/>
        </w:rPr>
        <w:t>M</w:t>
      </w:r>
      <w:r w:rsidR="00BE6623" w:rsidRPr="009901FA">
        <w:rPr>
          <w:b/>
          <w:bCs/>
        </w:rPr>
        <w:t>arket</w:t>
      </w:r>
      <w:r w:rsidR="00A94D5C" w:rsidRPr="009901FA">
        <w:rPr>
          <w:b/>
        </w:rPr>
        <w:t xml:space="preserve"> </w:t>
      </w:r>
      <w:r w:rsidR="00BE6623" w:rsidRPr="009901FA">
        <w:rPr>
          <w:b/>
        </w:rPr>
        <w:t>mechanisms that promote</w:t>
      </w:r>
      <w:r w:rsidR="00A94D5C" w:rsidRPr="009901FA">
        <w:rPr>
          <w:b/>
        </w:rPr>
        <w:t xml:space="preserve"> </w:t>
      </w:r>
      <w:r w:rsidR="00CD38A2" w:rsidRPr="009901FA">
        <w:rPr>
          <w:b/>
        </w:rPr>
        <w:t>tradability</w:t>
      </w:r>
      <w:r w:rsidR="00A94D5C" w:rsidRPr="009901FA">
        <w:rPr>
          <w:b/>
        </w:rPr>
        <w:t xml:space="preserve"> and </w:t>
      </w:r>
      <w:r w:rsidR="00350E00" w:rsidRPr="009901FA">
        <w:rPr>
          <w:b/>
        </w:rPr>
        <w:t xml:space="preserve">commodity </w:t>
      </w:r>
      <w:r w:rsidR="00A94D5C" w:rsidRPr="009901FA">
        <w:rPr>
          <w:b/>
        </w:rPr>
        <w:t>homogeneity</w:t>
      </w:r>
      <w:r w:rsidR="00BE6623" w:rsidRPr="009901FA">
        <w:rPr>
          <w:b/>
        </w:rPr>
        <w:t xml:space="preserve">. </w:t>
      </w:r>
      <w:r w:rsidR="00025E67" w:rsidRPr="009901FA">
        <w:t xml:space="preserve">Creation of markets </w:t>
      </w:r>
      <w:r w:rsidR="00F430C9" w:rsidRPr="009901FA">
        <w:t xml:space="preserve">for specific bio-based carbon molecules (e.g., bio-methane, bio-ethanol, </w:t>
      </w:r>
      <w:r w:rsidR="009B5B33" w:rsidRPr="009901FA">
        <w:t xml:space="preserve">syngas, </w:t>
      </w:r>
      <w:r w:rsidR="00B03BDA" w:rsidRPr="009901FA">
        <w:t>bio-oils)</w:t>
      </w:r>
      <w:r w:rsidR="002D5F8C" w:rsidRPr="009901FA">
        <w:t>, in order to facilitate molecule commercialization.</w:t>
      </w:r>
    </w:p>
    <w:p w14:paraId="3FEB3A19" w14:textId="066BE2E9" w:rsidR="00D73911" w:rsidRPr="009901FA" w:rsidRDefault="00BE6623">
      <w:r w:rsidRPr="009901FA">
        <w:t>Demand creation focuses on accelerating</w:t>
      </w:r>
      <w:r w:rsidR="008E5056" w:rsidRPr="009901FA">
        <w:t xml:space="preserve"> deployment </w:t>
      </w:r>
      <w:r w:rsidRPr="009901FA">
        <w:t xml:space="preserve">to drive cost reductions </w:t>
      </w:r>
      <w:r w:rsidR="008E5056" w:rsidRPr="009901FA">
        <w:t>over time</w:t>
      </w:r>
      <w:r w:rsidRPr="009901FA">
        <w:t>;</w:t>
      </w:r>
      <w:r w:rsidR="00790EB3" w:rsidRPr="009901FA">
        <w:t xml:space="preserve"> </w:t>
      </w:r>
      <w:r w:rsidR="00CA7CFE" w:rsidRPr="009901FA">
        <w:t xml:space="preserve">two criteria </w:t>
      </w:r>
      <w:r w:rsidRPr="009901FA">
        <w:t xml:space="preserve">are </w:t>
      </w:r>
      <w:r w:rsidR="00CA7CFE" w:rsidRPr="009901FA">
        <w:t xml:space="preserve">crucial: </w:t>
      </w:r>
    </w:p>
    <w:p w14:paraId="44569C37" w14:textId="27510274" w:rsidR="00D73911" w:rsidRPr="009901FA" w:rsidRDefault="0049136F" w:rsidP="005F2502">
      <w:pPr>
        <w:pStyle w:val="ListParagraph"/>
        <w:numPr>
          <w:ilvl w:val="0"/>
          <w:numId w:val="38"/>
        </w:numPr>
      </w:pPr>
      <w:r w:rsidRPr="009901FA">
        <w:rPr>
          <w:b/>
          <w:bCs/>
        </w:rPr>
        <w:t>D</w:t>
      </w:r>
      <w:r w:rsidR="00BE6623" w:rsidRPr="009901FA">
        <w:rPr>
          <w:b/>
          <w:bCs/>
        </w:rPr>
        <w:t>emand</w:t>
      </w:r>
      <w:r w:rsidR="00BE6623" w:rsidRPr="009901FA">
        <w:rPr>
          <w:b/>
        </w:rPr>
        <w:noBreakHyphen/>
        <w:t>side</w:t>
      </w:r>
      <w:r w:rsidR="00790EB3" w:rsidRPr="009901FA">
        <w:rPr>
          <w:b/>
        </w:rPr>
        <w:t xml:space="preserve"> incentives </w:t>
      </w:r>
      <w:r w:rsidR="00BE6623" w:rsidRPr="009901FA">
        <w:rPr>
          <w:b/>
        </w:rPr>
        <w:t xml:space="preserve">that </w:t>
      </w:r>
      <w:r w:rsidR="00790EB3" w:rsidRPr="009901FA">
        <w:rPr>
          <w:b/>
        </w:rPr>
        <w:t xml:space="preserve">facilitate </w:t>
      </w:r>
      <w:r w:rsidR="00BE6623" w:rsidRPr="009901FA">
        <w:rPr>
          <w:b/>
        </w:rPr>
        <w:t>long</w:t>
      </w:r>
      <w:r w:rsidR="00BE6623" w:rsidRPr="009901FA">
        <w:rPr>
          <w:b/>
        </w:rPr>
        <w:noBreakHyphen/>
        <w:t xml:space="preserve">term </w:t>
      </w:r>
      <w:r w:rsidR="00790EB3" w:rsidRPr="009901FA">
        <w:rPr>
          <w:b/>
        </w:rPr>
        <w:t>offtake agreements</w:t>
      </w:r>
      <w:r w:rsidRPr="009901FA">
        <w:rPr>
          <w:b/>
          <w:bCs/>
        </w:rPr>
        <w:t xml:space="preserve">. </w:t>
      </w:r>
      <w:r w:rsidR="00975C9E" w:rsidRPr="009901FA">
        <w:t>Blending mandates</w:t>
      </w:r>
      <w:r w:rsidR="00BE6623" w:rsidRPr="009901FA">
        <w:t xml:space="preserve"> and </w:t>
      </w:r>
      <w:r w:rsidR="00975C9E" w:rsidRPr="009901FA">
        <w:t xml:space="preserve">carbon taxes can </w:t>
      </w:r>
      <w:r w:rsidR="00454FC7" w:rsidRPr="009901FA">
        <w:t xml:space="preserve">push demand for bio-based carbon molecules, </w:t>
      </w:r>
      <w:r w:rsidR="00A2203D" w:rsidRPr="009901FA">
        <w:t>reducing commercial risks and enabling more plants to come online.</w:t>
      </w:r>
    </w:p>
    <w:p w14:paraId="4A5CED31" w14:textId="4CF8AB6B" w:rsidR="0005697F" w:rsidRPr="009901FA" w:rsidRDefault="00975C9E" w:rsidP="005F2502">
      <w:pPr>
        <w:pStyle w:val="ListParagraph"/>
        <w:numPr>
          <w:ilvl w:val="0"/>
          <w:numId w:val="38"/>
        </w:numPr>
        <w:rPr>
          <w:b/>
          <w:bCs/>
        </w:rPr>
      </w:pPr>
      <w:r w:rsidRPr="009901FA">
        <w:rPr>
          <w:b/>
          <w:bCs/>
        </w:rPr>
        <w:t>R</w:t>
      </w:r>
      <w:r w:rsidR="00BE6623" w:rsidRPr="009901FA">
        <w:rPr>
          <w:b/>
          <w:bCs/>
        </w:rPr>
        <w:t>apid</w:t>
      </w:r>
      <w:r w:rsidR="00BE6623" w:rsidRPr="009901FA">
        <w:rPr>
          <w:b/>
        </w:rPr>
        <w:t xml:space="preserve"> scale</w:t>
      </w:r>
      <w:r w:rsidR="00BE6623" w:rsidRPr="009901FA">
        <w:rPr>
          <w:b/>
        </w:rPr>
        <w:noBreakHyphen/>
        <w:t xml:space="preserve">up to </w:t>
      </w:r>
      <w:r w:rsidR="00790EB3" w:rsidRPr="009901FA">
        <w:rPr>
          <w:b/>
        </w:rPr>
        <w:t xml:space="preserve">lower </w:t>
      </w:r>
      <w:r w:rsidR="00BE6623" w:rsidRPr="009901FA">
        <w:rPr>
          <w:b/>
        </w:rPr>
        <w:t xml:space="preserve">unit </w:t>
      </w:r>
      <w:r w:rsidR="00790EB3" w:rsidRPr="009901FA">
        <w:rPr>
          <w:b/>
        </w:rPr>
        <w:t xml:space="preserve">costs via </w:t>
      </w:r>
      <w:r w:rsidR="00BE6623" w:rsidRPr="009901FA">
        <w:rPr>
          <w:b/>
        </w:rPr>
        <w:t>economies</w:t>
      </w:r>
      <w:r w:rsidR="00790EB3" w:rsidRPr="009901FA">
        <w:rPr>
          <w:b/>
        </w:rPr>
        <w:t xml:space="preserve"> of scale. </w:t>
      </w:r>
      <w:r w:rsidR="0096502A" w:rsidRPr="009901FA">
        <w:t>Achieving cost parity with fossil fuels will require steep cost cuts driven by</w:t>
      </w:r>
      <w:r w:rsidR="00246F5C" w:rsidRPr="009901FA">
        <w:t xml:space="preserve"> </w:t>
      </w:r>
      <w:r w:rsidR="00D57EDB" w:rsidRPr="009901FA">
        <w:t xml:space="preserve">larger </w:t>
      </w:r>
      <w:r w:rsidR="00265D62" w:rsidRPr="009901FA">
        <w:t>scale,</w:t>
      </w:r>
      <w:r w:rsidR="00F25F1A" w:rsidRPr="009901FA">
        <w:t xml:space="preserve"> </w:t>
      </w:r>
      <w:r w:rsidR="009D32CE" w:rsidRPr="009901FA">
        <w:t xml:space="preserve">learning </w:t>
      </w:r>
      <w:r w:rsidR="009D32CE" w:rsidRPr="009901FA">
        <w:lastRenderedPageBreak/>
        <w:t xml:space="preserve">rates, supply chain growth and </w:t>
      </w:r>
      <w:r w:rsidR="00A77960" w:rsidRPr="009901FA">
        <w:t>prod</w:t>
      </w:r>
      <w:r w:rsidR="00246F5C" w:rsidRPr="009901FA">
        <w:t xml:space="preserve">uct </w:t>
      </w:r>
      <w:r w:rsidR="00AD228D" w:rsidRPr="009901FA">
        <w:t>standardization</w:t>
      </w:r>
      <w:r w:rsidR="00246F5C" w:rsidRPr="009901FA">
        <w:t xml:space="preserve">, all of which </w:t>
      </w:r>
      <w:r w:rsidR="00AD228D" w:rsidRPr="009901FA">
        <w:t xml:space="preserve">require </w:t>
      </w:r>
      <w:r w:rsidR="00D57EDB" w:rsidRPr="009901FA">
        <w:t>high</w:t>
      </w:r>
      <w:r w:rsidR="00D57EDB" w:rsidRPr="009901FA">
        <w:noBreakHyphen/>
        <w:t>capacity facilities running for long, sustained periods.</w:t>
      </w:r>
    </w:p>
    <w:p w14:paraId="7CB0358E" w14:textId="2233B29B" w:rsidR="00881165" w:rsidRPr="009901FA" w:rsidRDefault="001E20E6" w:rsidP="00207982">
      <w:pPr>
        <w:rPr>
          <w:b/>
          <w:bCs/>
          <w:color w:val="00146D" w:themeColor="text2"/>
        </w:rPr>
      </w:pPr>
      <w:r w:rsidRPr="009901FA">
        <w:t>Progress across</w:t>
      </w:r>
      <w:r w:rsidR="00C06A1C" w:rsidRPr="009901FA">
        <w:t xml:space="preserve"> all </w:t>
      </w:r>
      <w:r w:rsidRPr="009901FA">
        <w:t>criteria</w:t>
      </w:r>
      <w:r w:rsidR="00C06A1C" w:rsidRPr="009901FA">
        <w:t xml:space="preserve"> will </w:t>
      </w:r>
      <w:r w:rsidRPr="009901FA">
        <w:t xml:space="preserve">enable the </w:t>
      </w:r>
      <w:r w:rsidR="00C06A1C" w:rsidRPr="009901FA">
        <w:t>bio-industry</w:t>
      </w:r>
      <w:r w:rsidR="00C62A79" w:rsidRPr="009901FA">
        <w:t xml:space="preserve"> </w:t>
      </w:r>
      <w:r w:rsidRPr="009901FA">
        <w:t>to grow</w:t>
      </w:r>
      <w:r w:rsidR="00C62A79" w:rsidRPr="009901FA">
        <w:t xml:space="preserve"> organically and reach the </w:t>
      </w:r>
      <w:r w:rsidRPr="009901FA">
        <w:t xml:space="preserve">scale </w:t>
      </w:r>
      <w:r w:rsidR="00567D8A" w:rsidRPr="009901FA">
        <w:t>needed to deliver meaningful impact in a net</w:t>
      </w:r>
      <w:r w:rsidR="00567D8A" w:rsidRPr="009901FA">
        <w:noBreakHyphen/>
        <w:t>zero economy.</w:t>
      </w:r>
    </w:p>
    <w:p w14:paraId="4A8E1A79" w14:textId="66BCB4E6" w:rsidR="00140D3C" w:rsidRPr="00A247A6" w:rsidRDefault="00140D3C" w:rsidP="00C4534C"/>
    <w:p w14:paraId="33491CDA" w14:textId="00C3704E" w:rsidR="00363325" w:rsidRPr="000E0EB1" w:rsidRDefault="005C4C40" w:rsidP="00207982">
      <w:pPr>
        <w:pStyle w:val="Heading3"/>
        <w:rPr>
          <w:szCs w:val="30"/>
        </w:rPr>
      </w:pPr>
      <w:bookmarkStart w:id="137" w:name="_Toc205392470"/>
      <w:bookmarkStart w:id="138" w:name="_Toc205554239"/>
      <w:r w:rsidRPr="000E0EB1">
        <w:rPr>
          <w:szCs w:val="30"/>
        </w:rPr>
        <w:t>4</w:t>
      </w:r>
      <w:r w:rsidR="00B12513" w:rsidRPr="000E0EB1">
        <w:rPr>
          <w:szCs w:val="30"/>
        </w:rPr>
        <w:t xml:space="preserve">.3 </w:t>
      </w:r>
      <w:r w:rsidR="00265568" w:rsidRPr="000E0EB1">
        <w:rPr>
          <w:szCs w:val="30"/>
        </w:rPr>
        <w:t>Conclusion</w:t>
      </w:r>
      <w:r w:rsidR="00A708B3" w:rsidRPr="000E0EB1">
        <w:rPr>
          <w:szCs w:val="30"/>
        </w:rPr>
        <w:t>s about sourcing of primary carbon</w:t>
      </w:r>
      <w:bookmarkEnd w:id="137"/>
      <w:bookmarkEnd w:id="138"/>
    </w:p>
    <w:p w14:paraId="470C2534" w14:textId="003A1ADD" w:rsidR="00AD141D" w:rsidRPr="009901FA" w:rsidRDefault="00AD141D" w:rsidP="00AD141D">
      <w:r w:rsidRPr="009901FA">
        <w:t>As described in this Chapter, there are multiple potential sources of primary carbon which could be used in a way compatible with net zero emissions. The optimal balance will be determined by future technological and cost development, and it is impossible and unnecessary to predict it in advance. Instead, the crucial priority is to introduce regulations and carbon pricing which will help achieve the most efficient solution.</w:t>
      </w:r>
    </w:p>
    <w:p w14:paraId="5E4D47EC" w14:textId="36662317" w:rsidR="00AD141D" w:rsidRPr="009901FA" w:rsidRDefault="00AD141D" w:rsidP="00AD141D">
      <w:r w:rsidRPr="009901FA">
        <w:t xml:space="preserve">But the key factors which will determine the optimal balance between the different sources are: </w:t>
      </w:r>
    </w:p>
    <w:p w14:paraId="35CCCFF8" w14:textId="7CC07A54" w:rsidR="00AD141D" w:rsidRPr="009901FA" w:rsidRDefault="00AD141D" w:rsidP="00AD141D">
      <w:pPr>
        <w:pStyle w:val="ListParagraph"/>
        <w:numPr>
          <w:ilvl w:val="1"/>
          <w:numId w:val="55"/>
        </w:numPr>
      </w:pPr>
      <w:r w:rsidRPr="009901FA">
        <w:rPr>
          <w:b/>
          <w:bCs/>
        </w:rPr>
        <w:t>The cost of direct air capture and ocean based carbon removal.</w:t>
      </w:r>
      <w:r w:rsidRPr="009901FA">
        <w:t xml:space="preserve"> Initial estimates of DAC costs reaching below $100</w:t>
      </w:r>
      <w:r w:rsidR="00935A86" w:rsidRPr="009901FA">
        <w:t xml:space="preserve"> </w:t>
      </w:r>
      <w:r w:rsidRPr="009901FA">
        <w:t>by mid-century have recently been revised up, but further technological progress and cost reductions is possible. Ocean based CO2 removal seems to be emerging as a credible and potentially low-cost alternative. If either technology becomes cost-effective versus the alternatives, capture from the atmosphere or ocean could play a useful role both in (i) providing carbon atoms for end use applications</w:t>
      </w:r>
      <w:r w:rsidR="008A4978" w:rsidRPr="009901FA">
        <w:t xml:space="preserve"> and </w:t>
      </w:r>
      <w:r w:rsidRPr="009901FA">
        <w:t>(</w:t>
      </w:r>
      <w:r w:rsidR="008A4978" w:rsidRPr="009901FA">
        <w:t>ii</w:t>
      </w:r>
      <w:r w:rsidRPr="009901FA">
        <w:t xml:space="preserve">) making it possible to offset emissions resulting from fossil fuel use; in the case of DAC this will also require the storage technologies described in Chapter </w:t>
      </w:r>
      <w:r w:rsidR="00D10538">
        <w:t>5</w:t>
      </w:r>
      <w:r w:rsidRPr="009901FA">
        <w:t>.</w:t>
      </w:r>
    </w:p>
    <w:p w14:paraId="46F82A19" w14:textId="77777777" w:rsidR="005B4B97" w:rsidRPr="009901FA" w:rsidRDefault="00AD141D" w:rsidP="00B810CE">
      <w:pPr>
        <w:pStyle w:val="ListParagraph"/>
        <w:numPr>
          <w:ilvl w:val="0"/>
          <w:numId w:val="54"/>
        </w:numPr>
      </w:pPr>
      <w:r w:rsidRPr="009901FA">
        <w:rPr>
          <w:b/>
          <w:bCs/>
        </w:rPr>
        <w:t>The technical feasibility and cost of point source carbon capture</w:t>
      </w:r>
      <w:r w:rsidRPr="009901FA">
        <w:t>. Compared with expectations 10 to 15 years ago, the pace of cost reduction in point source capture, and the pace of deployment have been disappointing. This reflects complexities created by sector specific circumstances, the difficulty of applying carbon capture systems to already existing industrial plants, and the presence of impurities such as particulate matter, sulphur dioxide and nitrogen oxides. New technologies such as Calcium Looping or the Allam-Fetvedt Cycle (AFC)</w:t>
      </w:r>
      <w:r w:rsidR="0011030F" w:rsidRPr="009901FA">
        <w:t xml:space="preserve"> </w:t>
      </w:r>
      <w:r w:rsidRPr="009901FA">
        <w:t>may help overcome these challenges.</w:t>
      </w:r>
    </w:p>
    <w:p w14:paraId="4FBD02F3" w14:textId="51D3D751" w:rsidR="00AD141D" w:rsidRPr="009901FA" w:rsidRDefault="00AD141D" w:rsidP="005B4B97">
      <w:pPr>
        <w:pStyle w:val="ListParagraph"/>
      </w:pPr>
      <w:r w:rsidRPr="009901FA">
        <w:t>The crucial policy priority to support development and optimal deployment is robust carbon pricing which needs to cover emissions from the production, processing and transport of fossil fuels as well as those which result from end use</w:t>
      </w:r>
      <w:r w:rsidR="00D97655" w:rsidRPr="009901FA">
        <w:t>.</w:t>
      </w:r>
    </w:p>
    <w:p w14:paraId="21270251" w14:textId="2CBC403E" w:rsidR="00AD141D" w:rsidRPr="009901FA" w:rsidRDefault="00AD141D" w:rsidP="005F2502">
      <w:pPr>
        <w:pStyle w:val="ListParagraph"/>
        <w:numPr>
          <w:ilvl w:val="0"/>
          <w:numId w:val="56"/>
        </w:numPr>
      </w:pPr>
      <w:r w:rsidRPr="009901FA">
        <w:rPr>
          <w:b/>
          <w:bCs/>
        </w:rPr>
        <w:t xml:space="preserve">The true sustainability of bioresource extraction. </w:t>
      </w:r>
      <w:r w:rsidRPr="009901FA">
        <w:t>The ETC has previously published a prudent estimate that sustainable biomass extraction might be limited to 40 to 60 EJ (11,000-17,000</w:t>
      </w:r>
      <w:r w:rsidR="00370C0E" w:rsidRPr="009901FA">
        <w:t xml:space="preserve"> TW</w:t>
      </w:r>
      <w:r w:rsidRPr="009901FA">
        <w:t xml:space="preserve">h) primarily deriving from agricultural </w:t>
      </w:r>
      <w:r w:rsidRPr="009901FA">
        <w:lastRenderedPageBreak/>
        <w:t>and forestry rescues</w:t>
      </w:r>
      <w:r w:rsidRPr="009901FA">
        <w:rPr>
          <w:rStyle w:val="FootnoteReference"/>
        </w:rPr>
        <w:footnoteReference w:id="89"/>
      </w:r>
      <w:r w:rsidRPr="009901FA">
        <w:t xml:space="preserve">. </w:t>
      </w:r>
      <w:r w:rsidR="00343EA1" w:rsidRPr="009901FA">
        <w:t xml:space="preserve">ETC </w:t>
      </w:r>
      <w:r w:rsidRPr="009901FA">
        <w:t>also indicated a maximum potential of 120 EJ (34,000</w:t>
      </w:r>
      <w:r w:rsidR="00370C0E" w:rsidRPr="009901FA">
        <w:t xml:space="preserve"> TWh</w:t>
      </w:r>
      <w:r w:rsidRPr="009901FA">
        <w:t>) if agricultural productivity improvement, alternative proteins and diet change could free up land for buyer resource production.</w:t>
      </w:r>
    </w:p>
    <w:p w14:paraId="70908F53" w14:textId="1A83DFDA" w:rsidR="00AD141D" w:rsidRPr="009901FA" w:rsidRDefault="00AD141D" w:rsidP="006D19F5">
      <w:pPr>
        <w:pStyle w:val="ListParagraph"/>
      </w:pPr>
      <w:r w:rsidRPr="009901FA">
        <w:t>Reflecting on new assessments in Section 6.2, we have now revised up our assessment of the maximum potential to 178EJ (49,000</w:t>
      </w:r>
      <w:r w:rsidR="00370C0E" w:rsidRPr="009901FA">
        <w:t xml:space="preserve"> TWh</w:t>
      </w:r>
      <w:r w:rsidRPr="009901FA">
        <w:t>)</w:t>
      </w:r>
      <w:r w:rsidR="006D19F5" w:rsidRPr="009901FA">
        <w:t xml:space="preserve"> </w:t>
      </w:r>
      <w:r w:rsidRPr="009901FA">
        <w:t>(</w:t>
      </w:r>
      <w:r w:rsidR="001021C3" w:rsidRPr="009901FA">
        <w:fldChar w:fldCharType="begin"/>
      </w:r>
      <w:r w:rsidR="001021C3" w:rsidRPr="009901FA">
        <w:instrText xml:space="preserve"> REF _Ref203751432 \h </w:instrText>
      </w:r>
      <w:r w:rsidR="00A247A6">
        <w:instrText xml:space="preserve"> \* MERGEFORMAT </w:instrText>
      </w:r>
      <w:r w:rsidR="001021C3" w:rsidRPr="009901FA">
        <w:fldChar w:fldCharType="separate"/>
      </w:r>
      <w:r w:rsidR="00DE378F" w:rsidRPr="009901FA">
        <w:t xml:space="preserve">Exhibit </w:t>
      </w:r>
      <w:r w:rsidR="00327B07">
        <w:rPr>
          <w:noProof/>
        </w:rPr>
        <w:t>4</w:t>
      </w:r>
      <w:r w:rsidR="00DE378F" w:rsidRPr="009901FA">
        <w:t>.</w:t>
      </w:r>
      <w:r w:rsidR="00DE378F" w:rsidRPr="009901FA">
        <w:rPr>
          <w:noProof/>
        </w:rPr>
        <w:t>38</w:t>
      </w:r>
      <w:r w:rsidR="001021C3" w:rsidRPr="009901FA">
        <w:fldChar w:fldCharType="end"/>
      </w:r>
      <w:r w:rsidRPr="009901FA">
        <w:t>)</w:t>
      </w:r>
      <w:r w:rsidR="006D19F5" w:rsidRPr="009901FA">
        <w:t>.</w:t>
      </w:r>
      <w:r w:rsidRPr="009901FA">
        <w:t xml:space="preserve"> But is it important to see this as an absolute maximum potential which could only be achieved sustainably if:</w:t>
      </w:r>
    </w:p>
    <w:p w14:paraId="74D7624E" w14:textId="24419EA9" w:rsidR="00AD141D" w:rsidRPr="009901FA" w:rsidRDefault="00AD141D" w:rsidP="005F2502">
      <w:pPr>
        <w:pStyle w:val="ListParagraph"/>
        <w:numPr>
          <w:ilvl w:val="0"/>
          <w:numId w:val="57"/>
        </w:numPr>
      </w:pPr>
      <w:r w:rsidRPr="009901FA">
        <w:t>New technologies and/or changes in consumer behaviour make it possible to release land for bioresource production without reducing food production</w:t>
      </w:r>
      <w:r w:rsidRPr="009901FA">
        <w:rPr>
          <w:b/>
          <w:bCs/>
        </w:rPr>
        <w:t xml:space="preserve">. </w:t>
      </w:r>
      <w:r w:rsidRPr="009901FA">
        <w:t>The innovations discussed can radically improve output per hectare, yet they introduce unfamiliar production methods and dietary changes. Environmental risks, such as uncontrolled macroalgae proliferation, remain unquantified, and widespread adoption</w:t>
      </w:r>
      <w:r w:rsidR="00C133DF" w:rsidRPr="009901FA">
        <w:t xml:space="preserve"> of alternative proteins</w:t>
      </w:r>
      <w:r w:rsidRPr="009901FA">
        <w:t xml:space="preserve"> hinges on consumer acceptance even if taste and texture match conventional products.</w:t>
      </w:r>
    </w:p>
    <w:p w14:paraId="4BC1443F" w14:textId="4954C085" w:rsidR="00AD141D" w:rsidRPr="009901FA" w:rsidRDefault="00AD141D" w:rsidP="005F2502">
      <w:pPr>
        <w:pStyle w:val="ListParagraph"/>
        <w:numPr>
          <w:ilvl w:val="0"/>
          <w:numId w:val="57"/>
        </w:numPr>
      </w:pPr>
      <w:r w:rsidRPr="009901FA">
        <w:t xml:space="preserve">Stronger regulations, as described in </w:t>
      </w:r>
      <w:r w:rsidR="00893A15" w:rsidRPr="009901FA">
        <w:fldChar w:fldCharType="begin"/>
      </w:r>
      <w:r w:rsidR="00893A15" w:rsidRPr="009901FA">
        <w:instrText xml:space="preserve"> REF _Ref203751203 \h </w:instrText>
      </w:r>
      <w:r w:rsidR="00A247A6">
        <w:instrText xml:space="preserve"> \* MERGEFORMAT </w:instrText>
      </w:r>
      <w:r w:rsidR="00893A15" w:rsidRPr="009901FA">
        <w:fldChar w:fldCharType="separate"/>
      </w:r>
      <w:r w:rsidR="00DE378F" w:rsidRPr="009901FA">
        <w:t xml:space="preserve">Exhibit </w:t>
      </w:r>
      <w:r w:rsidR="00327B07">
        <w:rPr>
          <w:noProof/>
        </w:rPr>
        <w:t>4</w:t>
      </w:r>
      <w:r w:rsidR="00DE378F" w:rsidRPr="009901FA">
        <w:t>.</w:t>
      </w:r>
      <w:r w:rsidR="00DE378F" w:rsidRPr="009901FA">
        <w:rPr>
          <w:noProof/>
        </w:rPr>
        <w:t>26</w:t>
      </w:r>
      <w:r w:rsidR="00893A15" w:rsidRPr="009901FA">
        <w:fldChar w:fldCharType="end"/>
      </w:r>
      <w:r w:rsidRPr="009901FA">
        <w:t xml:space="preserve">, are in place to ensure that bioresource production does not compete with food production, and to prevent  deliberate degradation of land which is subsequently used for bioresource production. </w:t>
      </w:r>
    </w:p>
    <w:p w14:paraId="3222B773" w14:textId="518AFC5E" w:rsidR="00BF51F4" w:rsidRPr="009901FA" w:rsidRDefault="00AD141D">
      <w:r w:rsidRPr="009901FA">
        <w:t xml:space="preserve">The uncertainties related to each of the possible primary carbon sources make it unhelpful to present one scenario for the future balance of supply. In Chapter </w:t>
      </w:r>
      <w:r w:rsidR="00D10538">
        <w:t>7</w:t>
      </w:r>
      <w:r w:rsidRPr="009901FA">
        <w:t xml:space="preserve"> we therefore present a range of different scenarios which could result from future trends in technological feasibility, cost, and sustainability considerations.</w:t>
      </w:r>
    </w:p>
    <w:p w14:paraId="71D7E2BA" w14:textId="77777777" w:rsidR="00BF51F4" w:rsidRPr="009901FA" w:rsidRDefault="00BF51F4">
      <w:pPr>
        <w:rPr>
          <w:b/>
          <w:bCs/>
        </w:rPr>
      </w:pPr>
    </w:p>
    <w:p w14:paraId="1D206812" w14:textId="3A80067C" w:rsidR="005F6350" w:rsidRPr="009901FA" w:rsidRDefault="005F6350" w:rsidP="005F6350">
      <w:pPr>
        <w:pStyle w:val="Caption"/>
        <w:keepNext/>
      </w:pPr>
      <w:bookmarkStart w:id="139" w:name="_Ref203751432"/>
      <w:r w:rsidRPr="009901FA">
        <w:lastRenderedPageBreak/>
        <w:t xml:space="preserve">Exhibit </w:t>
      </w:r>
      <w:r w:rsidR="00327B07">
        <w:t>4</w:t>
      </w:r>
      <w:r w:rsidR="008725B4" w:rsidRPr="009901FA">
        <w:t>.</w:t>
      </w:r>
      <w:fldSimple w:instr=" SEQ Exhibit \* ARABIC \s 2 ">
        <w:r w:rsidR="00DE378F" w:rsidRPr="009901FA">
          <w:rPr>
            <w:noProof/>
          </w:rPr>
          <w:t>38</w:t>
        </w:r>
      </w:fldSimple>
      <w:bookmarkEnd w:id="139"/>
    </w:p>
    <w:p w14:paraId="682AC4C4" w14:textId="32488514" w:rsidR="00460962" w:rsidRPr="00A247A6" w:rsidRDefault="00B450CA" w:rsidP="00C4534C">
      <w:r w:rsidRPr="009901FA">
        <w:rPr>
          <w:noProof/>
        </w:rPr>
        <w:drawing>
          <wp:inline distT="0" distB="0" distL="0" distR="0" wp14:anchorId="3E426BF7" wp14:editId="05D6056F">
            <wp:extent cx="6263640" cy="3523615"/>
            <wp:effectExtent l="0" t="0" r="0" b="0"/>
            <wp:docPr id="50472527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725271" name=""/>
                    <pic:cNvPicPr/>
                  </pic:nvPicPr>
                  <pic:blipFill>
                    <a:blip r:embed="rId138">
                      <a:extLst>
                        <a:ext uri="{96DAC541-7B7A-43D3-8B79-37D633B846F1}">
                          <asvg:svgBlip xmlns:asvg="http://schemas.microsoft.com/office/drawing/2016/SVG/main" r:embed="rId139"/>
                        </a:ext>
                      </a:extLst>
                    </a:blip>
                    <a:stretch>
                      <a:fillRect/>
                    </a:stretch>
                  </pic:blipFill>
                  <pic:spPr>
                    <a:xfrm>
                      <a:off x="0" y="0"/>
                      <a:ext cx="6263640" cy="3523615"/>
                    </a:xfrm>
                    <a:prstGeom prst="rect">
                      <a:avLst/>
                    </a:prstGeom>
                  </pic:spPr>
                </pic:pic>
              </a:graphicData>
            </a:graphic>
          </wp:inline>
        </w:drawing>
      </w:r>
    </w:p>
    <w:p w14:paraId="4F409AB1" w14:textId="04DCA687" w:rsidR="00476DE0" w:rsidRPr="000E0EB1" w:rsidRDefault="000E0EB1" w:rsidP="00734D3B">
      <w:pPr>
        <w:pStyle w:val="Heading2"/>
        <w:numPr>
          <w:ilvl w:val="0"/>
          <w:numId w:val="6"/>
        </w:numPr>
        <w:spacing w:before="60" w:line="259" w:lineRule="auto"/>
        <w:ind w:left="907" w:hanging="510"/>
        <w:rPr>
          <w:b/>
          <w:bCs/>
          <w:smallCaps/>
          <w:color w:val="00146D" w:themeColor="text2"/>
          <w:szCs w:val="40"/>
        </w:rPr>
      </w:pPr>
      <w:bookmarkStart w:id="140" w:name="_Toc205392471"/>
      <w:bookmarkStart w:id="141" w:name="_Toc205554240"/>
      <w:r>
        <w:rPr>
          <w:b/>
          <w:bCs/>
          <w:smallCaps/>
          <w:color w:val="00146D" w:themeColor="text2"/>
          <w:szCs w:val="40"/>
        </w:rPr>
        <w:t>m</w:t>
      </w:r>
      <w:r w:rsidR="00476DE0" w:rsidRPr="000E0EB1">
        <w:rPr>
          <w:b/>
          <w:bCs/>
          <w:smallCaps/>
          <w:color w:val="00146D" w:themeColor="text2"/>
          <w:szCs w:val="40"/>
        </w:rPr>
        <w:t>anaging end of life carbon</w:t>
      </w:r>
      <w:bookmarkEnd w:id="140"/>
      <w:bookmarkEnd w:id="141"/>
    </w:p>
    <w:p w14:paraId="61615F84" w14:textId="0D0FCB86" w:rsidR="008259F9" w:rsidRPr="009901FA" w:rsidRDefault="008259F9" w:rsidP="008259F9">
      <w:r w:rsidRPr="009901FA">
        <w:t xml:space="preserve">Chapter </w:t>
      </w:r>
      <w:r w:rsidR="00D10538">
        <w:t>4</w:t>
      </w:r>
      <w:r w:rsidRPr="009901FA">
        <w:t xml:space="preserve"> analysed potential sources of primary carbon supply which have different implications for gross and net CO2 emissions.</w:t>
      </w:r>
    </w:p>
    <w:p w14:paraId="6F9A37E5" w14:textId="77777777" w:rsidR="008259F9" w:rsidRPr="009901FA" w:rsidRDefault="008259F9" w:rsidP="005F2502">
      <w:pPr>
        <w:pStyle w:val="ListParagraph"/>
        <w:numPr>
          <w:ilvl w:val="0"/>
          <w:numId w:val="58"/>
        </w:numPr>
      </w:pPr>
      <w:r w:rsidRPr="009901FA">
        <w:t>Direct capture from the atmosphere or ocean will result in net zero emissions even if the use of the carbon (e.g. in aviation fuels) results in CO2 emissions.</w:t>
      </w:r>
    </w:p>
    <w:p w14:paraId="0A5F5072" w14:textId="77777777" w:rsidR="008259F9" w:rsidRPr="009901FA" w:rsidRDefault="008259F9" w:rsidP="005F2502">
      <w:pPr>
        <w:pStyle w:val="ListParagraph"/>
        <w:numPr>
          <w:ilvl w:val="0"/>
          <w:numId w:val="58"/>
        </w:numPr>
      </w:pPr>
      <w:r w:rsidRPr="009901FA">
        <w:t>Similarly, the use of biomass can be zero carbon over the production and use cycle, with CO2 emissions in use balanced by CO2 absorbed during photosynthesis.</w:t>
      </w:r>
    </w:p>
    <w:p w14:paraId="059DC975" w14:textId="77777777" w:rsidR="008259F9" w:rsidRPr="009901FA" w:rsidRDefault="008259F9" w:rsidP="005F2502">
      <w:pPr>
        <w:pStyle w:val="ListParagraph"/>
        <w:numPr>
          <w:ilvl w:val="0"/>
          <w:numId w:val="58"/>
        </w:numPr>
      </w:pPr>
      <w:r w:rsidRPr="009901FA">
        <w:t>But if fossil fuels are used, CO2 produced must be not only captured but also stored to deliver net zero emissions.</w:t>
      </w:r>
    </w:p>
    <w:p w14:paraId="5156F66A" w14:textId="78EBA238" w:rsidR="008259F9" w:rsidRPr="009901FA" w:rsidRDefault="008259F9" w:rsidP="005F2502">
      <w:pPr>
        <w:pStyle w:val="ListParagraph"/>
        <w:numPr>
          <w:ilvl w:val="0"/>
          <w:numId w:val="58"/>
        </w:numPr>
      </w:pPr>
      <w:r w:rsidRPr="009901FA">
        <w:t>And if carbon storage is applied to CO2 captured from the atmosphere or ocean, or at the end of an application using biomass, this can result in negative emissions, offsetting any residual emissions from unbated fossil fuel use</w:t>
      </w:r>
      <w:r w:rsidR="00196500" w:rsidRPr="009901FA">
        <w:t>.</w:t>
      </w:r>
    </w:p>
    <w:p w14:paraId="10380E49" w14:textId="77777777" w:rsidR="008259F9" w:rsidRPr="009901FA" w:rsidRDefault="008259F9" w:rsidP="008259F9">
      <w:r w:rsidRPr="009901FA">
        <w:t>This chapter therefore analyses the technologies available to store carbon at the end of life, considering in turn:</w:t>
      </w:r>
    </w:p>
    <w:p w14:paraId="5188CED3" w14:textId="0A4A3F3C" w:rsidR="008259F9" w:rsidRPr="009901FA" w:rsidRDefault="008259F9" w:rsidP="005F2502">
      <w:pPr>
        <w:pStyle w:val="ListParagraph"/>
        <w:numPr>
          <w:ilvl w:val="0"/>
          <w:numId w:val="59"/>
        </w:numPr>
      </w:pPr>
      <w:r w:rsidRPr="009901FA">
        <w:t>Storage of gaseous CO2 whether via</w:t>
      </w:r>
    </w:p>
    <w:p w14:paraId="0873595C" w14:textId="77777777" w:rsidR="008259F9" w:rsidRPr="009901FA" w:rsidRDefault="008259F9" w:rsidP="005F2502">
      <w:pPr>
        <w:pStyle w:val="ListParagraph"/>
        <w:numPr>
          <w:ilvl w:val="1"/>
          <w:numId w:val="59"/>
        </w:numPr>
      </w:pPr>
      <w:r w:rsidRPr="009901FA">
        <w:t>Sedimentary storage in underground reservoirs or aquifers</w:t>
      </w:r>
    </w:p>
    <w:p w14:paraId="4C37D6B1" w14:textId="77777777" w:rsidR="008259F9" w:rsidRPr="009901FA" w:rsidRDefault="008259F9" w:rsidP="005F2502">
      <w:pPr>
        <w:pStyle w:val="ListParagraph"/>
        <w:numPr>
          <w:ilvl w:val="1"/>
          <w:numId w:val="59"/>
        </w:numPr>
      </w:pPr>
      <w:r w:rsidRPr="009901FA">
        <w:t>In situ CO2 mineralisation</w:t>
      </w:r>
    </w:p>
    <w:p w14:paraId="15342DF4" w14:textId="72C345FF" w:rsidR="008259F9" w:rsidRPr="009901FA" w:rsidRDefault="008259F9" w:rsidP="005F2502">
      <w:pPr>
        <w:pStyle w:val="ListParagraph"/>
        <w:numPr>
          <w:ilvl w:val="0"/>
          <w:numId w:val="59"/>
        </w:numPr>
      </w:pPr>
      <w:r w:rsidRPr="009901FA">
        <w:t>Storage of solid carbon – in particular end of life plastics</w:t>
      </w:r>
      <w:r w:rsidR="00D06E07" w:rsidRPr="009901FA">
        <w:t xml:space="preserve"> –</w:t>
      </w:r>
      <w:r w:rsidRPr="009901FA">
        <w:t xml:space="preserve"> considering both</w:t>
      </w:r>
    </w:p>
    <w:p w14:paraId="3145A2A9" w14:textId="77777777" w:rsidR="00D06E07" w:rsidRPr="009901FA" w:rsidRDefault="008259F9" w:rsidP="005F2502">
      <w:pPr>
        <w:pStyle w:val="ListParagraph"/>
        <w:numPr>
          <w:ilvl w:val="1"/>
          <w:numId w:val="59"/>
        </w:numPr>
      </w:pPr>
      <w:r w:rsidRPr="009901FA">
        <w:t>Existing solid carbon management practices</w:t>
      </w:r>
    </w:p>
    <w:p w14:paraId="3D5EB078" w14:textId="577DFEB1" w:rsidR="008259F9" w:rsidRPr="009901FA" w:rsidRDefault="008259F9" w:rsidP="005F2502">
      <w:pPr>
        <w:pStyle w:val="ListParagraph"/>
        <w:numPr>
          <w:ilvl w:val="1"/>
          <w:numId w:val="59"/>
        </w:numPr>
      </w:pPr>
      <w:r w:rsidRPr="009901FA">
        <w:t>Advanced landfill technologies</w:t>
      </w:r>
    </w:p>
    <w:p w14:paraId="7C7B49F8" w14:textId="118EBF67" w:rsidR="00476DE0" w:rsidRPr="009901FA" w:rsidRDefault="008259F9" w:rsidP="005F2502">
      <w:pPr>
        <w:pStyle w:val="ListParagraph"/>
        <w:numPr>
          <w:ilvl w:val="0"/>
          <w:numId w:val="59"/>
        </w:numPr>
      </w:pPr>
      <w:r w:rsidRPr="009901FA">
        <w:t>Overall conclusions on the role of end of life carbon management</w:t>
      </w:r>
    </w:p>
    <w:p w14:paraId="4A5C37C1" w14:textId="0E70102A" w:rsidR="00DD2A37" w:rsidRPr="009901FA" w:rsidRDefault="00DD2A37" w:rsidP="00DD2A37">
      <w:pPr>
        <w:pStyle w:val="Caption"/>
        <w:keepNext/>
      </w:pPr>
      <w:bookmarkStart w:id="142" w:name="_Ref203750091"/>
      <w:r w:rsidRPr="009901FA">
        <w:lastRenderedPageBreak/>
        <w:t xml:space="preserve">Exhibit </w:t>
      </w:r>
      <w:r w:rsidR="00327B07">
        <w:t>5</w:t>
      </w:r>
      <w:r w:rsidR="008725B4" w:rsidRPr="009901FA">
        <w:t>.</w:t>
      </w:r>
      <w:fldSimple w:instr=" SEQ Exhibit \* ARABIC \s 2 ">
        <w:r w:rsidR="00DE378F" w:rsidRPr="009901FA">
          <w:rPr>
            <w:noProof/>
          </w:rPr>
          <w:t>1</w:t>
        </w:r>
      </w:fldSimple>
      <w:bookmarkEnd w:id="142"/>
    </w:p>
    <w:p w14:paraId="0C827522" w14:textId="5725CD0A" w:rsidR="00243362" w:rsidRPr="009901FA" w:rsidRDefault="00E3717E" w:rsidP="00243362">
      <w:pPr>
        <w:pStyle w:val="ListParagraph"/>
        <w:keepNext/>
        <w:spacing w:after="200"/>
        <w:ind w:left="0"/>
      </w:pPr>
      <w:r w:rsidRPr="009901FA">
        <w:rPr>
          <w:noProof/>
        </w:rPr>
        <w:drawing>
          <wp:inline distT="0" distB="0" distL="0" distR="0" wp14:anchorId="6037CC40" wp14:editId="5881B665">
            <wp:extent cx="6263640" cy="3523615"/>
            <wp:effectExtent l="0" t="0" r="3810" b="0"/>
            <wp:docPr id="162280322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803228" name=""/>
                    <pic:cNvPicPr/>
                  </pic:nvPicPr>
                  <pic:blipFill>
                    <a:blip r:embed="rId140">
                      <a:extLst>
                        <a:ext uri="{96DAC541-7B7A-43D3-8B79-37D633B846F1}">
                          <asvg:svgBlip xmlns:asvg="http://schemas.microsoft.com/office/drawing/2016/SVG/main" r:embed="rId141"/>
                        </a:ext>
                      </a:extLst>
                    </a:blip>
                    <a:stretch>
                      <a:fillRect/>
                    </a:stretch>
                  </pic:blipFill>
                  <pic:spPr>
                    <a:xfrm>
                      <a:off x="0" y="0"/>
                      <a:ext cx="6263640" cy="3523615"/>
                    </a:xfrm>
                    <a:prstGeom prst="rect">
                      <a:avLst/>
                    </a:prstGeom>
                  </pic:spPr>
                </pic:pic>
              </a:graphicData>
            </a:graphic>
          </wp:inline>
        </w:drawing>
      </w:r>
    </w:p>
    <w:p w14:paraId="79B46A70" w14:textId="1433FE55" w:rsidR="00D3300F" w:rsidRPr="009901FA" w:rsidRDefault="005C4C40" w:rsidP="006F7B69">
      <w:pPr>
        <w:pStyle w:val="Heading3"/>
        <w:rPr>
          <w:vertAlign w:val="subscript"/>
        </w:rPr>
      </w:pPr>
      <w:bookmarkStart w:id="143" w:name="_Toc205392472"/>
      <w:bookmarkStart w:id="144" w:name="_Toc205554241"/>
      <w:r>
        <w:t>5</w:t>
      </w:r>
      <w:r w:rsidR="00A117E6" w:rsidRPr="009901FA">
        <w:t xml:space="preserve">.1 </w:t>
      </w:r>
      <w:r w:rsidR="005D65ED" w:rsidRPr="009901FA">
        <w:t>Managing</w:t>
      </w:r>
      <w:r w:rsidR="00D06E07" w:rsidRPr="009901FA">
        <w:t xml:space="preserve"> and storing gaseous</w:t>
      </w:r>
      <w:r w:rsidR="00A13BDC" w:rsidRPr="009901FA">
        <w:t xml:space="preserve"> CO</w:t>
      </w:r>
      <w:r w:rsidR="00A13BDC" w:rsidRPr="009901FA">
        <w:rPr>
          <w:vertAlign w:val="subscript"/>
        </w:rPr>
        <w:t>2</w:t>
      </w:r>
      <w:bookmarkEnd w:id="143"/>
      <w:bookmarkEnd w:id="144"/>
    </w:p>
    <w:p w14:paraId="67CB85B6" w14:textId="76BEE371" w:rsidR="00932BD3" w:rsidRPr="009901FA" w:rsidRDefault="00932BD3" w:rsidP="00932BD3">
      <w:pPr>
        <w:pStyle w:val="ListParagraph"/>
        <w:spacing w:after="200"/>
        <w:ind w:left="0"/>
        <w:rPr>
          <w:lang w:val="en-US"/>
        </w:rPr>
      </w:pPr>
      <w:r w:rsidRPr="009901FA">
        <w:t xml:space="preserve">Past ETC  analysis has projected that large scale deployment of gaseous CO2 storage will be essential to achieve net zero emissions by </w:t>
      </w:r>
      <w:r w:rsidR="00B32239" w:rsidRPr="009901FA">
        <w:t>mid-century</w:t>
      </w:r>
      <w:r w:rsidRPr="009901FA">
        <w:t xml:space="preserve">. In our </w:t>
      </w:r>
      <w:r w:rsidRPr="009901FA">
        <w:rPr>
          <w:i/>
          <w:iCs/>
        </w:rPr>
        <w:t>Fossil Fuels in Transition</w:t>
      </w:r>
      <w:r w:rsidRPr="009901FA">
        <w:t xml:space="preserve"> report (2023) our ACF scenario projected that 8.5GT per annum of CO2 would have be captured in 2050 (whether from point source applications or direct from the air), and that s 6.5GT of this will need to be stored</w:t>
      </w:r>
      <w:r w:rsidRPr="009901FA">
        <w:rPr>
          <w:rStyle w:val="FootnoteReference"/>
        </w:rPr>
        <w:footnoteReference w:id="90"/>
      </w:r>
      <w:r w:rsidRPr="009901FA">
        <w:rPr>
          <w:lang w:val="en-US"/>
        </w:rPr>
        <w:t>.</w:t>
      </w:r>
      <w:r w:rsidR="00B32239" w:rsidRPr="009901FA">
        <w:rPr>
          <w:lang w:val="en-US"/>
        </w:rPr>
        <w:t xml:space="preserve"> </w:t>
      </w:r>
      <w:r w:rsidRPr="009901FA">
        <w:t>But today CO2 sequestration in sedimentary formations is currently only 50</w:t>
      </w:r>
      <w:r w:rsidR="00B32239" w:rsidRPr="009901FA">
        <w:t xml:space="preserve"> million tonnes </w:t>
      </w:r>
      <w:r w:rsidRPr="009901FA">
        <w:t>(0.05</w:t>
      </w:r>
      <w:r w:rsidR="00B32239" w:rsidRPr="009901FA">
        <w:t xml:space="preserve"> </w:t>
      </w:r>
      <w:r w:rsidRPr="009901FA">
        <w:t>G</w:t>
      </w:r>
      <w:r w:rsidR="00B32239" w:rsidRPr="009901FA">
        <w:t>t</w:t>
      </w:r>
      <w:r w:rsidRPr="009901FA">
        <w:t>) p.a</w:t>
      </w:r>
      <w:r w:rsidRPr="009901FA">
        <w:rPr>
          <w:rStyle w:val="FootnoteReference"/>
          <w:lang w:val="en-US"/>
        </w:rPr>
        <w:footnoteReference w:id="91"/>
      </w:r>
      <w:r w:rsidR="00D71CC8" w:rsidRPr="009901FA">
        <w:t>.</w:t>
      </w:r>
    </w:p>
    <w:p w14:paraId="05D59108" w14:textId="626278BD" w:rsidR="00932BD3" w:rsidRPr="009901FA" w:rsidRDefault="00932BD3" w:rsidP="00B0562C">
      <w:r w:rsidRPr="009901FA">
        <w:t>This section therefore assesses the potential for large scale</w:t>
      </w:r>
      <w:r w:rsidR="00B32239" w:rsidRPr="009901FA">
        <w:t xml:space="preserve"> </w:t>
      </w:r>
      <w:r w:rsidRPr="009901FA">
        <w:t>up of sedimentary storage and the alternative strategy of in situ mineralisation</w:t>
      </w:r>
      <w:r w:rsidR="00D71CC8" w:rsidRPr="009901FA">
        <w:t>.</w:t>
      </w:r>
    </w:p>
    <w:p w14:paraId="46465740" w14:textId="7CAF42F3" w:rsidR="00C83BA8" w:rsidRPr="009901FA" w:rsidRDefault="005C4C40" w:rsidP="00BB07AA">
      <w:pPr>
        <w:pStyle w:val="Heading3"/>
        <w:ind w:firstLine="720"/>
      </w:pPr>
      <w:bookmarkStart w:id="145" w:name="_Toc205392473"/>
      <w:bookmarkStart w:id="146" w:name="_Toc205554242"/>
      <w:r>
        <w:t>5</w:t>
      </w:r>
      <w:r w:rsidR="00153F1E" w:rsidRPr="009901FA">
        <w:t xml:space="preserve">.1.1 </w:t>
      </w:r>
      <w:r w:rsidR="00DA1743" w:rsidRPr="009901FA">
        <w:t>S</w:t>
      </w:r>
      <w:r w:rsidR="002A7907" w:rsidRPr="009901FA">
        <w:t>edimentary CO</w:t>
      </w:r>
      <w:r w:rsidR="002A7907" w:rsidRPr="009901FA">
        <w:rPr>
          <w:vertAlign w:val="subscript"/>
        </w:rPr>
        <w:t>2</w:t>
      </w:r>
      <w:r w:rsidR="00061669" w:rsidRPr="009901FA">
        <w:t xml:space="preserve"> storage</w:t>
      </w:r>
      <w:bookmarkEnd w:id="145"/>
      <w:bookmarkEnd w:id="146"/>
    </w:p>
    <w:p w14:paraId="641A3BC7" w14:textId="77777777" w:rsidR="00020F85" w:rsidRPr="009901FA" w:rsidRDefault="00020F85" w:rsidP="006F7B69">
      <w:pPr>
        <w:pStyle w:val="ListParagraph"/>
        <w:spacing w:after="200"/>
        <w:ind w:left="0"/>
      </w:pPr>
    </w:p>
    <w:p w14:paraId="46C96282" w14:textId="44E33038" w:rsidR="00B70DCD" w:rsidRPr="009901FA" w:rsidRDefault="00020F85" w:rsidP="000F3B56">
      <w:pPr>
        <w:pStyle w:val="ListParagraph"/>
        <w:spacing w:after="200"/>
        <w:ind w:left="0"/>
        <w:rPr>
          <w:b/>
          <w:bCs/>
        </w:rPr>
      </w:pPr>
      <w:r w:rsidRPr="009901FA">
        <w:rPr>
          <w:b/>
          <w:bCs/>
        </w:rPr>
        <w:t xml:space="preserve">Established </w:t>
      </w:r>
      <w:r w:rsidR="00AA7FBA" w:rsidRPr="009901FA">
        <w:rPr>
          <w:b/>
          <w:bCs/>
        </w:rPr>
        <w:t>sedimentary</w:t>
      </w:r>
      <w:r w:rsidRPr="009901FA">
        <w:rPr>
          <w:b/>
          <w:bCs/>
        </w:rPr>
        <w:t xml:space="preserve"> options for CO</w:t>
      </w:r>
      <w:r w:rsidRPr="009901FA">
        <w:rPr>
          <w:b/>
          <w:bCs/>
          <w:vertAlign w:val="subscript"/>
        </w:rPr>
        <w:t xml:space="preserve">2 </w:t>
      </w:r>
      <w:r w:rsidRPr="009901FA">
        <w:rPr>
          <w:b/>
          <w:bCs/>
        </w:rPr>
        <w:t>storage</w:t>
      </w:r>
      <w:r w:rsidR="00970FA4" w:rsidRPr="009901FA">
        <w:rPr>
          <w:b/>
          <w:bCs/>
        </w:rPr>
        <w:t xml:space="preserve"> </w:t>
      </w:r>
      <w:r w:rsidR="006D16B7" w:rsidRPr="009901FA">
        <w:rPr>
          <w:b/>
          <w:bCs/>
        </w:rPr>
        <w:t xml:space="preserve">have been </w:t>
      </w:r>
      <w:r w:rsidR="008C7D30" w:rsidRPr="009901FA">
        <w:rPr>
          <w:b/>
          <w:bCs/>
        </w:rPr>
        <w:t>the solution of focus to date, given their</w:t>
      </w:r>
      <w:r w:rsidR="00970FA4" w:rsidRPr="009901FA">
        <w:rPr>
          <w:b/>
          <w:bCs/>
        </w:rPr>
        <w:t xml:space="preserve"> low cost and </w:t>
      </w:r>
      <w:r w:rsidR="008C7D30" w:rsidRPr="009901FA">
        <w:rPr>
          <w:b/>
          <w:bCs/>
        </w:rPr>
        <w:t>large theoretical capacities available.</w:t>
      </w:r>
      <w:r w:rsidR="00A42FE1" w:rsidRPr="009901FA">
        <w:rPr>
          <w:b/>
          <w:bCs/>
        </w:rPr>
        <w:t xml:space="preserve"> </w:t>
      </w:r>
      <w:r w:rsidR="007C63CF" w:rsidRPr="009901FA">
        <w:t>As shown on the left-hand side of</w:t>
      </w:r>
      <w:r w:rsidR="000F3B56" w:rsidRPr="009901FA">
        <w:t xml:space="preserve"> </w:t>
      </w:r>
      <w:r w:rsidR="000F3B56" w:rsidRPr="009901FA">
        <w:fldChar w:fldCharType="begin"/>
      </w:r>
      <w:r w:rsidR="000F3B56" w:rsidRPr="009901FA">
        <w:instrText xml:space="preserve"> REF _Ref203750160 \h </w:instrText>
      </w:r>
      <w:r w:rsidR="00A247A6">
        <w:instrText xml:space="preserve"> \* MERGEFORMAT </w:instrText>
      </w:r>
      <w:r w:rsidR="000F3B56" w:rsidRPr="009901FA">
        <w:fldChar w:fldCharType="separate"/>
      </w:r>
      <w:r w:rsidR="00DE378F" w:rsidRPr="009901FA">
        <w:t xml:space="preserve">Exhibit </w:t>
      </w:r>
      <w:r w:rsidR="00327B07">
        <w:rPr>
          <w:noProof/>
        </w:rPr>
        <w:t>5</w:t>
      </w:r>
      <w:r w:rsidR="00DE378F" w:rsidRPr="009901FA">
        <w:t>.</w:t>
      </w:r>
      <w:r w:rsidR="00DE378F" w:rsidRPr="009901FA">
        <w:rPr>
          <w:noProof/>
        </w:rPr>
        <w:t>2</w:t>
      </w:r>
      <w:r w:rsidR="000F3B56" w:rsidRPr="009901FA">
        <w:fldChar w:fldCharType="end"/>
      </w:r>
      <w:r w:rsidR="007C63CF" w:rsidRPr="009901FA">
        <w:t>, global</w:t>
      </w:r>
      <w:r w:rsidR="00A42FE1" w:rsidRPr="009901FA">
        <w:t xml:space="preserve"> sedimentary CO</w:t>
      </w:r>
      <w:r w:rsidR="00A42FE1" w:rsidRPr="009901FA">
        <w:rPr>
          <w:vertAlign w:val="subscript"/>
        </w:rPr>
        <w:t xml:space="preserve">2 </w:t>
      </w:r>
      <w:r w:rsidR="00A42FE1" w:rsidRPr="009901FA">
        <w:t xml:space="preserve">storage capacity </w:t>
      </w:r>
      <w:r w:rsidR="00F41CCC" w:rsidRPr="009901FA">
        <w:t>is estimated at 51,000 Gt</w:t>
      </w:r>
      <w:r w:rsidR="000D4354" w:rsidRPr="009901FA">
        <w:t>CO</w:t>
      </w:r>
      <w:r w:rsidR="000D4354" w:rsidRPr="009901FA">
        <w:rPr>
          <w:vertAlign w:val="subscript"/>
        </w:rPr>
        <w:t>2</w:t>
      </w:r>
      <w:r w:rsidR="00A2525C" w:rsidRPr="009901FA">
        <w:t xml:space="preserve">, with </w:t>
      </w:r>
      <w:r w:rsidR="008A22F5" w:rsidRPr="009901FA">
        <w:t xml:space="preserve">regional </w:t>
      </w:r>
      <w:r w:rsidR="00CE0975" w:rsidRPr="009901FA">
        <w:t xml:space="preserve">capacities ranging from </w:t>
      </w:r>
      <w:r w:rsidR="007C63CF" w:rsidRPr="009901FA">
        <w:t>~</w:t>
      </w:r>
      <w:r w:rsidR="00CE0975" w:rsidRPr="009901FA">
        <w:t>2,000-10,000 Gt</w:t>
      </w:r>
      <w:r w:rsidR="007C63CF" w:rsidRPr="009901FA">
        <w:t>CO</w:t>
      </w:r>
      <w:r w:rsidR="007C63CF" w:rsidRPr="009901FA">
        <w:rPr>
          <w:vertAlign w:val="subscript"/>
        </w:rPr>
        <w:t>2</w:t>
      </w:r>
      <w:r w:rsidR="007C63CF" w:rsidRPr="009901FA">
        <w:t xml:space="preserve">. </w:t>
      </w:r>
      <w:r w:rsidR="006E76E2" w:rsidRPr="009901FA">
        <w:t xml:space="preserve">Onshore </w:t>
      </w:r>
      <w:r w:rsidR="00E840F6" w:rsidRPr="009901FA">
        <w:t>CO</w:t>
      </w:r>
      <w:r w:rsidR="00E840F6" w:rsidRPr="009901FA">
        <w:rPr>
          <w:vertAlign w:val="subscript"/>
        </w:rPr>
        <w:t>2</w:t>
      </w:r>
      <w:r w:rsidR="00E840F6" w:rsidRPr="009901FA">
        <w:t xml:space="preserve"> transport and storage networks offer the lowest cost potential </w:t>
      </w:r>
      <w:r w:rsidR="00C6539F" w:rsidRPr="009901FA">
        <w:t>(~</w:t>
      </w:r>
      <w:r w:rsidR="00A5340E" w:rsidRPr="009901FA">
        <w:t>$</w:t>
      </w:r>
      <w:r w:rsidR="00136603" w:rsidRPr="009901FA">
        <w:t>5</w:t>
      </w:r>
      <w:r w:rsidR="00A5340E" w:rsidRPr="009901FA">
        <w:t>-60</w:t>
      </w:r>
      <w:r w:rsidR="00613AB2" w:rsidRPr="009901FA">
        <w:t>/tCO</w:t>
      </w:r>
      <w:r w:rsidR="00613AB2" w:rsidRPr="009901FA">
        <w:rPr>
          <w:vertAlign w:val="subscript"/>
        </w:rPr>
        <w:t>2</w:t>
      </w:r>
      <w:r w:rsidR="00613AB2" w:rsidRPr="009901FA">
        <w:t xml:space="preserve"> transported and stored)</w:t>
      </w:r>
      <w:r w:rsidR="00E840F6" w:rsidRPr="009901FA">
        <w:t xml:space="preserve"> </w:t>
      </w:r>
      <w:r w:rsidR="00AA03A6" w:rsidRPr="009901FA">
        <w:t xml:space="preserve">via pipeline transport and storage in depleted </w:t>
      </w:r>
      <w:r w:rsidR="00AA03A6" w:rsidRPr="009901FA">
        <w:lastRenderedPageBreak/>
        <w:t>oil and gas reservoirs or saline aquifers.</w:t>
      </w:r>
      <w:r w:rsidR="00852E08" w:rsidRPr="009901FA">
        <w:t xml:space="preserve"> However, not all</w:t>
      </w:r>
      <w:r w:rsidR="00512652" w:rsidRPr="009901FA">
        <w:t xml:space="preserve"> </w:t>
      </w:r>
      <w:r w:rsidR="003A2899" w:rsidRPr="009901FA">
        <w:t>locations will</w:t>
      </w:r>
      <w:r w:rsidR="008829BC" w:rsidRPr="009901FA">
        <w:t xml:space="preserve"> have access to onshore CO</w:t>
      </w:r>
      <w:r w:rsidR="008829BC" w:rsidRPr="009901FA">
        <w:rPr>
          <w:vertAlign w:val="subscript"/>
        </w:rPr>
        <w:t>2</w:t>
      </w:r>
      <w:r w:rsidR="008829BC" w:rsidRPr="009901FA">
        <w:t xml:space="preserve"> storage</w:t>
      </w:r>
      <w:r w:rsidR="003A2899" w:rsidRPr="009901FA">
        <w:t xml:space="preserve"> options or </w:t>
      </w:r>
      <w:r w:rsidR="005E10F8" w:rsidRPr="009901FA">
        <w:t>such locations may be politically unfavourable</w:t>
      </w:r>
      <w:r w:rsidR="003A2899" w:rsidRPr="009901FA">
        <w:t>.</w:t>
      </w:r>
      <w:r w:rsidR="008829BC" w:rsidRPr="009901FA">
        <w:t xml:space="preserve"> </w:t>
      </w:r>
      <w:r w:rsidR="005E10F8" w:rsidRPr="009901FA">
        <w:t>An alternative is</w:t>
      </w:r>
      <w:r w:rsidR="008829BC" w:rsidRPr="009901FA">
        <w:t xml:space="preserve"> offshore </w:t>
      </w:r>
      <w:r w:rsidR="005E10F8" w:rsidRPr="009901FA">
        <w:t>CO</w:t>
      </w:r>
      <w:r w:rsidR="005E10F8" w:rsidRPr="009901FA">
        <w:rPr>
          <w:vertAlign w:val="subscript"/>
        </w:rPr>
        <w:t>2</w:t>
      </w:r>
      <w:r w:rsidR="008829BC" w:rsidRPr="009901FA">
        <w:t xml:space="preserve"> transport and storage</w:t>
      </w:r>
      <w:r w:rsidR="005E10F8" w:rsidRPr="009901FA">
        <w:t xml:space="preserve">, although these typically have </w:t>
      </w:r>
      <w:r w:rsidR="00613AB2" w:rsidRPr="009901FA">
        <w:t>higher cost requirements</w:t>
      </w:r>
      <w:r w:rsidR="00D440D9" w:rsidRPr="009901FA">
        <w:t xml:space="preserve"> (upwards of </w:t>
      </w:r>
      <w:r w:rsidR="006801A2" w:rsidRPr="009901FA">
        <w:t>$60/tCO</w:t>
      </w:r>
      <w:r w:rsidR="006801A2" w:rsidRPr="009901FA">
        <w:rPr>
          <w:vertAlign w:val="subscript"/>
        </w:rPr>
        <w:t>2</w:t>
      </w:r>
      <w:r w:rsidR="006801A2" w:rsidRPr="009901FA">
        <w:t xml:space="preserve"> for transport and storage)</w:t>
      </w:r>
      <w:r w:rsidR="00613AB2" w:rsidRPr="009901FA">
        <w:t xml:space="preserve">, owing to </w:t>
      </w:r>
      <w:r w:rsidR="0077666D" w:rsidRPr="009901FA">
        <w:t>more complex infrastructure requirements (e.g. CO</w:t>
      </w:r>
      <w:r w:rsidR="0077666D" w:rsidRPr="009901FA">
        <w:rPr>
          <w:vertAlign w:val="subscript"/>
        </w:rPr>
        <w:t>2</w:t>
      </w:r>
      <w:r w:rsidR="0077666D" w:rsidRPr="009901FA">
        <w:t xml:space="preserve"> liquefaction and shipping)</w:t>
      </w:r>
      <w:r w:rsidR="00757CC5" w:rsidRPr="009901FA">
        <w:t xml:space="preserve">. </w:t>
      </w:r>
    </w:p>
    <w:p w14:paraId="3AF0603F" w14:textId="39181B06" w:rsidR="000F3B56" w:rsidRPr="009901FA" w:rsidRDefault="000F3B56" w:rsidP="000F3B56">
      <w:pPr>
        <w:pStyle w:val="Caption"/>
        <w:keepNext/>
      </w:pPr>
      <w:bookmarkStart w:id="147" w:name="_Ref203750160"/>
      <w:r w:rsidRPr="009901FA">
        <w:t xml:space="preserve">Exhibit </w:t>
      </w:r>
      <w:r w:rsidR="00327B07">
        <w:t>5</w:t>
      </w:r>
      <w:r w:rsidR="008725B4" w:rsidRPr="009901FA">
        <w:t>.</w:t>
      </w:r>
      <w:fldSimple w:instr=" SEQ Exhibit \* ARABIC \s 2 ">
        <w:r w:rsidR="00DE378F" w:rsidRPr="009901FA">
          <w:rPr>
            <w:noProof/>
          </w:rPr>
          <w:t>2</w:t>
        </w:r>
      </w:fldSimple>
      <w:bookmarkEnd w:id="147"/>
    </w:p>
    <w:p w14:paraId="2F1D069B" w14:textId="5A3225CC" w:rsidR="005A3341" w:rsidRPr="009901FA" w:rsidRDefault="005A3341" w:rsidP="005A3341">
      <w:pPr>
        <w:pStyle w:val="ListParagraph"/>
        <w:spacing w:after="200"/>
        <w:ind w:left="360"/>
        <w:jc w:val="center"/>
        <w:rPr>
          <w:b/>
          <w:bCs/>
        </w:rPr>
      </w:pPr>
      <w:r w:rsidRPr="009901FA">
        <w:rPr>
          <w:b/>
          <w:bCs/>
          <w:noProof/>
        </w:rPr>
        <w:drawing>
          <wp:inline distT="0" distB="0" distL="0" distR="0" wp14:anchorId="50E0ECE8" wp14:editId="66615D47">
            <wp:extent cx="5592301" cy="3162543"/>
            <wp:effectExtent l="0" t="0" r="8890" b="0"/>
            <wp:docPr id="1806222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222163" name="Picture 1"/>
                    <pic:cNvPicPr/>
                  </pic:nvPicPr>
                  <pic:blipFill>
                    <a:blip r:embed="rId142">
                      <a:extLst>
                        <a:ext uri="{28A0092B-C50C-407E-A947-70E740481C1C}">
                          <a14:useLocalDpi xmlns:a14="http://schemas.microsoft.com/office/drawing/2010/main" val="0"/>
                        </a:ext>
                      </a:extLst>
                    </a:blip>
                    <a:stretch>
                      <a:fillRect/>
                    </a:stretch>
                  </pic:blipFill>
                  <pic:spPr>
                    <a:xfrm>
                      <a:off x="0" y="0"/>
                      <a:ext cx="5606361" cy="3170494"/>
                    </a:xfrm>
                    <a:prstGeom prst="rect">
                      <a:avLst/>
                    </a:prstGeom>
                  </pic:spPr>
                </pic:pic>
              </a:graphicData>
            </a:graphic>
          </wp:inline>
        </w:drawing>
      </w:r>
    </w:p>
    <w:p w14:paraId="5B5EA3CC" w14:textId="1D13225F" w:rsidR="008346B2" w:rsidRPr="009901FA" w:rsidRDefault="008346B2" w:rsidP="00476DE0">
      <w:pPr>
        <w:pStyle w:val="ListParagraph"/>
        <w:spacing w:after="200"/>
        <w:ind w:left="360"/>
      </w:pPr>
    </w:p>
    <w:p w14:paraId="4B0CA5C2" w14:textId="77777777" w:rsidR="00C64E45" w:rsidRPr="009901FA" w:rsidRDefault="00C64E45" w:rsidP="006F7B69">
      <w:pPr>
        <w:pStyle w:val="ListParagraph"/>
        <w:spacing w:after="200"/>
        <w:ind w:left="0"/>
      </w:pPr>
    </w:p>
    <w:p w14:paraId="50F21DDA" w14:textId="3D9F4D8B" w:rsidR="00B66F50" w:rsidRPr="009901FA" w:rsidRDefault="00F15FFD" w:rsidP="00906356">
      <w:pPr>
        <w:pStyle w:val="ListParagraph"/>
        <w:spacing w:after="200"/>
        <w:ind w:left="0"/>
      </w:pPr>
      <w:r w:rsidRPr="009901FA">
        <w:rPr>
          <w:b/>
        </w:rPr>
        <w:t>Depleted oil and gas reservoirs, along with deep saline aquifers, represent the most mature and well-understood geological options for long-term CO</w:t>
      </w:r>
      <w:r w:rsidRPr="00A247A6">
        <w:rPr>
          <w:rFonts w:ascii="Cambria Math" w:hAnsi="Cambria Math" w:cs="Cambria Math"/>
          <w:b/>
        </w:rPr>
        <w:t>₂</w:t>
      </w:r>
      <w:r w:rsidRPr="009901FA">
        <w:rPr>
          <w:b/>
        </w:rPr>
        <w:t xml:space="preserve"> storage.</w:t>
      </w:r>
      <w:r w:rsidRPr="009901FA">
        <w:t xml:space="preserve"> These formations benefit from decades of characteri</w:t>
      </w:r>
      <w:r w:rsidR="00325D0F" w:rsidRPr="009901FA">
        <w:t>s</w:t>
      </w:r>
      <w:r w:rsidRPr="009901FA">
        <w:t>ation through hydrocarbon exploration and production, offering established pathways for injection. However, despite their technical readiness, multiple factors may constrain their ability to scale in line with climate targets.</w:t>
      </w:r>
      <w:r w:rsidR="000F3B56" w:rsidRPr="009901FA">
        <w:t xml:space="preserve"> </w:t>
      </w:r>
      <w:r w:rsidR="00906356" w:rsidRPr="009901FA">
        <w:fldChar w:fldCharType="begin"/>
      </w:r>
      <w:r w:rsidR="00906356" w:rsidRPr="009901FA">
        <w:instrText xml:space="preserve"> REF _Ref203750207 \h </w:instrText>
      </w:r>
      <w:r w:rsidR="00A247A6">
        <w:instrText xml:space="preserve"> \* MERGEFORMAT </w:instrText>
      </w:r>
      <w:r w:rsidR="00906356" w:rsidRPr="009901FA">
        <w:fldChar w:fldCharType="separate"/>
      </w:r>
      <w:r w:rsidR="00DE378F" w:rsidRPr="009901FA">
        <w:t xml:space="preserve">Exhibit </w:t>
      </w:r>
      <w:r w:rsidR="00327B07">
        <w:rPr>
          <w:noProof/>
        </w:rPr>
        <w:t>5</w:t>
      </w:r>
      <w:r w:rsidR="00DE378F" w:rsidRPr="009901FA">
        <w:t>.</w:t>
      </w:r>
      <w:r w:rsidR="00DE378F" w:rsidRPr="009901FA">
        <w:rPr>
          <w:noProof/>
        </w:rPr>
        <w:t>3</w:t>
      </w:r>
      <w:r w:rsidR="00906356" w:rsidRPr="009901FA">
        <w:fldChar w:fldCharType="end"/>
      </w:r>
      <w:r w:rsidR="00906356" w:rsidRPr="009901FA">
        <w:t xml:space="preserve"> </w:t>
      </w:r>
      <w:r w:rsidRPr="009901FA">
        <w:t>outlines four key limitations that could hamper the expansion of these conventional CO</w:t>
      </w:r>
      <w:r w:rsidRPr="00A247A6">
        <w:rPr>
          <w:rFonts w:ascii="Cambria Math" w:hAnsi="Cambria Math" w:cs="Cambria Math"/>
        </w:rPr>
        <w:t>₂</w:t>
      </w:r>
      <w:r w:rsidRPr="009901FA">
        <w:t xml:space="preserve"> storage solutions.</w:t>
      </w:r>
    </w:p>
    <w:p w14:paraId="75475362" w14:textId="64420081" w:rsidR="000F3B56" w:rsidRPr="009901FA" w:rsidRDefault="000F3B56" w:rsidP="000F3B56">
      <w:pPr>
        <w:pStyle w:val="Caption"/>
        <w:keepNext/>
      </w:pPr>
      <w:bookmarkStart w:id="148" w:name="_Ref203750207"/>
      <w:r w:rsidRPr="009901FA">
        <w:lastRenderedPageBreak/>
        <w:t xml:space="preserve">Exhibit </w:t>
      </w:r>
      <w:r w:rsidR="00327B07">
        <w:t>5</w:t>
      </w:r>
      <w:r w:rsidR="008725B4" w:rsidRPr="009901FA">
        <w:t>.</w:t>
      </w:r>
      <w:fldSimple w:instr=" SEQ Exhibit \* ARABIC \s 2 ">
        <w:r w:rsidR="00DE378F" w:rsidRPr="009901FA">
          <w:rPr>
            <w:noProof/>
          </w:rPr>
          <w:t>3</w:t>
        </w:r>
      </w:fldSimple>
      <w:bookmarkEnd w:id="148"/>
    </w:p>
    <w:p w14:paraId="7D908C7D" w14:textId="2FDD4BA9" w:rsidR="00624AAD" w:rsidRPr="009901FA" w:rsidRDefault="00624AAD" w:rsidP="00624AAD">
      <w:pPr>
        <w:pStyle w:val="ListParagraph"/>
        <w:spacing w:after="200"/>
        <w:ind w:left="360"/>
        <w:jc w:val="center"/>
      </w:pPr>
      <w:r w:rsidRPr="009901FA">
        <w:rPr>
          <w:noProof/>
        </w:rPr>
        <w:drawing>
          <wp:inline distT="0" distB="0" distL="0" distR="0" wp14:anchorId="57AC64F7" wp14:editId="6C5CE7BA">
            <wp:extent cx="6110596" cy="2670908"/>
            <wp:effectExtent l="0" t="0" r="5080" b="0"/>
            <wp:docPr id="371447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447692" name="Picture 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6122765" cy="2676227"/>
                    </a:xfrm>
                    <a:prstGeom prst="rect">
                      <a:avLst/>
                    </a:prstGeom>
                  </pic:spPr>
                </pic:pic>
              </a:graphicData>
            </a:graphic>
          </wp:inline>
        </w:drawing>
      </w:r>
    </w:p>
    <w:p w14:paraId="5280A8D5" w14:textId="2B329B13" w:rsidR="00746446" w:rsidRPr="009901FA" w:rsidRDefault="00F1079E" w:rsidP="00746446">
      <w:pPr>
        <w:spacing w:after="200"/>
      </w:pPr>
      <w:r w:rsidRPr="009901FA">
        <w:rPr>
          <w:b/>
          <w:bCs/>
        </w:rPr>
        <w:t>One major constraint is the limit on injection rates, which are governed by reservoir pressure, caprock integrity, and the risk of induced seismicity.</w:t>
      </w:r>
      <w:r w:rsidRPr="009901FA">
        <w:t xml:space="preserve"> These physical and geo</w:t>
      </w:r>
      <w:r w:rsidR="002A46AE" w:rsidRPr="009901FA">
        <w:t>logical</w:t>
      </w:r>
      <w:r w:rsidRPr="009901FA">
        <w:t xml:space="preserve"> barriers restrict how quickly CO</w:t>
      </w:r>
      <w:r w:rsidRPr="00A247A6">
        <w:rPr>
          <w:rFonts w:ascii="Cambria Math" w:hAnsi="Cambria Math" w:cs="Cambria Math"/>
        </w:rPr>
        <w:t>₂</w:t>
      </w:r>
      <w:r w:rsidRPr="009901FA">
        <w:t xml:space="preserve"> can be injected</w:t>
      </w:r>
      <w:r w:rsidR="00930D3D" w:rsidRPr="009901FA">
        <w:t>.</w:t>
      </w:r>
      <w:r w:rsidRPr="009901FA">
        <w:t xml:space="preserve"> This bottleneck highlights a fundamental tension between geological potential and operational feasibility, emphasizing </w:t>
      </w:r>
      <w:r w:rsidR="000B3C08" w:rsidRPr="009901FA">
        <w:t>potential lim</w:t>
      </w:r>
      <w:r w:rsidR="00833C82" w:rsidRPr="009901FA">
        <w:t xml:space="preserve">itations </w:t>
      </w:r>
      <w:r w:rsidR="00127043" w:rsidRPr="009901FA">
        <w:t>of</w:t>
      </w:r>
      <w:r w:rsidR="00514843" w:rsidRPr="009901FA">
        <w:t xml:space="preserve"> global CO</w:t>
      </w:r>
      <w:r w:rsidR="004B6244" w:rsidRPr="009901FA">
        <w:rPr>
          <w:vertAlign w:val="subscript"/>
        </w:rPr>
        <w:t>2</w:t>
      </w:r>
      <w:r w:rsidR="004B6244" w:rsidRPr="009901FA">
        <w:t xml:space="preserve"> injection rates.</w:t>
      </w:r>
    </w:p>
    <w:p w14:paraId="403F5C32" w14:textId="0E80C929" w:rsidR="000D6827" w:rsidRPr="009901FA" w:rsidRDefault="000D6827" w:rsidP="00746446">
      <w:pPr>
        <w:spacing w:after="200"/>
        <w:rPr>
          <w:b/>
          <w:bCs/>
        </w:rPr>
      </w:pPr>
      <w:r w:rsidRPr="009901FA">
        <w:rPr>
          <w:b/>
          <w:bCs/>
        </w:rPr>
        <w:t>Another important consideration is the perceived risk of CO</w:t>
      </w:r>
      <w:r w:rsidRPr="00A247A6">
        <w:rPr>
          <w:rFonts w:ascii="Cambria Math" w:hAnsi="Cambria Math" w:cs="Cambria Math"/>
          <w:b/>
          <w:bCs/>
        </w:rPr>
        <w:t>₂</w:t>
      </w:r>
      <w:r w:rsidRPr="009901FA">
        <w:rPr>
          <w:b/>
          <w:bCs/>
        </w:rPr>
        <w:t xml:space="preserve"> leakage and the burden of long-term monitoring. </w:t>
      </w:r>
      <w:r w:rsidRPr="009901FA">
        <w:t>While well-selected geological formations, such as deep saline aquifers and depleted oil and gas reservoirs</w:t>
      </w:r>
      <w:r w:rsidRPr="009901FA">
        <w:rPr>
          <w:rFonts w:cs="Arial Nova"/>
        </w:rPr>
        <w:t xml:space="preserve">, </w:t>
      </w:r>
      <w:r w:rsidRPr="009901FA">
        <w:t>have been shown to provide robust long-term containment, public concern often lingers around the potential for CO</w:t>
      </w:r>
      <w:r w:rsidRPr="00A247A6">
        <w:rPr>
          <w:rFonts w:ascii="Cambria Math" w:hAnsi="Cambria Math" w:cs="Cambria Math"/>
        </w:rPr>
        <w:t>₂</w:t>
      </w:r>
      <w:r w:rsidRPr="009901FA">
        <w:t xml:space="preserve"> to migrate through legacy wells, faults, or fractures over very long timescales. To manage this, regulatory frameworks typically require monitoring and liability coverage for several decades post-injection (often cited as 50 years), which can introduce financial and legal uncertainties. This makes rigorous site selection, well integrity assurance, and transparent monitoring essential not only for technical performance, but also to maintain public trust and support for project deployment.</w:t>
      </w:r>
    </w:p>
    <w:p w14:paraId="75DE1707" w14:textId="333280BD" w:rsidR="00CF58A9" w:rsidRPr="009901FA" w:rsidRDefault="00CF58A9" w:rsidP="00746446">
      <w:pPr>
        <w:spacing w:after="200"/>
      </w:pPr>
      <w:r w:rsidRPr="009901FA">
        <w:rPr>
          <w:b/>
          <w:bCs/>
        </w:rPr>
        <w:t xml:space="preserve">Environmental and regulatory concerns </w:t>
      </w:r>
      <w:r w:rsidR="009779B8" w:rsidRPr="009901FA">
        <w:rPr>
          <w:b/>
          <w:bCs/>
        </w:rPr>
        <w:t xml:space="preserve">may </w:t>
      </w:r>
      <w:r w:rsidRPr="009901FA">
        <w:rPr>
          <w:b/>
          <w:bCs/>
        </w:rPr>
        <w:t>also present barriers to deployment.</w:t>
      </w:r>
      <w:r w:rsidRPr="009901FA">
        <w:rPr>
          <w:b/>
        </w:rPr>
        <w:t xml:space="preserve"> </w:t>
      </w:r>
      <w:r w:rsidR="00D04AF0" w:rsidRPr="009901FA">
        <w:t>One commonly cited theoretical risk is that injected CO</w:t>
      </w:r>
      <w:r w:rsidR="00D04AF0" w:rsidRPr="00A247A6">
        <w:rPr>
          <w:rFonts w:ascii="Cambria Math" w:hAnsi="Cambria Math" w:cs="Cambria Math"/>
        </w:rPr>
        <w:t>₂</w:t>
      </w:r>
      <w:r w:rsidR="00D04AF0" w:rsidRPr="009901FA">
        <w:t xml:space="preserve"> could displace deep saline brines, which might migrate upward and contaminate overlying freshwater aquifers under certain geological conditions.</w:t>
      </w:r>
      <w:r w:rsidR="0010338A" w:rsidRPr="009901FA">
        <w:t xml:space="preserve"> </w:t>
      </w:r>
      <w:r w:rsidR="0010338A" w:rsidRPr="009901FA">
        <w:rPr>
          <w:rStyle w:val="FootnoteReference"/>
        </w:rPr>
        <w:footnoteReference w:id="92"/>
      </w:r>
      <w:r w:rsidR="002B669C" w:rsidRPr="009901FA">
        <w:rPr>
          <w:vertAlign w:val="superscript"/>
        </w:rPr>
        <w:t>,</w:t>
      </w:r>
      <w:r w:rsidR="002B669C" w:rsidRPr="009901FA">
        <w:rPr>
          <w:rStyle w:val="FootnoteReference"/>
        </w:rPr>
        <w:footnoteReference w:id="93"/>
      </w:r>
      <w:r w:rsidR="00D04AF0" w:rsidRPr="009901FA">
        <w:t xml:space="preserve"> While such events have not been observed in commercial-scale projects, they are taken seriously by regulators and have been extensively </w:t>
      </w:r>
      <w:r w:rsidR="00EF53C1" w:rsidRPr="009901FA">
        <w:t>modelled</w:t>
      </w:r>
      <w:r w:rsidR="00D04AF0" w:rsidRPr="009901FA">
        <w:t xml:space="preserve"> in academic literature. These perceived risks </w:t>
      </w:r>
      <w:r w:rsidRPr="009901FA">
        <w:t xml:space="preserve">can trigger regulatory scrutiny and community opposition, </w:t>
      </w:r>
      <w:r w:rsidR="00D04AF0" w:rsidRPr="009901FA">
        <w:t>particularly</w:t>
      </w:r>
      <w:r w:rsidRPr="009901FA">
        <w:t xml:space="preserve"> in regions with limited </w:t>
      </w:r>
      <w:r w:rsidRPr="009901FA">
        <w:lastRenderedPageBreak/>
        <w:t xml:space="preserve">experience in </w:t>
      </w:r>
      <w:r w:rsidR="00D04AF0" w:rsidRPr="009901FA">
        <w:t>subsurface resource</w:t>
      </w:r>
      <w:r w:rsidRPr="009901FA">
        <w:t xml:space="preserve"> management. </w:t>
      </w:r>
      <w:r w:rsidR="00D04AF0" w:rsidRPr="009901FA">
        <w:t>In addition</w:t>
      </w:r>
      <w:r w:rsidRPr="009901FA">
        <w:t xml:space="preserve">, regulatory regimes vary significantly across jurisdictions, </w:t>
      </w:r>
      <w:r w:rsidR="00D04AF0" w:rsidRPr="009901FA">
        <w:t>contributing to uncertainty in</w:t>
      </w:r>
      <w:r w:rsidRPr="009901FA">
        <w:t xml:space="preserve"> permitting timelines and </w:t>
      </w:r>
      <w:r w:rsidR="00D04AF0" w:rsidRPr="009901FA">
        <w:t xml:space="preserve">lowering </w:t>
      </w:r>
      <w:r w:rsidRPr="009901FA">
        <w:t>investment confidence.</w:t>
      </w:r>
    </w:p>
    <w:p w14:paraId="76A672CA" w14:textId="77777777" w:rsidR="00E7328F" w:rsidRPr="009901FA" w:rsidRDefault="00407CF5">
      <w:r w:rsidRPr="009901FA">
        <w:rPr>
          <w:b/>
          <w:bCs/>
        </w:rPr>
        <w:t>Lastly, geological suitability is not evenly distributed, with many CO</w:t>
      </w:r>
      <w:r w:rsidRPr="00A247A6">
        <w:rPr>
          <w:rFonts w:ascii="Cambria Math" w:hAnsi="Cambria Math" w:cs="Cambria Math"/>
          <w:b/>
          <w:bCs/>
        </w:rPr>
        <w:t>₂</w:t>
      </w:r>
      <w:r w:rsidRPr="009901FA">
        <w:rPr>
          <w:b/>
          <w:bCs/>
        </w:rPr>
        <w:t xml:space="preserve"> point sources located far from viable storage formations, creating logistical and cost challenges for pipeline or ship transport. </w:t>
      </w:r>
      <w:r w:rsidRPr="009901FA">
        <w:t>This spatial mismatch reduces the economic viability of CCS in key industrial regions and further supports the case for exploring alternative or complementary storage pathways. Emerging CO</w:t>
      </w:r>
      <w:r w:rsidRPr="00A247A6">
        <w:rPr>
          <w:rFonts w:ascii="Cambria Math" w:hAnsi="Cambria Math" w:cs="Cambria Math"/>
        </w:rPr>
        <w:t>₂</w:t>
      </w:r>
      <w:r w:rsidRPr="009901FA">
        <w:t xml:space="preserve"> storage technologies</w:t>
      </w:r>
      <w:r w:rsidR="00BA716F" w:rsidRPr="009901FA">
        <w:rPr>
          <w:rFonts w:cs="Arial Nova"/>
        </w:rPr>
        <w:t xml:space="preserve"> </w:t>
      </w:r>
      <w:r w:rsidR="007A3402" w:rsidRPr="009901FA">
        <w:t>could</w:t>
      </w:r>
      <w:r w:rsidRPr="009901FA">
        <w:t xml:space="preserve"> be </w:t>
      </w:r>
      <w:r w:rsidR="007A3402" w:rsidRPr="009901FA">
        <w:t>critical</w:t>
      </w:r>
      <w:r w:rsidRPr="009901FA">
        <w:t xml:space="preserve"> to bridge this gap and ensure that global CCS infrastructure can meet 2050 capacity targets.</w:t>
      </w:r>
    </w:p>
    <w:p w14:paraId="513186CC" w14:textId="58771C30" w:rsidR="00AB58AF" w:rsidRPr="009901FA" w:rsidRDefault="005C4C40" w:rsidP="00BB07AA">
      <w:pPr>
        <w:pStyle w:val="Heading3"/>
        <w:ind w:firstLine="720"/>
      </w:pPr>
      <w:bookmarkStart w:id="149" w:name="_Toc205392474"/>
      <w:bookmarkStart w:id="150" w:name="_Toc205554243"/>
      <w:r>
        <w:t>5</w:t>
      </w:r>
      <w:r w:rsidR="00E7328F" w:rsidRPr="009901FA">
        <w:t xml:space="preserve">.1.2 </w:t>
      </w:r>
      <w:r w:rsidR="00395B4A" w:rsidRPr="009901FA">
        <w:t>Innovation</w:t>
      </w:r>
      <w:r w:rsidR="00E7328F" w:rsidRPr="009901FA">
        <w:t xml:space="preserve">: </w:t>
      </w:r>
      <w:r w:rsidR="00591E36" w:rsidRPr="009901FA">
        <w:t>in-situ</w:t>
      </w:r>
      <w:r w:rsidR="00336A3A" w:rsidRPr="009901FA">
        <w:t xml:space="preserve"> </w:t>
      </w:r>
      <w:r w:rsidR="00E7328F" w:rsidRPr="009901FA">
        <w:t>CO</w:t>
      </w:r>
      <w:r w:rsidR="00E7328F" w:rsidRPr="009901FA">
        <w:rPr>
          <w:vertAlign w:val="subscript"/>
        </w:rPr>
        <w:t>2</w:t>
      </w:r>
      <w:r w:rsidR="00E7328F" w:rsidRPr="009901FA">
        <w:t xml:space="preserve"> mineralisation</w:t>
      </w:r>
      <w:bookmarkEnd w:id="149"/>
      <w:bookmarkEnd w:id="150"/>
    </w:p>
    <w:p w14:paraId="29B0FFDC" w14:textId="77777777" w:rsidR="00AB58AF" w:rsidRPr="009901FA" w:rsidRDefault="00AB58AF" w:rsidP="00AB58AF">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Overview</w:t>
      </w:r>
    </w:p>
    <w:p w14:paraId="4ABF9621" w14:textId="44DA3674" w:rsidR="00357B9A" w:rsidRPr="009901FA" w:rsidRDefault="009D4188" w:rsidP="008E77C1">
      <w:r w:rsidRPr="009901FA">
        <w:rPr>
          <w:b/>
        </w:rPr>
        <w:t xml:space="preserve">A promising alternative to </w:t>
      </w:r>
      <w:r w:rsidR="00DE4078" w:rsidRPr="009901FA">
        <w:rPr>
          <w:b/>
        </w:rPr>
        <w:t>sedimentary CO</w:t>
      </w:r>
      <w:r w:rsidR="00DE4078" w:rsidRPr="009901FA">
        <w:rPr>
          <w:b/>
          <w:vertAlign w:val="subscript"/>
        </w:rPr>
        <w:t>2</w:t>
      </w:r>
      <w:r w:rsidR="00DE4078" w:rsidRPr="009901FA">
        <w:rPr>
          <w:b/>
        </w:rPr>
        <w:t xml:space="preserve"> storage, in-</w:t>
      </w:r>
      <w:r w:rsidR="00DE4078" w:rsidRPr="009901FA">
        <w:rPr>
          <w:b/>
          <w:bCs/>
        </w:rPr>
        <w:t>sit</w:t>
      </w:r>
      <w:r w:rsidR="002D3871" w:rsidRPr="009901FA">
        <w:rPr>
          <w:b/>
          <w:bCs/>
        </w:rPr>
        <w:t>u</w:t>
      </w:r>
      <w:r w:rsidR="00DE4078" w:rsidRPr="009901FA">
        <w:rPr>
          <w:b/>
        </w:rPr>
        <w:t xml:space="preserve"> CO</w:t>
      </w:r>
      <w:r w:rsidR="00DE4078" w:rsidRPr="009901FA">
        <w:rPr>
          <w:b/>
          <w:vertAlign w:val="subscript"/>
        </w:rPr>
        <w:t>2</w:t>
      </w:r>
      <w:r w:rsidR="00DE4078" w:rsidRPr="009901FA">
        <w:rPr>
          <w:b/>
        </w:rPr>
        <w:t xml:space="preserve"> mineralisation</w:t>
      </w:r>
      <w:r w:rsidR="008E77C1" w:rsidRPr="009901FA">
        <w:rPr>
          <w:b/>
          <w:bCs/>
        </w:rPr>
        <w:t xml:space="preserve"> </w:t>
      </w:r>
      <w:r w:rsidR="005D62CB" w:rsidRPr="009901FA">
        <w:rPr>
          <w:b/>
          <w:bCs/>
        </w:rPr>
        <w:t>(TRL 5-7)</w:t>
      </w:r>
      <w:r w:rsidR="008E77C1" w:rsidRPr="009901FA">
        <w:rPr>
          <w:b/>
          <w:bCs/>
        </w:rPr>
        <w:t xml:space="preserve"> offers the potential to </w:t>
      </w:r>
      <w:r w:rsidR="00D962F6" w:rsidRPr="009901FA">
        <w:rPr>
          <w:b/>
          <w:bCs/>
        </w:rPr>
        <w:t xml:space="preserve">permanently </w:t>
      </w:r>
      <w:r w:rsidR="008E77C1" w:rsidRPr="009901FA">
        <w:rPr>
          <w:b/>
          <w:bCs/>
        </w:rPr>
        <w:t>store carbon into reactive rock formations.</w:t>
      </w:r>
      <w:r w:rsidR="002D3871" w:rsidRPr="009901FA">
        <w:rPr>
          <w:b/>
          <w:bCs/>
        </w:rPr>
        <w:t xml:space="preserve"> </w:t>
      </w:r>
      <w:r w:rsidR="009E6435" w:rsidRPr="009901FA">
        <w:t>In situ CO</w:t>
      </w:r>
      <w:r w:rsidR="009E6435" w:rsidRPr="00A247A6">
        <w:rPr>
          <w:rFonts w:ascii="Cambria Math" w:hAnsi="Cambria Math" w:cs="Cambria Math"/>
        </w:rPr>
        <w:t>₂</w:t>
      </w:r>
      <w:r w:rsidR="009E6435" w:rsidRPr="009901FA">
        <w:t xml:space="preserve"> mineralisation is a geological carbon storage technique that involves the underground injection of CO</w:t>
      </w:r>
      <w:r w:rsidR="009E6435" w:rsidRPr="00A247A6">
        <w:rPr>
          <w:rFonts w:ascii="Cambria Math" w:hAnsi="Cambria Math" w:cs="Cambria Math"/>
        </w:rPr>
        <w:t>₂</w:t>
      </w:r>
      <w:r w:rsidR="009E6435" w:rsidRPr="009901FA">
        <w:t xml:space="preserve"> into basaltic or ultramafic rocks</w:t>
      </w:r>
      <w:r w:rsidR="009E6435" w:rsidRPr="009901FA">
        <w:rPr>
          <w:rFonts w:cs="Arial Nova"/>
        </w:rPr>
        <w:t xml:space="preserve">, </w:t>
      </w:r>
      <w:r w:rsidR="009E6435" w:rsidRPr="009901FA">
        <w:t>where it chemically reacts with naturally occurring minerals to form stable carbonates.</w:t>
      </w:r>
      <w:r w:rsidR="00222099" w:rsidRPr="009901FA">
        <w:t xml:space="preserve"> Once injected, CO</w:t>
      </w:r>
      <w:r w:rsidR="00222099" w:rsidRPr="00A247A6">
        <w:rPr>
          <w:rFonts w:ascii="Cambria Math" w:hAnsi="Cambria Math" w:cs="Cambria Math"/>
        </w:rPr>
        <w:t>₂</w:t>
      </w:r>
      <w:r w:rsidR="00222099" w:rsidRPr="009901FA">
        <w:t xml:space="preserve"> dissolves in formation water and forms carbonic acid (H</w:t>
      </w:r>
      <w:r w:rsidR="00222099" w:rsidRPr="00A247A6">
        <w:rPr>
          <w:rFonts w:ascii="Cambria Math" w:hAnsi="Cambria Math" w:cs="Cambria Math"/>
        </w:rPr>
        <w:t>₂</w:t>
      </w:r>
      <w:r w:rsidR="00222099" w:rsidRPr="009901FA">
        <w:t>CO</w:t>
      </w:r>
      <w:r w:rsidR="00222099" w:rsidRPr="00A247A6">
        <w:rPr>
          <w:rFonts w:ascii="Cambria Math" w:hAnsi="Cambria Math" w:cs="Cambria Math"/>
        </w:rPr>
        <w:t>₃</w:t>
      </w:r>
      <w:r w:rsidR="00222099" w:rsidRPr="009901FA">
        <w:t>). This acidic solution reacts with silicate minerals rich in magnesium, calcium, and iron, releasing metal cations (e.g., Mg</w:t>
      </w:r>
      <w:r w:rsidR="00222099" w:rsidRPr="009901FA">
        <w:rPr>
          <w:rFonts w:cs="Arial Nova"/>
        </w:rPr>
        <w:t>²</w:t>
      </w:r>
      <w:r w:rsidR="00222099" w:rsidRPr="00A247A6">
        <w:rPr>
          <w:rFonts w:ascii="Cambria Math" w:hAnsi="Cambria Math" w:cs="Cambria Math"/>
        </w:rPr>
        <w:t>⁺</w:t>
      </w:r>
      <w:r w:rsidR="00222099" w:rsidRPr="009901FA">
        <w:t>, Ca</w:t>
      </w:r>
      <w:r w:rsidR="00222099" w:rsidRPr="009901FA">
        <w:rPr>
          <w:rFonts w:cs="Arial Nova"/>
        </w:rPr>
        <w:t>²</w:t>
      </w:r>
      <w:r w:rsidR="00222099" w:rsidRPr="00A247A6">
        <w:rPr>
          <w:rFonts w:ascii="Cambria Math" w:hAnsi="Cambria Math" w:cs="Cambria Math"/>
        </w:rPr>
        <w:t>⁺</w:t>
      </w:r>
      <w:r w:rsidR="00222099" w:rsidRPr="009901FA">
        <w:t>, Fe</w:t>
      </w:r>
      <w:r w:rsidR="00222099" w:rsidRPr="009901FA">
        <w:rPr>
          <w:rFonts w:cs="Arial Nova"/>
        </w:rPr>
        <w:t>²</w:t>
      </w:r>
      <w:r w:rsidR="00222099" w:rsidRPr="00A247A6">
        <w:rPr>
          <w:rFonts w:ascii="Cambria Math" w:hAnsi="Cambria Math" w:cs="Cambria Math"/>
        </w:rPr>
        <w:t>⁺</w:t>
      </w:r>
      <w:r w:rsidR="00222099" w:rsidRPr="009901FA">
        <w:t>) that subsequently bond with carbonate ions (CO</w:t>
      </w:r>
      <w:r w:rsidR="00222099" w:rsidRPr="00A247A6">
        <w:rPr>
          <w:rFonts w:ascii="Cambria Math" w:hAnsi="Cambria Math" w:cs="Cambria Math"/>
        </w:rPr>
        <w:t>₃</w:t>
      </w:r>
      <w:r w:rsidR="00222099" w:rsidRPr="009901FA">
        <w:rPr>
          <w:rFonts w:cs="Arial Nova"/>
        </w:rPr>
        <w:t>²</w:t>
      </w:r>
      <w:r w:rsidR="00222099" w:rsidRPr="00A247A6">
        <w:rPr>
          <w:rFonts w:ascii="Cambria Math" w:hAnsi="Cambria Math" w:cs="Cambria Math"/>
        </w:rPr>
        <w:t>⁻</w:t>
      </w:r>
      <w:r w:rsidR="00222099" w:rsidRPr="009901FA">
        <w:t>). The result is the formation of solid carbonate minerals such as calcite or magnesite, which permanently lock CO</w:t>
      </w:r>
      <w:r w:rsidR="00222099" w:rsidRPr="00A247A6">
        <w:rPr>
          <w:rFonts w:ascii="Cambria Math" w:hAnsi="Cambria Math" w:cs="Cambria Math"/>
        </w:rPr>
        <w:t>₂</w:t>
      </w:r>
      <w:r w:rsidR="00222099" w:rsidRPr="009901FA">
        <w:t xml:space="preserve"> in an immobile and inert form underground.</w:t>
      </w:r>
    </w:p>
    <w:p w14:paraId="3571634A" w14:textId="237E0147" w:rsidR="00357B9A" w:rsidRPr="009901FA" w:rsidRDefault="00EF0993" w:rsidP="00446BCB">
      <w:pPr>
        <w:rPr>
          <w:rFonts w:cs="Cambria Math"/>
        </w:rPr>
      </w:pPr>
      <w:r w:rsidRPr="009901FA">
        <w:rPr>
          <w:b/>
          <w:bCs/>
        </w:rPr>
        <w:t>In situ miner</w:t>
      </w:r>
      <w:r w:rsidR="00D47EF7" w:rsidRPr="009901FA">
        <w:rPr>
          <w:b/>
          <w:bCs/>
        </w:rPr>
        <w:t>alisation is being actively pursued by several pioneering companies</w:t>
      </w:r>
      <w:r w:rsidR="00170E19" w:rsidRPr="009901FA">
        <w:rPr>
          <w:b/>
          <w:bCs/>
        </w:rPr>
        <w:t xml:space="preserve"> worldwide.</w:t>
      </w:r>
      <w:r w:rsidR="005D62CB" w:rsidRPr="009901FA">
        <w:rPr>
          <w:b/>
          <w:bCs/>
        </w:rPr>
        <w:t xml:space="preserve"> </w:t>
      </w:r>
      <w:r w:rsidR="00A2794F" w:rsidRPr="009901FA">
        <w:t>Notably, Carbfix in Iceland has demonstrated the viability of in situ mineralisation at scale</w:t>
      </w:r>
      <w:r w:rsidR="004A6123" w:rsidRPr="009901FA">
        <w:t xml:space="preserve"> (~36,000 tons of CO</w:t>
      </w:r>
      <w:r w:rsidR="004A6123" w:rsidRPr="009901FA">
        <w:rPr>
          <w:vertAlign w:val="subscript"/>
        </w:rPr>
        <w:t>2</w:t>
      </w:r>
      <w:r w:rsidR="004A6123" w:rsidRPr="009901FA">
        <w:t xml:space="preserve"> per year</w:t>
      </w:r>
      <w:r w:rsidR="0001494A" w:rsidRPr="009901FA">
        <w:rPr>
          <w:rStyle w:val="FootnoteReference"/>
        </w:rPr>
        <w:footnoteReference w:id="94"/>
      </w:r>
      <w:r w:rsidR="004A6123" w:rsidRPr="009901FA">
        <w:t>)</w:t>
      </w:r>
      <w:r w:rsidR="00A2794F" w:rsidRPr="009901FA">
        <w:t>, using the country’s abundant basaltic rock and renewable geothermal energy to inject and mineralise CO</w:t>
      </w:r>
      <w:r w:rsidR="00A2794F" w:rsidRPr="00A247A6">
        <w:rPr>
          <w:rFonts w:ascii="Cambria Math" w:hAnsi="Cambria Math" w:cs="Cambria Math"/>
        </w:rPr>
        <w:t>₂</w:t>
      </w:r>
      <w:r w:rsidR="006C3449" w:rsidRPr="009901FA">
        <w:t>.</w:t>
      </w:r>
      <w:r w:rsidR="008359BE" w:rsidRPr="009901FA">
        <w:t xml:space="preserve"> </w:t>
      </w:r>
      <w:r w:rsidR="009A0656" w:rsidRPr="009901FA">
        <w:t>In Canada, Deep Sky is undertaking feasibility studies for similar in situ storage by injecting CO</w:t>
      </w:r>
      <w:r w:rsidR="009A0656" w:rsidRPr="00A247A6">
        <w:rPr>
          <w:rFonts w:ascii="Cambria Math" w:hAnsi="Cambria Math" w:cs="Cambria Math"/>
        </w:rPr>
        <w:t>₂</w:t>
      </w:r>
      <w:r w:rsidR="009A0656" w:rsidRPr="009901FA">
        <w:t xml:space="preserve"> into reactive mafic and ultramafic rocks in Qu</w:t>
      </w:r>
      <w:r w:rsidR="009A0656" w:rsidRPr="009901FA">
        <w:rPr>
          <w:rFonts w:cs="Arial Nova"/>
        </w:rPr>
        <w:t>é</w:t>
      </w:r>
      <w:r w:rsidR="009A0656" w:rsidRPr="009901FA">
        <w:t>bec.</w:t>
      </w:r>
      <w:r w:rsidR="003E0786" w:rsidRPr="009901FA">
        <w:t xml:space="preserve"> </w:t>
      </w:r>
      <w:r w:rsidR="00EA33BB" w:rsidRPr="009901FA">
        <w:t>I</w:t>
      </w:r>
      <w:r w:rsidR="003E0786" w:rsidRPr="009901FA">
        <w:t xml:space="preserve">n Kenya, Octavia Carbon is piloting </w:t>
      </w:r>
      <w:r w:rsidR="006D4D48" w:rsidRPr="009901FA">
        <w:t>~1,000 tons of CO</w:t>
      </w:r>
      <w:r w:rsidR="006D4D48" w:rsidRPr="009901FA">
        <w:rPr>
          <w:vertAlign w:val="subscript"/>
        </w:rPr>
        <w:t>2</w:t>
      </w:r>
      <w:r w:rsidR="006D4D48" w:rsidRPr="009901FA">
        <w:t xml:space="preserve"> </w:t>
      </w:r>
      <w:r w:rsidR="00190727" w:rsidRPr="009901FA">
        <w:t xml:space="preserve">storage </w:t>
      </w:r>
      <w:r w:rsidR="006D4D48" w:rsidRPr="009901FA">
        <w:t>per year</w:t>
      </w:r>
      <w:r w:rsidR="0024348C" w:rsidRPr="009901FA">
        <w:rPr>
          <w:rStyle w:val="FootnoteReference"/>
        </w:rPr>
        <w:footnoteReference w:id="95"/>
      </w:r>
      <w:r w:rsidR="003E0786" w:rsidRPr="009901FA">
        <w:t xml:space="preserve"> </w:t>
      </w:r>
      <w:r w:rsidR="00190727" w:rsidRPr="009901FA">
        <w:t>via</w:t>
      </w:r>
      <w:r w:rsidR="003E0786" w:rsidRPr="009901FA">
        <w:t xml:space="preserve"> the integration of direct air capture with CO</w:t>
      </w:r>
      <w:r w:rsidR="003E0786" w:rsidRPr="00A247A6">
        <w:rPr>
          <w:rFonts w:ascii="Cambria Math" w:hAnsi="Cambria Math" w:cs="Cambria Math"/>
        </w:rPr>
        <w:t>₂</w:t>
      </w:r>
      <w:r w:rsidR="003E0786" w:rsidRPr="009901FA">
        <w:t xml:space="preserve"> injection into volcanic basalts in the East African Rift, targeting rapid and verifiable mineral storage.</w:t>
      </w:r>
      <w:r w:rsidR="007D3289" w:rsidRPr="009901FA">
        <w:t xml:space="preserve"> These efforts highlight growing momentum behind in situ mineralisation as a </w:t>
      </w:r>
      <w:r w:rsidR="001E3B25" w:rsidRPr="009901FA">
        <w:t>commercial</w:t>
      </w:r>
      <w:r w:rsidR="007D3289" w:rsidRPr="009901FA">
        <w:t xml:space="preserve"> CO</w:t>
      </w:r>
      <w:r w:rsidR="007D3289" w:rsidRPr="00A247A6">
        <w:rPr>
          <w:rFonts w:ascii="Cambria Math" w:hAnsi="Cambria Math" w:cs="Cambria Math"/>
        </w:rPr>
        <w:t>₂</w:t>
      </w:r>
      <w:r w:rsidR="007D3289" w:rsidRPr="009901FA">
        <w:t xml:space="preserve"> storage pathway.</w:t>
      </w:r>
    </w:p>
    <w:p w14:paraId="694B8F45" w14:textId="537247CB" w:rsidR="00357B9A" w:rsidRPr="009901FA" w:rsidRDefault="00357B9A" w:rsidP="00F31EE8">
      <w:pPr>
        <w:keepNext/>
        <w:keepLines/>
        <w:tabs>
          <w:tab w:val="left" w:pos="1060"/>
        </w:tab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lastRenderedPageBreak/>
        <w:t>Costs</w:t>
      </w:r>
      <w:r w:rsidR="00F31EE8" w:rsidRPr="009901FA">
        <w:rPr>
          <w:rFonts w:eastAsia="MS Gothic" w:cs="Times New Roman"/>
          <w:color w:val="585854"/>
          <w:sz w:val="26"/>
          <w:szCs w:val="24"/>
        </w:rPr>
        <w:tab/>
      </w:r>
    </w:p>
    <w:p w14:paraId="5CF867BD" w14:textId="2ED4BD2F" w:rsidR="00146BB4" w:rsidRPr="009901FA" w:rsidRDefault="00146BB4" w:rsidP="00146BB4">
      <w:r w:rsidRPr="009901FA">
        <w:rPr>
          <w:b/>
          <w:bCs/>
        </w:rPr>
        <w:t xml:space="preserve">Despite higher current costs, some mineralisation pathways are approaching cost competitiveness with conventional storage options. </w:t>
      </w:r>
      <w:r w:rsidRPr="009901FA">
        <w:t>As shown in</w:t>
      </w:r>
      <w:r w:rsidR="00131668" w:rsidRPr="009901FA">
        <w:t xml:space="preserve"> </w:t>
      </w:r>
      <w:r w:rsidR="00131668" w:rsidRPr="009901FA">
        <w:fldChar w:fldCharType="begin"/>
      </w:r>
      <w:r w:rsidR="00131668" w:rsidRPr="009901FA">
        <w:instrText xml:space="preserve"> REF _Ref203750276 \h </w:instrText>
      </w:r>
      <w:r w:rsidR="00A247A6">
        <w:instrText xml:space="preserve"> \* MERGEFORMAT </w:instrText>
      </w:r>
      <w:r w:rsidR="00131668" w:rsidRPr="009901FA">
        <w:fldChar w:fldCharType="separate"/>
      </w:r>
      <w:r w:rsidR="00DE378F" w:rsidRPr="009901FA">
        <w:t xml:space="preserve">Exhibit </w:t>
      </w:r>
      <w:r w:rsidR="00327B07">
        <w:rPr>
          <w:noProof/>
        </w:rPr>
        <w:t>5</w:t>
      </w:r>
      <w:r w:rsidR="00DE378F" w:rsidRPr="009901FA">
        <w:t>.</w:t>
      </w:r>
      <w:r w:rsidR="00DE378F" w:rsidRPr="009901FA">
        <w:rPr>
          <w:noProof/>
        </w:rPr>
        <w:t>4</w:t>
      </w:r>
      <w:r w:rsidR="00131668" w:rsidRPr="009901FA">
        <w:fldChar w:fldCharType="end"/>
      </w:r>
      <w:r w:rsidRPr="009901FA">
        <w:t xml:space="preserve">, </w:t>
      </w:r>
      <w:r w:rsidR="004D2AF4" w:rsidRPr="009901FA">
        <w:t>the least complex pathway (</w:t>
      </w:r>
      <w:r w:rsidR="00C01338" w:rsidRPr="009901FA">
        <w:t>onland basalt)</w:t>
      </w:r>
      <w:r w:rsidR="00022D8C" w:rsidRPr="009901FA">
        <w:t xml:space="preserve"> is estimated to </w:t>
      </w:r>
      <w:r w:rsidR="008778EE" w:rsidRPr="009901FA">
        <w:t xml:space="preserve">currently </w:t>
      </w:r>
      <w:r w:rsidR="001401B9" w:rsidRPr="009901FA">
        <w:t>cost</w:t>
      </w:r>
      <w:r w:rsidR="00022D8C" w:rsidRPr="009901FA">
        <w:t xml:space="preserve"> only 50%</w:t>
      </w:r>
      <w:r w:rsidR="00810EAC" w:rsidRPr="009901FA">
        <w:t xml:space="preserve"> greater </w:t>
      </w:r>
      <w:r w:rsidR="001401B9" w:rsidRPr="009901FA">
        <w:t xml:space="preserve">than </w:t>
      </w:r>
      <w:r w:rsidR="008778EE" w:rsidRPr="009901FA">
        <w:t>storage of CO</w:t>
      </w:r>
      <w:r w:rsidR="008778EE" w:rsidRPr="009901FA">
        <w:rPr>
          <w:vertAlign w:val="subscript"/>
        </w:rPr>
        <w:t>2</w:t>
      </w:r>
      <w:r w:rsidR="008778EE" w:rsidRPr="009901FA">
        <w:t xml:space="preserve"> </w:t>
      </w:r>
      <w:r w:rsidR="00CF49EB" w:rsidRPr="009901FA">
        <w:t>in</w:t>
      </w:r>
      <w:r w:rsidR="008778EE" w:rsidRPr="009901FA">
        <w:t xml:space="preserve"> conventional </w:t>
      </w:r>
      <w:r w:rsidR="00045194" w:rsidRPr="009901FA">
        <w:t xml:space="preserve">onshore </w:t>
      </w:r>
      <w:r w:rsidR="008778EE" w:rsidRPr="009901FA">
        <w:t>sedimentary reservoirs</w:t>
      </w:r>
      <w:r w:rsidR="00045194" w:rsidRPr="009901FA">
        <w:t>.</w:t>
      </w:r>
      <w:r w:rsidR="00CD3AFF" w:rsidRPr="009901FA">
        <w:t xml:space="preserve"> Conversely, more complex pathways such as seafloor basalt incur significantly higher costs, driven by logistical and technical challenges.</w:t>
      </w:r>
      <w:r w:rsidR="003074CD" w:rsidRPr="009901FA">
        <w:t xml:space="preserve"> Opportunities to deploy mineralisation close to emission sources </w:t>
      </w:r>
      <w:r w:rsidR="00E2295F" w:rsidRPr="009901FA">
        <w:t>or captured CO</w:t>
      </w:r>
      <w:r w:rsidR="00E2295F" w:rsidRPr="009901FA">
        <w:rPr>
          <w:vertAlign w:val="subscript"/>
        </w:rPr>
        <w:t>2</w:t>
      </w:r>
      <w:r w:rsidR="003074CD" w:rsidRPr="009901FA">
        <w:t xml:space="preserve"> could reduce transportation costs and offset some of the cost differential, particularly in regions with suitable geology.</w:t>
      </w:r>
    </w:p>
    <w:p w14:paraId="7ABAFE82" w14:textId="57ADB528" w:rsidR="0055709D" w:rsidRPr="009901FA" w:rsidRDefault="0055709D" w:rsidP="00146BB4">
      <w:r w:rsidRPr="009901FA">
        <w:rPr>
          <w:b/>
          <w:bCs/>
        </w:rPr>
        <w:t>In situ CO</w:t>
      </w:r>
      <w:r w:rsidRPr="00A247A6">
        <w:rPr>
          <w:rFonts w:ascii="Cambria Math" w:hAnsi="Cambria Math" w:cs="Cambria Math"/>
          <w:b/>
          <w:bCs/>
        </w:rPr>
        <w:t>₂</w:t>
      </w:r>
      <w:r w:rsidRPr="009901FA">
        <w:rPr>
          <w:b/>
          <w:bCs/>
        </w:rPr>
        <w:t xml:space="preserve"> mineralisation could offer significantly higher long-term storage potential than traditional sedimentary reservoirs.</w:t>
      </w:r>
      <w:r w:rsidRPr="009901FA">
        <w:t xml:space="preserve"> While formations such as depleted oil and gas fields and saline aquifers are estimated to provide a global maximum capacity of approximately 51,000 GtCO</w:t>
      </w:r>
      <w:r w:rsidRPr="00A247A6">
        <w:rPr>
          <w:rFonts w:ascii="Cambria Math" w:hAnsi="Cambria Math" w:cs="Cambria Math"/>
        </w:rPr>
        <w:t>₂</w:t>
      </w:r>
      <w:r w:rsidRPr="009901FA">
        <w:t>, some mineralisation pathways may offer an order of magnitude more. For example, onshore basalt formations, which represent the most cost-effective mineralisation option to date, are estimated to hold up to 250,000 GtCO</w:t>
      </w:r>
      <w:r w:rsidRPr="00A247A6">
        <w:rPr>
          <w:rFonts w:ascii="Cambria Math" w:hAnsi="Cambria Math" w:cs="Cambria Math"/>
        </w:rPr>
        <w:t>₂</w:t>
      </w:r>
      <w:r w:rsidRPr="009901FA">
        <w:t>.These formations are often found in different geophysical regions than sedimentary basins, including extensive onland basalt provinces in India, Siberia, and the Pacific Northwest of the United States, as well as along seafloor basalt formations such as those in East Africa and the mid-ocean ridges. This geographic distinction means that mineralisation and sedimentary storage can complement each other, expanding the global storage footprint in a regionally additive way. Together, these pathways form a portfolio of CO</w:t>
      </w:r>
      <w:r w:rsidRPr="00A247A6">
        <w:rPr>
          <w:rFonts w:ascii="Cambria Math" w:hAnsi="Cambria Math" w:cs="Cambria Math"/>
        </w:rPr>
        <w:t>₂</w:t>
      </w:r>
      <w:r w:rsidRPr="009901FA">
        <w:t xml:space="preserve"> storage options that improves overall scalability, resilience, and availability across diverse geographies.</w:t>
      </w:r>
    </w:p>
    <w:p w14:paraId="7B492E73" w14:textId="3B7A2B33" w:rsidR="00906356" w:rsidRPr="009901FA" w:rsidRDefault="00906356" w:rsidP="00906356">
      <w:pPr>
        <w:pStyle w:val="Caption"/>
        <w:keepNext/>
      </w:pPr>
      <w:bookmarkStart w:id="151" w:name="_Ref203750276"/>
      <w:r w:rsidRPr="009901FA">
        <w:t xml:space="preserve">Exhibit </w:t>
      </w:r>
      <w:r w:rsidR="00327B07">
        <w:t>5</w:t>
      </w:r>
      <w:r w:rsidR="008725B4" w:rsidRPr="009901FA">
        <w:t>.</w:t>
      </w:r>
      <w:fldSimple w:instr=" SEQ Exhibit \* ARABIC \s 2 ">
        <w:r w:rsidR="00DE378F" w:rsidRPr="009901FA">
          <w:rPr>
            <w:noProof/>
          </w:rPr>
          <w:t>4</w:t>
        </w:r>
      </w:fldSimple>
      <w:bookmarkEnd w:id="151"/>
    </w:p>
    <w:p w14:paraId="0A442F07" w14:textId="3E24D6FF" w:rsidR="00B40BF5" w:rsidRPr="009901FA" w:rsidRDefault="001E6533" w:rsidP="00C759CB">
      <w:r w:rsidRPr="009901FA">
        <w:rPr>
          <w:noProof/>
        </w:rPr>
        <w:drawing>
          <wp:inline distT="0" distB="0" distL="0" distR="0" wp14:anchorId="2658BF6B" wp14:editId="0DD62BC2">
            <wp:extent cx="6263640" cy="2708275"/>
            <wp:effectExtent l="0" t="0" r="3810" b="0"/>
            <wp:docPr id="212977750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777503" name="Picture 1" descr="A screenshot of a computer&#10;&#10;AI-generated content may be incorrect."/>
                    <pic:cNvPicPr/>
                  </pic:nvPicPr>
                  <pic:blipFill>
                    <a:blip r:embed="rId144"/>
                    <a:stretch>
                      <a:fillRect/>
                    </a:stretch>
                  </pic:blipFill>
                  <pic:spPr>
                    <a:xfrm>
                      <a:off x="0" y="0"/>
                      <a:ext cx="6263640" cy="2708275"/>
                    </a:xfrm>
                    <a:prstGeom prst="rect">
                      <a:avLst/>
                    </a:prstGeom>
                  </pic:spPr>
                </pic:pic>
              </a:graphicData>
            </a:graphic>
          </wp:inline>
        </w:drawing>
      </w:r>
    </w:p>
    <w:p w14:paraId="70AE59A6" w14:textId="77777777" w:rsidR="00B40BF5" w:rsidRPr="009901FA" w:rsidRDefault="00B40BF5" w:rsidP="00C759CB"/>
    <w:p w14:paraId="067A212C" w14:textId="38D9AC10" w:rsidR="00357B9A" w:rsidRPr="009901FA" w:rsidRDefault="00357B9A" w:rsidP="00AB58AF">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Impact</w:t>
      </w:r>
    </w:p>
    <w:p w14:paraId="5EA2DF31" w14:textId="2B092F8C" w:rsidR="00357B9A" w:rsidRPr="009901FA" w:rsidRDefault="007F3C01" w:rsidP="007F3C01">
      <w:r w:rsidRPr="009901FA">
        <w:rPr>
          <w:b/>
          <w:bCs/>
        </w:rPr>
        <w:t>One of in situ mineralisation’s most significant advantages lies in its permanence: unlike storage in sedimentary reservoirs, mineralised CO</w:t>
      </w:r>
      <w:r w:rsidRPr="00A247A6">
        <w:rPr>
          <w:rFonts w:ascii="Cambria Math" w:hAnsi="Cambria Math" w:cs="Cambria Math"/>
          <w:b/>
          <w:bCs/>
        </w:rPr>
        <w:t>₂</w:t>
      </w:r>
      <w:r w:rsidRPr="009901FA">
        <w:rPr>
          <w:b/>
          <w:bCs/>
        </w:rPr>
        <w:t xml:space="preserve"> becomes chemically </w:t>
      </w:r>
      <w:r w:rsidRPr="009901FA">
        <w:rPr>
          <w:b/>
          <w:bCs/>
        </w:rPr>
        <w:lastRenderedPageBreak/>
        <w:t>stable and immobile within the host rock.</w:t>
      </w:r>
      <w:r w:rsidR="00267B2A" w:rsidRPr="009901FA">
        <w:rPr>
          <w:b/>
          <w:bCs/>
        </w:rPr>
        <w:t xml:space="preserve"> </w:t>
      </w:r>
      <w:r w:rsidR="00267B2A" w:rsidRPr="009901FA">
        <w:t xml:space="preserve">This eliminates the </w:t>
      </w:r>
      <w:r w:rsidR="00CF285C" w:rsidRPr="009901FA">
        <w:t xml:space="preserve">risk of </w:t>
      </w:r>
      <w:r w:rsidR="00267B2A" w:rsidRPr="009901FA">
        <w:t xml:space="preserve">long-term leakage and </w:t>
      </w:r>
      <w:r w:rsidR="00BF6175" w:rsidRPr="009901FA">
        <w:t xml:space="preserve">may </w:t>
      </w:r>
      <w:r w:rsidR="00CF285C" w:rsidRPr="009901FA">
        <w:t xml:space="preserve">reduce or </w:t>
      </w:r>
      <w:r w:rsidR="00267B2A" w:rsidRPr="009901FA">
        <w:t xml:space="preserve">remove the need for multi-decade post-injection monitoring and liability </w:t>
      </w:r>
      <w:r w:rsidR="00CF285C" w:rsidRPr="009901FA">
        <w:t>management.</w:t>
      </w:r>
      <w:r w:rsidR="00380923" w:rsidRPr="009901FA">
        <w:t xml:space="preserve"> This </w:t>
      </w:r>
      <w:r w:rsidR="00CF285C" w:rsidRPr="009901FA">
        <w:t>level of containment</w:t>
      </w:r>
      <w:r w:rsidR="00380923" w:rsidRPr="009901FA">
        <w:t xml:space="preserve"> may appeal to industries, regulators, and the public alike, </w:t>
      </w:r>
      <w:r w:rsidR="00CF285C" w:rsidRPr="009901FA">
        <w:t>helping build</w:t>
      </w:r>
      <w:r w:rsidR="00380923" w:rsidRPr="009901FA">
        <w:t xml:space="preserve"> trust in the </w:t>
      </w:r>
      <w:r w:rsidR="006625D4" w:rsidRPr="009901FA">
        <w:t xml:space="preserve">long-term </w:t>
      </w:r>
      <w:r w:rsidR="00380923" w:rsidRPr="009901FA">
        <w:t>security of CO</w:t>
      </w:r>
      <w:r w:rsidR="00380923" w:rsidRPr="00A247A6">
        <w:rPr>
          <w:rFonts w:ascii="Cambria Math" w:hAnsi="Cambria Math" w:cs="Cambria Math"/>
        </w:rPr>
        <w:t>₂</w:t>
      </w:r>
      <w:r w:rsidR="00380923" w:rsidRPr="009901FA">
        <w:t xml:space="preserve"> storage.</w:t>
      </w:r>
    </w:p>
    <w:p w14:paraId="3EAC7C18" w14:textId="61AAE3A2" w:rsidR="00B324E3" w:rsidRPr="009901FA" w:rsidRDefault="006B147A" w:rsidP="007F3C01">
      <w:pPr>
        <w:rPr>
          <w:bCs/>
        </w:rPr>
      </w:pPr>
      <w:r w:rsidRPr="009901FA">
        <w:rPr>
          <w:b/>
          <w:bCs/>
        </w:rPr>
        <w:t>In</w:t>
      </w:r>
      <w:r w:rsidR="00821CAA" w:rsidRPr="009901FA">
        <w:rPr>
          <w:b/>
          <w:bCs/>
        </w:rPr>
        <w:t xml:space="preserve"> </w:t>
      </w:r>
      <w:r w:rsidR="00B324E3" w:rsidRPr="009901FA">
        <w:rPr>
          <w:b/>
        </w:rPr>
        <w:t>addition, in situ</w:t>
      </w:r>
      <w:r w:rsidR="00821CAA" w:rsidRPr="009901FA">
        <w:rPr>
          <w:b/>
          <w:bCs/>
        </w:rPr>
        <w:t xml:space="preserve"> </w:t>
      </w:r>
      <w:r w:rsidRPr="009901FA">
        <w:rPr>
          <w:b/>
          <w:bCs/>
        </w:rPr>
        <w:t>mineralisation</w:t>
      </w:r>
      <w:r w:rsidR="00821CAA" w:rsidRPr="009901FA">
        <w:rPr>
          <w:b/>
          <w:bCs/>
        </w:rPr>
        <w:t xml:space="preserve"> </w:t>
      </w:r>
      <w:r w:rsidR="00982825" w:rsidRPr="009901FA">
        <w:rPr>
          <w:b/>
          <w:bCs/>
        </w:rPr>
        <w:t>presents no</w:t>
      </w:r>
      <w:r w:rsidR="00821CAA" w:rsidRPr="009901FA">
        <w:rPr>
          <w:b/>
          <w:bCs/>
        </w:rPr>
        <w:t xml:space="preserve"> intrinsic environmental limitation on injection rates, </w:t>
      </w:r>
      <w:r w:rsidR="00821CAA" w:rsidRPr="009901FA">
        <w:t xml:space="preserve">making it a potentially high-throughput solution in </w:t>
      </w:r>
      <w:r w:rsidR="00B324E3" w:rsidRPr="009901FA">
        <w:rPr>
          <w:bCs/>
        </w:rPr>
        <w:t xml:space="preserve">geologically </w:t>
      </w:r>
      <w:r w:rsidR="00821CAA" w:rsidRPr="009901FA">
        <w:t>suitable locations.</w:t>
      </w:r>
      <w:r w:rsidR="00982825" w:rsidRPr="009901FA">
        <w:t xml:space="preserve"> </w:t>
      </w:r>
      <w:r w:rsidR="00B324E3" w:rsidRPr="009901FA">
        <w:rPr>
          <w:bCs/>
        </w:rPr>
        <w:t xml:space="preserve">By contrast, </w:t>
      </w:r>
      <w:r w:rsidR="00522A0F" w:rsidRPr="009901FA">
        <w:t xml:space="preserve">sedimentary storage </w:t>
      </w:r>
      <w:r w:rsidR="00B324E3" w:rsidRPr="009901FA">
        <w:rPr>
          <w:bCs/>
        </w:rPr>
        <w:t xml:space="preserve">systems such as </w:t>
      </w:r>
      <w:r w:rsidR="00522A0F" w:rsidRPr="009901FA">
        <w:t>saline aquifers</w:t>
      </w:r>
      <w:r w:rsidR="00B324E3" w:rsidRPr="009901FA">
        <w:rPr>
          <w:bCs/>
        </w:rPr>
        <w:t xml:space="preserve"> or</w:t>
      </w:r>
      <w:r w:rsidR="00522A0F" w:rsidRPr="009901FA">
        <w:t xml:space="preserve"> depleted oil and gas </w:t>
      </w:r>
      <w:r w:rsidR="00B324E3" w:rsidRPr="009901FA">
        <w:rPr>
          <w:bCs/>
        </w:rPr>
        <w:t>fields</w:t>
      </w:r>
      <w:r w:rsidR="00522A0F" w:rsidRPr="009901FA">
        <w:t xml:space="preserve"> are constrained by pressure build-up, caprock integrity</w:t>
      </w:r>
      <w:r w:rsidR="00B324E3" w:rsidRPr="009901FA">
        <w:rPr>
          <w:bCs/>
        </w:rPr>
        <w:t xml:space="preserve"> limits</w:t>
      </w:r>
      <w:r w:rsidR="00522A0F" w:rsidRPr="009901FA">
        <w:t xml:space="preserve">, and induced seismicity risks. </w:t>
      </w:r>
      <w:r w:rsidR="00B324E3" w:rsidRPr="009901FA">
        <w:rPr>
          <w:bCs/>
        </w:rPr>
        <w:t>These factors require</w:t>
      </w:r>
      <w:r w:rsidR="00522A0F" w:rsidRPr="009901FA">
        <w:t xml:space="preserve"> complex reservoir </w:t>
      </w:r>
      <w:r w:rsidR="00910A41" w:rsidRPr="009901FA">
        <w:rPr>
          <w:bCs/>
        </w:rPr>
        <w:t>modelling</w:t>
      </w:r>
      <w:r w:rsidR="00522A0F" w:rsidRPr="009901FA">
        <w:t xml:space="preserve"> and pressure management strategies</w:t>
      </w:r>
      <w:r w:rsidR="00B324E3" w:rsidRPr="009901FA">
        <w:rPr>
          <w:bCs/>
        </w:rPr>
        <w:t xml:space="preserve"> to avoid leakage or damage. Mineralisation avoids these issues: the CO</w:t>
      </w:r>
      <w:r w:rsidR="00B324E3" w:rsidRPr="00A247A6">
        <w:rPr>
          <w:rFonts w:ascii="Cambria Math" w:hAnsi="Cambria Math" w:cs="Cambria Math"/>
          <w:bCs/>
        </w:rPr>
        <w:t>₂</w:t>
      </w:r>
      <w:r w:rsidR="00B324E3" w:rsidRPr="009901FA">
        <w:rPr>
          <w:bCs/>
        </w:rPr>
        <w:t xml:space="preserve"> reacts rapidly with host rock, forming stable carbonates and eliminating pressure buildup, which allows for more continuous and potentially higher injection rates.</w:t>
      </w:r>
    </w:p>
    <w:p w14:paraId="70AF13CF" w14:textId="0C5BFDED" w:rsidR="002D791C" w:rsidRPr="009901FA" w:rsidRDefault="00DE2225" w:rsidP="00C759CB">
      <w:pPr>
        <w:rPr>
          <w:b/>
        </w:rPr>
      </w:pPr>
      <w:r w:rsidRPr="009901FA">
        <w:rPr>
          <w:b/>
        </w:rPr>
        <w:t>However, in situ mineralisation is currently more expensive than sedimentary storage, in part due to limited infrastructure maturity, site development costs, and the need for CO</w:t>
      </w:r>
      <w:r w:rsidRPr="00A247A6">
        <w:rPr>
          <w:rFonts w:ascii="Cambria Math" w:hAnsi="Cambria Math" w:cs="Cambria Math"/>
          <w:b/>
        </w:rPr>
        <w:t>₂</w:t>
      </w:r>
      <w:r w:rsidRPr="009901FA">
        <w:rPr>
          <w:b/>
        </w:rPr>
        <w:t xml:space="preserve"> pre-conditioning</w:t>
      </w:r>
      <w:r w:rsidRPr="009901FA">
        <w:rPr>
          <w:bCs/>
        </w:rPr>
        <w:t xml:space="preserve"> (such as pressurization or transport to remote basaltic regions). That said, costs may come down over time through process integration with industrial emitters, co-location with renewable energy, and scaling of successful demonstration projects. In the longer term, mineralisation’s appeal may lie less in near-term cost competitiveness and more in its potential to simplify long-term monitoring, increase geographic storage options, and address public acceptance barriers in jurisdictions where traditional storage faces opposition or regulatory inertia.</w:t>
      </w:r>
    </w:p>
    <w:p w14:paraId="5E0C2757" w14:textId="47E995FB" w:rsidR="004B762D" w:rsidRPr="009901FA" w:rsidRDefault="00357B9A" w:rsidP="00C759CB">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Barriers and Enablers</w:t>
      </w:r>
    </w:p>
    <w:p w14:paraId="50848BF9" w14:textId="77777777" w:rsidR="00C942DD" w:rsidRPr="009901FA" w:rsidRDefault="00256721" w:rsidP="00AC3149">
      <w:r w:rsidRPr="009901FA">
        <w:rPr>
          <w:b/>
        </w:rPr>
        <w:t xml:space="preserve">The most significant </w:t>
      </w:r>
      <w:r w:rsidR="00810B21" w:rsidRPr="009901FA">
        <w:rPr>
          <w:b/>
        </w:rPr>
        <w:t xml:space="preserve">barrier </w:t>
      </w:r>
      <w:r w:rsidR="00AC3149" w:rsidRPr="009901FA">
        <w:rPr>
          <w:b/>
          <w:bCs/>
        </w:rPr>
        <w:t>to widespread deployment</w:t>
      </w:r>
      <w:r w:rsidR="00810B21" w:rsidRPr="009901FA">
        <w:rPr>
          <w:b/>
          <w:bCs/>
        </w:rPr>
        <w:t xml:space="preserve"> </w:t>
      </w:r>
      <w:r w:rsidR="00810B21" w:rsidRPr="009901FA">
        <w:rPr>
          <w:b/>
        </w:rPr>
        <w:t>faced</w:t>
      </w:r>
      <w:r w:rsidR="00602369" w:rsidRPr="009901FA">
        <w:rPr>
          <w:b/>
        </w:rPr>
        <w:t xml:space="preserve"> by in situ CO2 miner</w:t>
      </w:r>
      <w:r w:rsidR="00DA27F4" w:rsidRPr="009901FA">
        <w:rPr>
          <w:b/>
        </w:rPr>
        <w:t>alisation</w:t>
      </w:r>
      <w:r w:rsidR="00DA27F4" w:rsidRPr="009901FA">
        <w:t xml:space="preserve"> </w:t>
      </w:r>
      <w:r w:rsidR="00AC3149" w:rsidRPr="009901FA">
        <w:rPr>
          <w:b/>
          <w:bCs/>
        </w:rPr>
        <w:t>is its geological constraint.</w:t>
      </w:r>
      <w:r w:rsidR="003D02B2" w:rsidRPr="009901FA">
        <w:rPr>
          <w:b/>
          <w:bCs/>
        </w:rPr>
        <w:t xml:space="preserve"> </w:t>
      </w:r>
      <w:r w:rsidR="003D02B2" w:rsidRPr="009901FA">
        <w:t>Suitable rock types are not uniformly distributed</w:t>
      </w:r>
      <w:r w:rsidR="002F7233" w:rsidRPr="009901FA">
        <w:t xml:space="preserve"> across all regions and are</w:t>
      </w:r>
      <w:r w:rsidR="003D02B2" w:rsidRPr="009901FA">
        <w:t xml:space="preserve"> often located far from major industrial emission sources. This geographical mismatch raises infrastructure and transport challenges, potentially limiting the number of viable project sites</w:t>
      </w:r>
      <w:r w:rsidR="00B96061" w:rsidRPr="009901FA">
        <w:t xml:space="preserve"> and increasing overall CO</w:t>
      </w:r>
      <w:r w:rsidR="00B96061" w:rsidRPr="009901FA">
        <w:rPr>
          <w:vertAlign w:val="subscript"/>
        </w:rPr>
        <w:t xml:space="preserve">2 </w:t>
      </w:r>
      <w:r w:rsidR="00B96061" w:rsidRPr="009901FA">
        <w:t>transport costs.</w:t>
      </w:r>
    </w:p>
    <w:p w14:paraId="37808497" w14:textId="5A1E86B7" w:rsidR="005C172B" w:rsidRPr="009901FA" w:rsidRDefault="00C942DD" w:rsidP="00AC3149">
      <w:r w:rsidRPr="009901FA">
        <w:rPr>
          <w:b/>
          <w:bCs/>
        </w:rPr>
        <w:t>Another barrier is the</w:t>
      </w:r>
      <w:r w:rsidRPr="009901FA">
        <w:t xml:space="preserve"> </w:t>
      </w:r>
      <w:r w:rsidRPr="009901FA">
        <w:rPr>
          <w:b/>
          <w:bCs/>
        </w:rPr>
        <w:t>lack of existing infrastructure and regulatory frameworks</w:t>
      </w:r>
      <w:r w:rsidRPr="009901FA">
        <w:t>. Unlike conventional CO</w:t>
      </w:r>
      <w:r w:rsidRPr="00A247A6">
        <w:rPr>
          <w:rFonts w:ascii="Cambria Math" w:hAnsi="Cambria Math" w:cs="Cambria Math"/>
        </w:rPr>
        <w:t>₂</w:t>
      </w:r>
      <w:r w:rsidRPr="009901FA">
        <w:t xml:space="preserve"> storage in depleted oil and gas reservoirs, mineralisation lacks a mature network of pipelines, wells, and monitoring systems. Moreover, permitting pathways and standards for this emerging approach are still being defined in many jurisdictions, </w:t>
      </w:r>
      <w:r w:rsidR="00B173C4" w:rsidRPr="009901FA">
        <w:t>which may slow</w:t>
      </w:r>
      <w:r w:rsidRPr="009901FA">
        <w:t xml:space="preserve"> project development</w:t>
      </w:r>
      <w:r w:rsidR="00B173C4" w:rsidRPr="009901FA">
        <w:t xml:space="preserve"> and </w:t>
      </w:r>
      <w:r w:rsidR="00BE0F65" w:rsidRPr="009901FA">
        <w:t>final investment decisions</w:t>
      </w:r>
      <w:r w:rsidRPr="009901FA">
        <w:t>.</w:t>
      </w:r>
      <w:r w:rsidR="00396C52" w:rsidRPr="009901FA">
        <w:t xml:space="preserve"> </w:t>
      </w:r>
      <w:r w:rsidR="0009213C" w:rsidRPr="009901FA">
        <w:t>However</w:t>
      </w:r>
      <w:r w:rsidR="00C23193" w:rsidRPr="009901FA">
        <w:t>,</w:t>
      </w:r>
      <w:r w:rsidR="000D2822" w:rsidRPr="009901FA">
        <w:t xml:space="preserve"> there is</w:t>
      </w:r>
      <w:r w:rsidR="006B70CB" w:rsidRPr="009901FA">
        <w:t xml:space="preserve"> growing</w:t>
      </w:r>
      <w:r w:rsidR="000D2822" w:rsidRPr="009901FA">
        <w:t xml:space="preserve"> momentum in some regions</w:t>
      </w:r>
      <w:r w:rsidR="00C23193" w:rsidRPr="009901FA">
        <w:t xml:space="preserve"> </w:t>
      </w:r>
      <w:r w:rsidR="007403CD" w:rsidRPr="009901FA">
        <w:t>such as Europe</w:t>
      </w:r>
      <w:r w:rsidR="006B70CB" w:rsidRPr="009901FA">
        <w:t>. In 2025,</w:t>
      </w:r>
      <w:r w:rsidR="00C23193" w:rsidRPr="009901FA">
        <w:t xml:space="preserve"> the first permit for </w:t>
      </w:r>
      <w:r w:rsidR="007403CD" w:rsidRPr="009901FA">
        <w:t xml:space="preserve">large-scale </w:t>
      </w:r>
      <w:r w:rsidR="00C23193" w:rsidRPr="009901FA">
        <w:t xml:space="preserve">onshore </w:t>
      </w:r>
      <w:r w:rsidR="006B70CB" w:rsidRPr="009901FA">
        <w:t>CO</w:t>
      </w:r>
      <w:r w:rsidR="006B70CB" w:rsidRPr="00A247A6">
        <w:rPr>
          <w:rFonts w:ascii="Cambria Math" w:hAnsi="Cambria Math" w:cs="Cambria Math"/>
        </w:rPr>
        <w:t>₂</w:t>
      </w:r>
      <w:r w:rsidR="00C23193" w:rsidRPr="009901FA">
        <w:t xml:space="preserve"> </w:t>
      </w:r>
      <w:r w:rsidR="007403CD" w:rsidRPr="009901FA">
        <w:t xml:space="preserve">mineralisation was awarded to Carbfix </w:t>
      </w:r>
      <w:r w:rsidR="00567BCE" w:rsidRPr="009901FA">
        <w:t>under the EU</w:t>
      </w:r>
      <w:r w:rsidR="00567BCE" w:rsidRPr="009901FA">
        <w:rPr>
          <w:rFonts w:cs="Arial Nova"/>
        </w:rPr>
        <w:t>’</w:t>
      </w:r>
      <w:r w:rsidR="00567BCE" w:rsidRPr="009901FA">
        <w:t>s CCS Directive</w:t>
      </w:r>
      <w:r w:rsidR="006B70CB" w:rsidRPr="009901FA">
        <w:t>. While</w:t>
      </w:r>
      <w:r w:rsidR="00567BCE" w:rsidRPr="009901FA">
        <w:t xml:space="preserve"> the </w:t>
      </w:r>
      <w:r w:rsidR="006B70CB" w:rsidRPr="009901FA">
        <w:t xml:space="preserve">permitted storage volume is modest </w:t>
      </w:r>
      <w:r w:rsidR="006B70CB" w:rsidRPr="009901FA">
        <w:rPr>
          <w:rFonts w:cs="Arial Nova"/>
        </w:rPr>
        <w:t>(</w:t>
      </w:r>
      <w:r w:rsidR="006B70CB" w:rsidRPr="009901FA">
        <w:t xml:space="preserve">approximately </w:t>
      </w:r>
      <w:r w:rsidR="00567BCE" w:rsidRPr="009901FA">
        <w:t xml:space="preserve">106 </w:t>
      </w:r>
      <w:r w:rsidR="006B70CB" w:rsidRPr="009901FA">
        <w:t>ktCO</w:t>
      </w:r>
      <w:r w:rsidR="006B70CB" w:rsidRPr="00A247A6">
        <w:rPr>
          <w:rFonts w:ascii="Cambria Math" w:hAnsi="Cambria Math" w:cs="Cambria Math"/>
        </w:rPr>
        <w:t>₂</w:t>
      </w:r>
      <w:r w:rsidR="00567BCE" w:rsidRPr="009901FA">
        <w:t xml:space="preserve"> per year</w:t>
      </w:r>
      <w:r w:rsidR="006B70CB" w:rsidRPr="009901FA">
        <w:t xml:space="preserve">, </w:t>
      </w:r>
      <w:r w:rsidR="000C3642" w:rsidRPr="009901FA">
        <w:t>totalling</w:t>
      </w:r>
      <w:r w:rsidR="00412B93" w:rsidRPr="009901FA">
        <w:t xml:space="preserve"> 3.2 </w:t>
      </w:r>
      <w:r w:rsidR="006B70CB" w:rsidRPr="009901FA">
        <w:t>MtCO</w:t>
      </w:r>
      <w:r w:rsidR="006B70CB" w:rsidRPr="00A247A6">
        <w:rPr>
          <w:rFonts w:ascii="Cambria Math" w:hAnsi="Cambria Math" w:cs="Cambria Math"/>
        </w:rPr>
        <w:t>₂</w:t>
      </w:r>
      <w:r w:rsidR="00EC0393" w:rsidRPr="009901FA">
        <w:t xml:space="preserve"> over three decades</w:t>
      </w:r>
      <w:r w:rsidR="00C516BB" w:rsidRPr="009901FA">
        <w:t xml:space="preserve">) </w:t>
      </w:r>
      <w:r w:rsidR="006B70CB" w:rsidRPr="009901FA">
        <w:t xml:space="preserve">the project represents a significant regulatory milestone. It establishes a permitting </w:t>
      </w:r>
      <w:r w:rsidR="006B70CB" w:rsidRPr="009901FA">
        <w:lastRenderedPageBreak/>
        <w:t>pathway for in situ mineralisation in the EU and may pave the way for larger-scale deployments in the future</w:t>
      </w:r>
      <w:r w:rsidR="00EC0393" w:rsidRPr="009901FA">
        <w:t>.</w:t>
      </w:r>
      <w:r w:rsidR="00E32FEF" w:rsidRPr="009901FA">
        <w:rPr>
          <w:rStyle w:val="FootnoteReference"/>
        </w:rPr>
        <w:footnoteReference w:id="96"/>
      </w:r>
    </w:p>
    <w:p w14:paraId="3E62B941" w14:textId="40918C35" w:rsidR="0057000F" w:rsidRPr="009901FA" w:rsidRDefault="007765C5" w:rsidP="00AC3149">
      <w:r w:rsidRPr="009901FA">
        <w:rPr>
          <w:b/>
          <w:bCs/>
        </w:rPr>
        <w:t xml:space="preserve">Despite these </w:t>
      </w:r>
      <w:r w:rsidR="00945AE9" w:rsidRPr="009901FA">
        <w:rPr>
          <w:b/>
          <w:bCs/>
        </w:rPr>
        <w:t>challenges,</w:t>
      </w:r>
      <w:r w:rsidR="00A7649E" w:rsidRPr="009901FA">
        <w:rPr>
          <w:b/>
          <w:bCs/>
        </w:rPr>
        <w:t xml:space="preserve"> an important enabler that could accelerate deployment of in situ mineralisation is the growing emphasis on CO</w:t>
      </w:r>
      <w:r w:rsidR="00A7649E" w:rsidRPr="009901FA">
        <w:rPr>
          <w:b/>
          <w:bCs/>
          <w:vertAlign w:val="subscript"/>
        </w:rPr>
        <w:t>2</w:t>
      </w:r>
      <w:r w:rsidR="00A7649E" w:rsidRPr="009901FA">
        <w:rPr>
          <w:b/>
          <w:bCs/>
        </w:rPr>
        <w:t xml:space="preserve"> storage durability and permanence.</w:t>
      </w:r>
      <w:r w:rsidR="00A7649E" w:rsidRPr="009901FA">
        <w:t xml:space="preserve"> </w:t>
      </w:r>
      <w:r w:rsidR="0057000F" w:rsidRPr="009901FA">
        <w:t>Governments and regulators are inc</w:t>
      </w:r>
      <w:r w:rsidR="001D11D5" w:rsidRPr="009901FA">
        <w:t>reasingly embedd</w:t>
      </w:r>
      <w:r w:rsidR="008F1F39" w:rsidRPr="009901FA">
        <w:t xml:space="preserve">ing long-term durability as a </w:t>
      </w:r>
      <w:r w:rsidR="002C3548" w:rsidRPr="009901FA">
        <w:t xml:space="preserve">criterion in carbon removal schemes. For instance, the UK is considering integrating carbon removals </w:t>
      </w:r>
      <w:r w:rsidR="00BC13FC" w:rsidRPr="009901FA">
        <w:t>into its E</w:t>
      </w:r>
      <w:r w:rsidR="008A29B4" w:rsidRPr="009901FA">
        <w:t>missions Trading Scheme</w:t>
      </w:r>
      <w:r w:rsidR="008B3BB9" w:rsidRPr="009901FA">
        <w:rPr>
          <w:rStyle w:val="FootnoteReference"/>
        </w:rPr>
        <w:footnoteReference w:id="97"/>
      </w:r>
      <w:r w:rsidR="0081620C" w:rsidRPr="009901FA">
        <w:t xml:space="preserve">, provided </w:t>
      </w:r>
      <w:r w:rsidR="006A22B1" w:rsidRPr="009901FA">
        <w:t>permanence of carbon storage can be verifiably measured.</w:t>
      </w:r>
      <w:r w:rsidR="00DA5C71" w:rsidRPr="009901FA">
        <w:t xml:space="preserve"> Similarly, </w:t>
      </w:r>
      <w:r w:rsidR="008A29B4" w:rsidRPr="009901FA">
        <w:t>the Integrity Council for the Voluntary Carbon Market has launched a work programme focused on permanence, proposing industry-wide liability mechanisms to ensure removal permanence over decades.</w:t>
      </w:r>
      <w:r w:rsidR="00E92CEA" w:rsidRPr="009901FA">
        <w:rPr>
          <w:rStyle w:val="FootnoteReference"/>
        </w:rPr>
        <w:footnoteReference w:id="98"/>
      </w:r>
      <w:r w:rsidR="006B5229" w:rsidRPr="009901FA">
        <w:t xml:space="preserve"> These policy and market shifts</w:t>
      </w:r>
      <w:r w:rsidR="00A13CEF" w:rsidRPr="009901FA">
        <w:t xml:space="preserve"> </w:t>
      </w:r>
      <w:r w:rsidR="00EE7342" w:rsidRPr="009901FA">
        <w:t xml:space="preserve">may </w:t>
      </w:r>
      <w:r w:rsidR="00A41E0F" w:rsidRPr="009901FA">
        <w:t xml:space="preserve">lend preference to </w:t>
      </w:r>
      <w:r w:rsidR="00E83EA3" w:rsidRPr="009901FA">
        <w:t>CO</w:t>
      </w:r>
      <w:r w:rsidR="00E83EA3" w:rsidRPr="009901FA">
        <w:rPr>
          <w:vertAlign w:val="subscript"/>
        </w:rPr>
        <w:t>2</w:t>
      </w:r>
      <w:r w:rsidR="00E83EA3" w:rsidRPr="009901FA">
        <w:t xml:space="preserve"> storage technologies such as in situ </w:t>
      </w:r>
      <w:r w:rsidR="00E707AC" w:rsidRPr="009901FA">
        <w:t>mineralisation</w:t>
      </w:r>
      <w:r w:rsidR="003621A6" w:rsidRPr="009901FA">
        <w:t xml:space="preserve"> give</w:t>
      </w:r>
      <w:r w:rsidR="00135C53" w:rsidRPr="009901FA">
        <w:t xml:space="preserve">n its </w:t>
      </w:r>
      <w:r w:rsidR="00E707AC" w:rsidRPr="009901FA">
        <w:t>demonstrable permanence of CO</w:t>
      </w:r>
      <w:r w:rsidR="00E707AC" w:rsidRPr="009901FA">
        <w:rPr>
          <w:vertAlign w:val="subscript"/>
        </w:rPr>
        <w:t>2</w:t>
      </w:r>
      <w:r w:rsidR="00E707AC" w:rsidRPr="009901FA">
        <w:t xml:space="preserve"> in solid form.</w:t>
      </w:r>
    </w:p>
    <w:p w14:paraId="5DD67DF0" w14:textId="6EB345D3" w:rsidR="00CD6760" w:rsidRPr="009901FA" w:rsidRDefault="00CD6760" w:rsidP="00AC3149">
      <w:r w:rsidRPr="009901FA">
        <w:rPr>
          <w:b/>
          <w:bCs/>
        </w:rPr>
        <w:t xml:space="preserve">Another key enabler </w:t>
      </w:r>
      <w:r w:rsidR="00DD58D1" w:rsidRPr="009901FA">
        <w:rPr>
          <w:b/>
          <w:bCs/>
        </w:rPr>
        <w:t xml:space="preserve">could be the </w:t>
      </w:r>
      <w:r w:rsidR="00F80C8A" w:rsidRPr="009901FA">
        <w:rPr>
          <w:b/>
          <w:bCs/>
        </w:rPr>
        <w:t>co-location of DAC systems with on</w:t>
      </w:r>
      <w:r w:rsidR="00ED0102" w:rsidRPr="009901FA">
        <w:rPr>
          <w:b/>
          <w:bCs/>
        </w:rPr>
        <w:t xml:space="preserve">-land </w:t>
      </w:r>
      <w:r w:rsidR="00C62A8E" w:rsidRPr="009901FA">
        <w:rPr>
          <w:b/>
          <w:bCs/>
        </w:rPr>
        <w:t>CO</w:t>
      </w:r>
      <w:r w:rsidR="00C62A8E" w:rsidRPr="009901FA">
        <w:rPr>
          <w:b/>
          <w:bCs/>
          <w:vertAlign w:val="subscript"/>
        </w:rPr>
        <w:t>2</w:t>
      </w:r>
      <w:r w:rsidR="00C62A8E" w:rsidRPr="009901FA">
        <w:rPr>
          <w:b/>
          <w:bCs/>
        </w:rPr>
        <w:t xml:space="preserve"> mineralisation geological formations. </w:t>
      </w:r>
      <w:r w:rsidR="00954825" w:rsidRPr="009901FA">
        <w:t>Placing DAC units near basalt or ultramafic rock allows for modular, scalable systems without reliance on offshore infrastructure. However, this model depends not only on suitable geology but also on abundant, low-cost renewable energy, given DAC’s high energy requirements.</w:t>
      </w:r>
      <w:r w:rsidR="000A33BC" w:rsidRPr="009901FA">
        <w:t xml:space="preserve"> </w:t>
      </w:r>
      <w:r w:rsidR="00954825" w:rsidRPr="009901FA">
        <w:t xml:space="preserve">Emerging strategies </w:t>
      </w:r>
      <w:r w:rsidR="00894634" w:rsidRPr="009901FA">
        <w:t xml:space="preserve">should </w:t>
      </w:r>
      <w:r w:rsidR="00954825" w:rsidRPr="009901FA">
        <w:t xml:space="preserve">focus on coastal locations where onland basalt formations coincide with strong renewable resources. This setup may offer a pathway to low-cost, permanent carbon removal, particularly as </w:t>
      </w:r>
      <w:r w:rsidR="00894634" w:rsidRPr="009901FA">
        <w:t>o-CDR</w:t>
      </w:r>
      <w:r w:rsidR="00954825" w:rsidRPr="009901FA">
        <w:t xml:space="preserve"> frameworks evolve. The Carbfix–Climeworks project in Iceland illustrates this model, combining geothermal-powered DAC with nearby basalt storage.</w:t>
      </w:r>
    </w:p>
    <w:p w14:paraId="450A71FF" w14:textId="77777777" w:rsidR="00B02949" w:rsidRPr="009901FA" w:rsidRDefault="00B02949" w:rsidP="00AC3149"/>
    <w:p w14:paraId="7028113B" w14:textId="37BBE7BA" w:rsidR="00B02949" w:rsidRPr="009901FA" w:rsidRDefault="005C4C40" w:rsidP="00B02949">
      <w:pPr>
        <w:pStyle w:val="Heading3"/>
        <w:rPr>
          <w:vertAlign w:val="subscript"/>
        </w:rPr>
      </w:pPr>
      <w:bookmarkStart w:id="152" w:name="_Toc205392475"/>
      <w:bookmarkStart w:id="153" w:name="_Toc205554244"/>
      <w:r>
        <w:t>5</w:t>
      </w:r>
      <w:r w:rsidR="00B02949" w:rsidRPr="009901FA">
        <w:t>.2 Managing solid carbon</w:t>
      </w:r>
      <w:bookmarkEnd w:id="152"/>
      <w:bookmarkEnd w:id="153"/>
    </w:p>
    <w:p w14:paraId="47DFE332" w14:textId="77777777" w:rsidR="00B02949" w:rsidRPr="009901FA" w:rsidRDefault="00B02949" w:rsidP="00AC3149">
      <w:pPr>
        <w:rPr>
          <w:b/>
          <w:bCs/>
        </w:rPr>
      </w:pPr>
    </w:p>
    <w:p w14:paraId="09AEEB6E" w14:textId="753938D6" w:rsidR="005A443C" w:rsidRPr="009901FA" w:rsidRDefault="00697922" w:rsidP="00AC3149">
      <w:r w:rsidRPr="009901FA">
        <w:rPr>
          <w:b/>
        </w:rPr>
        <w:t>For</w:t>
      </w:r>
      <w:r w:rsidR="005A443C" w:rsidRPr="009901FA">
        <w:rPr>
          <w:b/>
        </w:rPr>
        <w:t xml:space="preserve"> the </w:t>
      </w:r>
      <w:r w:rsidR="00CE3711" w:rsidRPr="009901FA">
        <w:rPr>
          <w:b/>
        </w:rPr>
        <w:t xml:space="preserve">solid </w:t>
      </w:r>
      <w:r w:rsidR="005A443C" w:rsidRPr="009901FA">
        <w:rPr>
          <w:b/>
        </w:rPr>
        <w:t>carbon contained in physical products, notably plastics</w:t>
      </w:r>
      <w:r w:rsidR="005A443C" w:rsidRPr="009901FA">
        <w:rPr>
          <w:b/>
          <w:bCs/>
        </w:rPr>
        <w:t>,</w:t>
      </w:r>
      <w:r w:rsidR="00CF29DD" w:rsidRPr="009901FA">
        <w:rPr>
          <w:b/>
          <w:bCs/>
        </w:rPr>
        <w:t xml:space="preserve"> </w:t>
      </w:r>
      <w:r w:rsidR="00AB43D3" w:rsidRPr="009901FA">
        <w:rPr>
          <w:b/>
          <w:bCs/>
        </w:rPr>
        <w:t xml:space="preserve">recycling technologies </w:t>
      </w:r>
      <w:r w:rsidR="00380FCE" w:rsidRPr="009901FA">
        <w:rPr>
          <w:b/>
          <w:bCs/>
        </w:rPr>
        <w:t xml:space="preserve">alone </w:t>
      </w:r>
      <w:r w:rsidR="00AB43D3" w:rsidRPr="009901FA">
        <w:rPr>
          <w:b/>
          <w:bCs/>
        </w:rPr>
        <w:t xml:space="preserve">will be </w:t>
      </w:r>
      <w:r w:rsidR="00380FCE" w:rsidRPr="009901FA">
        <w:rPr>
          <w:b/>
          <w:bCs/>
        </w:rPr>
        <w:t xml:space="preserve">unable to manage </w:t>
      </w:r>
      <w:r w:rsidR="00C778A0" w:rsidRPr="009901FA">
        <w:rPr>
          <w:b/>
          <w:bCs/>
        </w:rPr>
        <w:t>carbon at</w:t>
      </w:r>
      <w:r w:rsidR="005A6B6B" w:rsidRPr="009901FA">
        <w:rPr>
          <w:b/>
          <w:bCs/>
        </w:rPr>
        <w:t xml:space="preserve"> end-of-life</w:t>
      </w:r>
      <w:r w:rsidR="000D46CE" w:rsidRPr="009901FA">
        <w:rPr>
          <w:b/>
          <w:bCs/>
        </w:rPr>
        <w:t xml:space="preserve">. </w:t>
      </w:r>
      <w:r w:rsidR="00131668" w:rsidRPr="009901FA">
        <w:fldChar w:fldCharType="begin"/>
      </w:r>
      <w:r w:rsidR="00131668" w:rsidRPr="009901FA">
        <w:rPr>
          <w:b/>
          <w:bCs/>
        </w:rPr>
        <w:instrText xml:space="preserve"> REF _Ref203750300 \h </w:instrText>
      </w:r>
      <w:r w:rsidR="00A247A6">
        <w:instrText xml:space="preserve"> \* MERGEFORMAT </w:instrText>
      </w:r>
      <w:r w:rsidR="00131668" w:rsidRPr="009901FA">
        <w:fldChar w:fldCharType="separate"/>
      </w:r>
      <w:r w:rsidR="00DE378F" w:rsidRPr="009901FA">
        <w:t xml:space="preserve">Exhibit </w:t>
      </w:r>
      <w:r w:rsidR="00327B07">
        <w:rPr>
          <w:noProof/>
        </w:rPr>
        <w:t>5</w:t>
      </w:r>
      <w:r w:rsidR="00DE378F" w:rsidRPr="009901FA">
        <w:t>.</w:t>
      </w:r>
      <w:r w:rsidR="00DE378F" w:rsidRPr="009901FA">
        <w:rPr>
          <w:noProof/>
        </w:rPr>
        <w:t>5</w:t>
      </w:r>
      <w:r w:rsidR="00131668" w:rsidRPr="009901FA">
        <w:fldChar w:fldCharType="end"/>
      </w:r>
      <w:r w:rsidR="00131668" w:rsidRPr="009901FA">
        <w:t xml:space="preserve"> </w:t>
      </w:r>
      <w:r w:rsidR="00C976D0" w:rsidRPr="009901FA">
        <w:t xml:space="preserve">showcases </w:t>
      </w:r>
      <w:r w:rsidR="004E630F" w:rsidRPr="009901FA">
        <w:t>a b</w:t>
      </w:r>
      <w:r w:rsidR="00737172" w:rsidRPr="009901FA">
        <w:t>alanced scenario for the</w:t>
      </w:r>
      <w:r w:rsidR="00C976D0" w:rsidRPr="009901FA">
        <w:t xml:space="preserve"> end-of-life</w:t>
      </w:r>
      <w:r w:rsidR="00D84624" w:rsidRPr="009901FA">
        <w:t xml:space="preserve"> </w:t>
      </w:r>
      <w:r w:rsidR="00737172" w:rsidRPr="009901FA">
        <w:t>management</w:t>
      </w:r>
      <w:r w:rsidR="00D84624" w:rsidRPr="009901FA">
        <w:t xml:space="preserve"> of plastic waste in 2040</w:t>
      </w:r>
      <w:r w:rsidR="00F263D7" w:rsidRPr="009901FA">
        <w:t>, incorporating circular economy solutions (e.g. reduced demand, recycling)</w:t>
      </w:r>
      <w:r w:rsidR="002415D3" w:rsidRPr="009901FA">
        <w:t xml:space="preserve"> and linear </w:t>
      </w:r>
      <w:r w:rsidR="00BC307F" w:rsidRPr="009901FA">
        <w:t>waste management practices (i.e. landfill or incineration).</w:t>
      </w:r>
      <w:r w:rsidR="002E799F" w:rsidRPr="009901FA">
        <w:t xml:space="preserve"> Under this </w:t>
      </w:r>
      <w:r w:rsidR="002E799F" w:rsidRPr="009901FA">
        <w:lastRenderedPageBreak/>
        <w:t xml:space="preserve">scenario, </w:t>
      </w:r>
      <w:r w:rsidR="00E86827" w:rsidRPr="009901FA">
        <w:t>a</w:t>
      </w:r>
      <w:r w:rsidR="00075BA2" w:rsidRPr="009901FA">
        <w:t xml:space="preserve"> significant amount, i.e.</w:t>
      </w:r>
      <w:r w:rsidR="002E799F" w:rsidRPr="009901FA">
        <w:t xml:space="preserve"> 40% of </w:t>
      </w:r>
      <w:r w:rsidR="00C05E60" w:rsidRPr="009901FA">
        <w:t>global</w:t>
      </w:r>
      <w:r w:rsidR="002E799F" w:rsidRPr="009901FA">
        <w:t xml:space="preserve"> </w:t>
      </w:r>
      <w:r w:rsidR="006F2CB7" w:rsidRPr="009901FA">
        <w:t xml:space="preserve">plastic waste </w:t>
      </w:r>
      <w:r w:rsidR="00F47673" w:rsidRPr="009901FA">
        <w:t>(</w:t>
      </w:r>
      <w:r w:rsidR="00C05E60" w:rsidRPr="009901FA">
        <w:t>181 million tonnes)</w:t>
      </w:r>
      <w:r w:rsidR="00075BA2" w:rsidRPr="009901FA">
        <w:t>,</w:t>
      </w:r>
      <w:r w:rsidR="00C05E60" w:rsidRPr="009901FA">
        <w:t xml:space="preserve"> </w:t>
      </w:r>
      <w:r w:rsidR="006F2CB7" w:rsidRPr="009901FA">
        <w:t xml:space="preserve">could </w:t>
      </w:r>
      <w:r w:rsidR="00075BA2" w:rsidRPr="009901FA">
        <w:t xml:space="preserve">still </w:t>
      </w:r>
      <w:r w:rsidR="006F2CB7" w:rsidRPr="009901FA">
        <w:t>be sent to landfill</w:t>
      </w:r>
      <w:r w:rsidR="00075BA2" w:rsidRPr="009901FA">
        <w:t xml:space="preserve"> by 2040</w:t>
      </w:r>
      <w:r w:rsidR="006F2CB7" w:rsidRPr="009901FA">
        <w:t>.</w:t>
      </w:r>
    </w:p>
    <w:p w14:paraId="70FDC100" w14:textId="3955D1F1" w:rsidR="00131668" w:rsidRPr="009901FA" w:rsidRDefault="00131668" w:rsidP="00131668">
      <w:pPr>
        <w:pStyle w:val="Caption"/>
        <w:keepNext/>
      </w:pPr>
      <w:bookmarkStart w:id="154" w:name="_Ref203750300"/>
      <w:r w:rsidRPr="009901FA">
        <w:t xml:space="preserve">Exhibit </w:t>
      </w:r>
      <w:r w:rsidR="00327B07">
        <w:t>5</w:t>
      </w:r>
      <w:r w:rsidR="008725B4" w:rsidRPr="009901FA">
        <w:t>.</w:t>
      </w:r>
      <w:fldSimple w:instr=" SEQ Exhibit \* ARABIC \s 2 ">
        <w:r w:rsidR="00DE378F" w:rsidRPr="009901FA">
          <w:rPr>
            <w:noProof/>
          </w:rPr>
          <w:t>5</w:t>
        </w:r>
      </w:fldSimple>
      <w:bookmarkEnd w:id="154"/>
    </w:p>
    <w:p w14:paraId="3A69D533" w14:textId="77777777" w:rsidR="00DA13EB" w:rsidRPr="009901FA" w:rsidRDefault="006A350A" w:rsidP="002077F5">
      <w:pPr>
        <w:jc w:val="center"/>
      </w:pPr>
      <w:r w:rsidRPr="009901FA">
        <w:rPr>
          <w:noProof/>
        </w:rPr>
        <w:drawing>
          <wp:inline distT="0" distB="0" distL="0" distR="0" wp14:anchorId="62A2B28B" wp14:editId="712EB103">
            <wp:extent cx="4932086" cy="2733675"/>
            <wp:effectExtent l="0" t="0" r="1905" b="0"/>
            <wp:docPr id="1740433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433905" name="Picture 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4949287" cy="2743209"/>
                    </a:xfrm>
                    <a:prstGeom prst="rect">
                      <a:avLst/>
                    </a:prstGeom>
                  </pic:spPr>
                </pic:pic>
              </a:graphicData>
            </a:graphic>
          </wp:inline>
        </w:drawing>
      </w:r>
    </w:p>
    <w:p w14:paraId="5722CBB1" w14:textId="5A5157BA" w:rsidR="00DA13EB" w:rsidRPr="009901FA" w:rsidRDefault="005C4C40" w:rsidP="00BB07AA">
      <w:pPr>
        <w:pStyle w:val="Heading3"/>
        <w:ind w:firstLine="720"/>
      </w:pPr>
      <w:bookmarkStart w:id="155" w:name="_Toc205392476"/>
      <w:bookmarkStart w:id="156" w:name="_Toc205554245"/>
      <w:r>
        <w:t>5</w:t>
      </w:r>
      <w:r w:rsidR="00DA13EB" w:rsidRPr="009901FA">
        <w:t>.2.1 Existing solid carbon management</w:t>
      </w:r>
      <w:r w:rsidR="00301819" w:rsidRPr="009901FA">
        <w:t xml:space="preserve"> practices</w:t>
      </w:r>
      <w:bookmarkEnd w:id="155"/>
      <w:bookmarkEnd w:id="156"/>
    </w:p>
    <w:p w14:paraId="2E5001F2" w14:textId="183DCE9D" w:rsidR="00525F19" w:rsidRPr="009901FA" w:rsidRDefault="00525F19" w:rsidP="00525F19"/>
    <w:p w14:paraId="4E674FBB" w14:textId="672DD5F7" w:rsidR="00425404" w:rsidRPr="009901FA" w:rsidRDefault="00425404" w:rsidP="000E0EB1">
      <w:pPr>
        <w:pStyle w:val="BodyText"/>
      </w:pPr>
      <w:r w:rsidRPr="009901FA">
        <w:t xml:space="preserve">Landfill and incineration </w:t>
      </w:r>
      <w:r w:rsidRPr="009901FA">
        <w:rPr>
          <w:bCs/>
        </w:rPr>
        <w:t>are</w:t>
      </w:r>
      <w:r w:rsidR="00BA4361" w:rsidRPr="009901FA">
        <w:rPr>
          <w:bCs/>
        </w:rPr>
        <w:t xml:space="preserve"> the </w:t>
      </w:r>
      <w:r w:rsidR="001C3C80" w:rsidRPr="009901FA">
        <w:rPr>
          <w:bCs/>
        </w:rPr>
        <w:t>dominant</w:t>
      </w:r>
      <w:r w:rsidR="00BA4361" w:rsidRPr="009901FA">
        <w:rPr>
          <w:bCs/>
        </w:rPr>
        <w:t xml:space="preserve"> commercial technologies</w:t>
      </w:r>
      <w:r w:rsidR="00E96CFA" w:rsidRPr="009901FA">
        <w:rPr>
          <w:bCs/>
        </w:rPr>
        <w:t xml:space="preserve"> </w:t>
      </w:r>
      <w:r w:rsidR="00801531" w:rsidRPr="009901FA">
        <w:rPr>
          <w:bCs/>
        </w:rPr>
        <w:t>for managing</w:t>
      </w:r>
      <w:r w:rsidRPr="009901FA">
        <w:t xml:space="preserve"> plastic waste</w:t>
      </w:r>
      <w:r w:rsidR="00DA295E" w:rsidRPr="009901FA">
        <w:t xml:space="preserve"> and </w:t>
      </w:r>
      <w:r w:rsidR="00801531" w:rsidRPr="009901FA">
        <w:rPr>
          <w:bCs/>
        </w:rPr>
        <w:t xml:space="preserve">broader </w:t>
      </w:r>
      <w:r w:rsidR="00DA295E" w:rsidRPr="009901FA">
        <w:t xml:space="preserve">municipal solid waste </w:t>
      </w:r>
      <w:r w:rsidR="004435E2" w:rsidRPr="009901FA">
        <w:rPr>
          <w:bCs/>
        </w:rPr>
        <w:t xml:space="preserve">(MSW) </w:t>
      </w:r>
      <w:r w:rsidR="00801531" w:rsidRPr="009901FA">
        <w:rPr>
          <w:bCs/>
        </w:rPr>
        <w:t>streams that are not recycled</w:t>
      </w:r>
      <w:r w:rsidR="004435E2" w:rsidRPr="009901FA">
        <w:rPr>
          <w:bCs/>
        </w:rPr>
        <w:t>.</w:t>
      </w:r>
      <w:r w:rsidR="004E798A" w:rsidRPr="009901FA">
        <w:rPr>
          <w:bCs/>
        </w:rPr>
        <w:t xml:space="preserve"> </w:t>
      </w:r>
      <w:r w:rsidR="004E798A" w:rsidRPr="009901FA">
        <w:t xml:space="preserve">In </w:t>
      </w:r>
      <w:r w:rsidR="00206909" w:rsidRPr="009901FA">
        <w:t>developed regions,</w:t>
      </w:r>
      <w:r w:rsidR="00206909" w:rsidRPr="009901FA">
        <w:rPr>
          <w:bCs/>
        </w:rPr>
        <w:t xml:space="preserve"> </w:t>
      </w:r>
      <w:r w:rsidR="009E43BC" w:rsidRPr="009901FA">
        <w:t>managed</w:t>
      </w:r>
      <w:r w:rsidR="00BC0189" w:rsidRPr="009901FA">
        <w:t xml:space="preserve"> lan</w:t>
      </w:r>
      <w:r w:rsidR="00173784" w:rsidRPr="009901FA">
        <w:t>dfills</w:t>
      </w:r>
      <w:r w:rsidR="0054525F" w:rsidRPr="009901FA">
        <w:rPr>
          <w:rStyle w:val="FootnoteReference"/>
        </w:rPr>
        <w:footnoteReference w:id="99"/>
      </w:r>
      <w:r w:rsidR="00173784" w:rsidRPr="009901FA">
        <w:t xml:space="preserve"> </w:t>
      </w:r>
      <w:r w:rsidR="003829EA" w:rsidRPr="009901FA">
        <w:t xml:space="preserve">are typically </w:t>
      </w:r>
      <w:r w:rsidR="003829EA" w:rsidRPr="000E0EB1">
        <w:t>designed</w:t>
      </w:r>
      <w:r w:rsidR="003829EA" w:rsidRPr="009901FA">
        <w:t xml:space="preserve"> with</w:t>
      </w:r>
      <w:r w:rsidR="000C4EB3" w:rsidRPr="009901FA">
        <w:t xml:space="preserve"> </w:t>
      </w:r>
      <w:r w:rsidR="007559E1" w:rsidRPr="009901FA">
        <w:t>multiple engineered</w:t>
      </w:r>
      <w:r w:rsidR="003C77F3" w:rsidRPr="009901FA">
        <w:t xml:space="preserve"> protections</w:t>
      </w:r>
      <w:r w:rsidR="003C2B61" w:rsidRPr="009901FA">
        <w:t xml:space="preserve"> to prevent leakage to the environment</w:t>
      </w:r>
      <w:r w:rsidR="0087021B" w:rsidRPr="009901FA">
        <w:t xml:space="preserve">, </w:t>
      </w:r>
      <w:r w:rsidR="00BF74F3" w:rsidRPr="009901FA">
        <w:t xml:space="preserve">such as </w:t>
      </w:r>
      <w:r w:rsidR="00A37E21" w:rsidRPr="009901FA">
        <w:t>bottom liners</w:t>
      </w:r>
      <w:r w:rsidR="007559E1" w:rsidRPr="009901FA">
        <w:t xml:space="preserve"> and cover materials</w:t>
      </w:r>
      <w:r w:rsidR="00BF74F3" w:rsidRPr="009901FA">
        <w:t xml:space="preserve"> or</w:t>
      </w:r>
      <w:r w:rsidR="007559E1" w:rsidRPr="009901FA">
        <w:t xml:space="preserve"> </w:t>
      </w:r>
      <w:r w:rsidR="00B723D8" w:rsidRPr="009901FA">
        <w:t>contain</w:t>
      </w:r>
      <w:r w:rsidR="00EC3CB4" w:rsidRPr="009901FA">
        <w:t xml:space="preserve">ment and treatment systems for </w:t>
      </w:r>
      <w:r w:rsidR="00626104" w:rsidRPr="009901FA">
        <w:t xml:space="preserve">waste by-products </w:t>
      </w:r>
      <w:r w:rsidR="00BF74F3" w:rsidRPr="009901FA">
        <w:t xml:space="preserve">(e.g. </w:t>
      </w:r>
      <w:r w:rsidR="00626104" w:rsidRPr="009901FA">
        <w:t>leachate</w:t>
      </w:r>
      <w:r w:rsidR="00BF74F3" w:rsidRPr="009901FA">
        <w:t>).</w:t>
      </w:r>
      <w:r w:rsidR="005801E1" w:rsidRPr="009901FA">
        <w:t xml:space="preserve"> </w:t>
      </w:r>
      <w:r w:rsidR="00D91752" w:rsidRPr="009901FA">
        <w:t>However, landfill quality varies widely across the globe. In</w:t>
      </w:r>
      <w:r w:rsidR="00E91BA5" w:rsidRPr="009901FA">
        <w:t xml:space="preserve"> many </w:t>
      </w:r>
      <w:r w:rsidR="00E85105" w:rsidRPr="009901FA">
        <w:t xml:space="preserve">low- and middle-income countries, waste is still disposed </w:t>
      </w:r>
      <w:r w:rsidR="00D91752" w:rsidRPr="009901FA">
        <w:t xml:space="preserve">of </w:t>
      </w:r>
      <w:r w:rsidR="00E85105" w:rsidRPr="009901FA">
        <w:t>in open</w:t>
      </w:r>
      <w:r w:rsidR="00BF7A13" w:rsidRPr="009901FA">
        <w:t xml:space="preserve"> dumps or poorly </w:t>
      </w:r>
      <w:r w:rsidR="00A704E0" w:rsidRPr="009901FA">
        <w:t>managed</w:t>
      </w:r>
      <w:r w:rsidR="00BF7A13" w:rsidRPr="009901FA">
        <w:t xml:space="preserve"> landfills</w:t>
      </w:r>
      <w:r w:rsidR="00AC4433" w:rsidRPr="009901FA">
        <w:t xml:space="preserve">, </w:t>
      </w:r>
      <w:r w:rsidR="00D91752" w:rsidRPr="009901FA">
        <w:t xml:space="preserve">which </w:t>
      </w:r>
      <w:r w:rsidR="00AC4433" w:rsidRPr="009901FA">
        <w:t xml:space="preserve">often </w:t>
      </w:r>
      <w:r w:rsidR="00D91752" w:rsidRPr="009901FA">
        <w:t>lack</w:t>
      </w:r>
      <w:r w:rsidR="00AC4433" w:rsidRPr="009901FA">
        <w:t xml:space="preserve"> containment</w:t>
      </w:r>
      <w:r w:rsidR="00D91752" w:rsidRPr="009901FA">
        <w:t xml:space="preserve"> and are vulnerable to geological instability, flooding, or coastal erosion, leading to significant environmental risks. </w:t>
      </w:r>
      <w:r w:rsidR="00744884" w:rsidRPr="009901FA">
        <w:t>At the same time</w:t>
      </w:r>
      <w:r w:rsidR="00817B8D" w:rsidRPr="009901FA">
        <w:t xml:space="preserve">, </w:t>
      </w:r>
      <w:r w:rsidR="003D6F08" w:rsidRPr="009901FA">
        <w:t xml:space="preserve">waste incineration </w:t>
      </w:r>
      <w:r w:rsidR="00744884" w:rsidRPr="009901FA">
        <w:t>is a well-established and mature industry</w:t>
      </w:r>
      <w:r w:rsidR="007F7676" w:rsidRPr="009901FA">
        <w:t xml:space="preserve">, particularly in industrialised </w:t>
      </w:r>
      <w:r w:rsidR="00744884" w:rsidRPr="009901FA">
        <w:t>countries.</w:t>
      </w:r>
      <w:r w:rsidR="00F1109C" w:rsidRPr="009901FA">
        <w:t xml:space="preserve"> Many </w:t>
      </w:r>
      <w:r w:rsidR="00744884" w:rsidRPr="009901FA">
        <w:t xml:space="preserve">facilities </w:t>
      </w:r>
      <w:r w:rsidR="00F1109C" w:rsidRPr="009901FA">
        <w:t>o</w:t>
      </w:r>
      <w:r w:rsidR="005D01B5" w:rsidRPr="009901FA">
        <w:t xml:space="preserve">perate </w:t>
      </w:r>
      <w:r w:rsidR="00744884" w:rsidRPr="009901FA">
        <w:t xml:space="preserve">under long-term public service contracts and are integrated with </w:t>
      </w:r>
      <w:r w:rsidR="001C251C" w:rsidRPr="009901FA">
        <w:t xml:space="preserve">waste-to-energy </w:t>
      </w:r>
      <w:r w:rsidR="00744884" w:rsidRPr="009901FA">
        <w:t>(WtE) systems that recover</w:t>
      </w:r>
      <w:r w:rsidR="006B0E2E" w:rsidRPr="009901FA">
        <w:t xml:space="preserve"> energy from </w:t>
      </w:r>
      <w:r w:rsidR="009F2519" w:rsidRPr="009901FA">
        <w:t>combustion</w:t>
      </w:r>
      <w:r w:rsidR="00744884" w:rsidRPr="009901FA">
        <w:t>, typically</w:t>
      </w:r>
      <w:r w:rsidR="003317B2" w:rsidRPr="009901FA">
        <w:t xml:space="preserve"> as electricity, heat, or both.</w:t>
      </w:r>
    </w:p>
    <w:p w14:paraId="3EF338BD" w14:textId="4CD12D64" w:rsidR="004B5BF6" w:rsidRPr="009901FA" w:rsidRDefault="006339FF" w:rsidP="00525F19">
      <w:r w:rsidRPr="009901FA">
        <w:rPr>
          <w:b/>
          <w:bCs/>
        </w:rPr>
        <w:t>Both landfill</w:t>
      </w:r>
      <w:r w:rsidR="006F3F7A" w:rsidRPr="009901FA">
        <w:rPr>
          <w:b/>
          <w:bCs/>
        </w:rPr>
        <w:t>ing</w:t>
      </w:r>
      <w:r w:rsidRPr="009901FA">
        <w:rPr>
          <w:b/>
          <w:bCs/>
        </w:rPr>
        <w:t xml:space="preserve"> and </w:t>
      </w:r>
      <w:r w:rsidR="0070538D" w:rsidRPr="009901FA">
        <w:rPr>
          <w:b/>
          <w:bCs/>
        </w:rPr>
        <w:t>incineration of</w:t>
      </w:r>
      <w:r w:rsidR="000C41AC" w:rsidRPr="009901FA">
        <w:rPr>
          <w:b/>
          <w:bCs/>
        </w:rPr>
        <w:t xml:space="preserve"> plastic waste </w:t>
      </w:r>
      <w:r w:rsidR="009903C3" w:rsidRPr="009901FA">
        <w:rPr>
          <w:b/>
          <w:bCs/>
        </w:rPr>
        <w:t xml:space="preserve">are significant drivers of </w:t>
      </w:r>
      <w:r w:rsidR="006F3F7A" w:rsidRPr="009901FA">
        <w:rPr>
          <w:b/>
          <w:bCs/>
        </w:rPr>
        <w:t xml:space="preserve">climate change, together </w:t>
      </w:r>
      <w:r w:rsidR="00976C9B" w:rsidRPr="009901FA">
        <w:rPr>
          <w:b/>
          <w:bCs/>
        </w:rPr>
        <w:t xml:space="preserve">currently </w:t>
      </w:r>
      <w:r w:rsidR="006F3F7A" w:rsidRPr="009901FA">
        <w:rPr>
          <w:b/>
          <w:bCs/>
        </w:rPr>
        <w:t xml:space="preserve">emitting </w:t>
      </w:r>
      <w:r w:rsidR="00976C9B" w:rsidRPr="009901FA">
        <w:rPr>
          <w:b/>
          <w:bCs/>
        </w:rPr>
        <w:t>approximately 1.2 GtCO</w:t>
      </w:r>
      <w:r w:rsidR="00976C9B" w:rsidRPr="009901FA">
        <w:rPr>
          <w:b/>
          <w:bCs/>
          <w:vertAlign w:val="subscript"/>
        </w:rPr>
        <w:t>2</w:t>
      </w:r>
      <w:r w:rsidR="0014228E" w:rsidRPr="009901FA">
        <w:rPr>
          <w:b/>
          <w:bCs/>
        </w:rPr>
        <w:t>eq</w:t>
      </w:r>
      <w:r w:rsidR="00976C9B" w:rsidRPr="009901FA">
        <w:rPr>
          <w:b/>
          <w:bCs/>
        </w:rPr>
        <w:t xml:space="preserve"> per year</w:t>
      </w:r>
      <w:r w:rsidR="000B1969" w:rsidRPr="009901FA">
        <w:rPr>
          <w:rStyle w:val="FootnoteReference"/>
          <w:b/>
          <w:bCs/>
        </w:rPr>
        <w:footnoteReference w:id="100"/>
      </w:r>
      <w:r w:rsidR="00544E63" w:rsidRPr="009901FA">
        <w:rPr>
          <w:b/>
          <w:bCs/>
          <w:vertAlign w:val="superscript"/>
        </w:rPr>
        <w:t>,</w:t>
      </w:r>
      <w:r w:rsidR="00544E63" w:rsidRPr="009901FA">
        <w:rPr>
          <w:rStyle w:val="FootnoteReference"/>
          <w:b/>
          <w:bCs/>
        </w:rPr>
        <w:footnoteReference w:id="101"/>
      </w:r>
      <w:r w:rsidR="00976C9B" w:rsidRPr="009901FA">
        <w:rPr>
          <w:b/>
          <w:bCs/>
        </w:rPr>
        <w:t>.</w:t>
      </w:r>
      <w:r w:rsidR="006B14E0" w:rsidRPr="009901FA">
        <w:rPr>
          <w:b/>
          <w:bCs/>
        </w:rPr>
        <w:t xml:space="preserve"> </w:t>
      </w:r>
      <w:r w:rsidR="006B14E0" w:rsidRPr="009901FA">
        <w:lastRenderedPageBreak/>
        <w:t xml:space="preserve">Emissions from </w:t>
      </w:r>
      <w:r w:rsidR="00DD7328" w:rsidRPr="009901FA">
        <w:t>landfill are primarily driven by the</w:t>
      </w:r>
      <w:r w:rsidR="00B53A8E" w:rsidRPr="009901FA">
        <w:t xml:space="preserve"> anaerobic decomposition of organic components of MSW (e.g. food wast</w:t>
      </w:r>
      <w:r w:rsidR="002F3EAB" w:rsidRPr="009901FA">
        <w:t>e)</w:t>
      </w:r>
      <w:r w:rsidR="00580410" w:rsidRPr="009901FA">
        <w:t xml:space="preserve"> which produce</w:t>
      </w:r>
      <w:r w:rsidR="005D10ED" w:rsidRPr="009901FA">
        <w:t>s</w:t>
      </w:r>
      <w:r w:rsidR="00580410" w:rsidRPr="009901FA">
        <w:t xml:space="preserve"> landfill</w:t>
      </w:r>
      <w:r w:rsidR="00D646C8" w:rsidRPr="009901FA">
        <w:t xml:space="preserve"> gas, a mixture of methane and CO</w:t>
      </w:r>
      <w:r w:rsidR="00D646C8" w:rsidRPr="009901FA">
        <w:rPr>
          <w:vertAlign w:val="subscript"/>
        </w:rPr>
        <w:t>2</w:t>
      </w:r>
      <w:r w:rsidR="00580410" w:rsidRPr="009901FA">
        <w:t xml:space="preserve">. </w:t>
      </w:r>
      <w:r w:rsidR="004822ED" w:rsidRPr="009901FA">
        <w:t>Given the significan</w:t>
      </w:r>
      <w:r w:rsidR="00883A32" w:rsidRPr="009901FA">
        <w:t>t global warming potential of methane,</w:t>
      </w:r>
      <w:r w:rsidR="00BA5617" w:rsidRPr="009901FA">
        <w:t xml:space="preserve"> </w:t>
      </w:r>
      <w:r w:rsidR="00694EAB" w:rsidRPr="009901FA">
        <w:t>m</w:t>
      </w:r>
      <w:r w:rsidR="00CF4801" w:rsidRPr="009901FA">
        <w:t xml:space="preserve">anagement of landfill gas is becoming an increasing priority </w:t>
      </w:r>
      <w:r w:rsidR="005B4D71" w:rsidRPr="009901FA">
        <w:t>for site operators.</w:t>
      </w:r>
      <w:r w:rsidR="00817186" w:rsidRPr="009901FA">
        <w:t xml:space="preserve"> </w:t>
      </w:r>
      <w:r w:rsidR="00051949" w:rsidRPr="009901FA">
        <w:t>On the other hand, waste incineration plants</w:t>
      </w:r>
      <w:r w:rsidR="00817186" w:rsidRPr="009901FA">
        <w:t xml:space="preserve"> </w:t>
      </w:r>
      <w:r w:rsidR="006E261D" w:rsidRPr="009901FA">
        <w:t>emit primarily CO</w:t>
      </w:r>
      <w:r w:rsidR="006E261D" w:rsidRPr="00A247A6">
        <w:rPr>
          <w:rFonts w:ascii="Cambria Math" w:hAnsi="Cambria Math" w:cs="Cambria Math"/>
        </w:rPr>
        <w:t>₂</w:t>
      </w:r>
      <w:r w:rsidR="006E261D" w:rsidRPr="009901FA">
        <w:t xml:space="preserve"> from the combustion of fossil-derived materials such as plastics.</w:t>
      </w:r>
      <w:r w:rsidR="00FD506A" w:rsidRPr="009901FA">
        <w:t xml:space="preserve"> </w:t>
      </w:r>
      <w:r w:rsidR="00213776" w:rsidRPr="009901FA">
        <w:t>Mitigating these</w:t>
      </w:r>
      <w:r w:rsidR="003F4546" w:rsidRPr="009901FA">
        <w:t xml:space="preserve"> emissions will require improved</w:t>
      </w:r>
      <w:r w:rsidR="004D793A" w:rsidRPr="009901FA">
        <w:t xml:space="preserve"> waste management practices, such as the adoption</w:t>
      </w:r>
      <w:r w:rsidR="00C83832" w:rsidRPr="009901FA">
        <w:t xml:space="preserve"> of advanced landfilling technologies</w:t>
      </w:r>
      <w:r w:rsidR="0020322E" w:rsidRPr="009901FA">
        <w:t xml:space="preserve"> or application of CCS on incinerators.</w:t>
      </w:r>
    </w:p>
    <w:p w14:paraId="79108C25" w14:textId="67F6E977" w:rsidR="00395B4A" w:rsidRPr="009901FA" w:rsidRDefault="005C4C40" w:rsidP="00BB07AA">
      <w:pPr>
        <w:pStyle w:val="Heading3"/>
        <w:ind w:firstLine="720"/>
      </w:pPr>
      <w:bookmarkStart w:id="157" w:name="_Toc205392477"/>
      <w:bookmarkStart w:id="158" w:name="_Toc205554246"/>
      <w:r>
        <w:t>5</w:t>
      </w:r>
      <w:r w:rsidR="00395B4A" w:rsidRPr="009901FA">
        <w:t>.2.2 Innovation: advanced landfill technologies</w:t>
      </w:r>
      <w:bookmarkEnd w:id="157"/>
      <w:bookmarkEnd w:id="158"/>
    </w:p>
    <w:p w14:paraId="329E6E87" w14:textId="77777777" w:rsidR="00395B4A" w:rsidRPr="009901FA" w:rsidRDefault="00395B4A" w:rsidP="00395B4A">
      <w:pPr>
        <w:keepNext/>
        <w:keepLines/>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Overview</w:t>
      </w:r>
    </w:p>
    <w:p w14:paraId="442CA9E4" w14:textId="0C6662B9" w:rsidR="00A16D69" w:rsidRPr="009901FA" w:rsidRDefault="00D01742" w:rsidP="00E72040">
      <w:pPr>
        <w:rPr>
          <w:bCs/>
        </w:rPr>
      </w:pPr>
      <w:r w:rsidRPr="009901FA">
        <w:rPr>
          <w:b/>
        </w:rPr>
        <w:t>Adoption of advanced landfill technologies</w:t>
      </w:r>
      <w:r w:rsidR="002D1D21" w:rsidRPr="009901FA">
        <w:rPr>
          <w:b/>
        </w:rPr>
        <w:t xml:space="preserve"> will be critical to </w:t>
      </w:r>
      <w:r w:rsidR="00E72040" w:rsidRPr="009901FA">
        <w:rPr>
          <w:b/>
        </w:rPr>
        <w:t xml:space="preserve">manage and reduce the GHG emissions of future landfill sites. </w:t>
      </w:r>
      <w:r w:rsidR="00E72040" w:rsidRPr="009901FA">
        <w:rPr>
          <w:bCs/>
        </w:rPr>
        <w:t>As shown in</w:t>
      </w:r>
      <w:r w:rsidR="00131668" w:rsidRPr="009901FA">
        <w:rPr>
          <w:bCs/>
        </w:rPr>
        <w:t xml:space="preserve"> </w:t>
      </w:r>
      <w:r w:rsidR="00131668" w:rsidRPr="009901FA">
        <w:rPr>
          <w:bCs/>
        </w:rPr>
        <w:fldChar w:fldCharType="begin"/>
      </w:r>
      <w:r w:rsidR="00131668" w:rsidRPr="009901FA">
        <w:rPr>
          <w:bCs/>
        </w:rPr>
        <w:instrText xml:space="preserve"> REF _Ref203750327 \h </w:instrText>
      </w:r>
      <w:r w:rsidR="00A247A6">
        <w:rPr>
          <w:bCs/>
        </w:rPr>
        <w:instrText xml:space="preserve"> \* MERGEFORMAT </w:instrText>
      </w:r>
      <w:r w:rsidR="00131668" w:rsidRPr="009901FA">
        <w:rPr>
          <w:bCs/>
        </w:rPr>
      </w:r>
      <w:r w:rsidR="00131668" w:rsidRPr="009901FA">
        <w:rPr>
          <w:bCs/>
        </w:rPr>
        <w:fldChar w:fldCharType="separate"/>
      </w:r>
      <w:r w:rsidR="00DE378F" w:rsidRPr="009901FA">
        <w:t xml:space="preserve">Exhibit </w:t>
      </w:r>
      <w:r w:rsidR="00327B07">
        <w:rPr>
          <w:noProof/>
        </w:rPr>
        <w:t>5</w:t>
      </w:r>
      <w:r w:rsidR="00DE378F" w:rsidRPr="009901FA">
        <w:t>.</w:t>
      </w:r>
      <w:r w:rsidR="00DE378F" w:rsidRPr="009901FA">
        <w:rPr>
          <w:noProof/>
        </w:rPr>
        <w:t>6</w:t>
      </w:r>
      <w:r w:rsidR="00131668" w:rsidRPr="009901FA">
        <w:rPr>
          <w:bCs/>
        </w:rPr>
        <w:fldChar w:fldCharType="end"/>
      </w:r>
      <w:r w:rsidR="00E72040" w:rsidRPr="009901FA">
        <w:rPr>
          <w:bCs/>
        </w:rPr>
        <w:t>, such technologies include:</w:t>
      </w:r>
    </w:p>
    <w:p w14:paraId="516DD7FA" w14:textId="700FAF3D" w:rsidR="00A16D69" w:rsidRPr="009901FA" w:rsidRDefault="00B9387C" w:rsidP="002C2B3F">
      <w:pPr>
        <w:pStyle w:val="ListParagraph"/>
        <w:numPr>
          <w:ilvl w:val="0"/>
          <w:numId w:val="22"/>
        </w:numPr>
        <w:ind w:left="714" w:hanging="357"/>
        <w:contextualSpacing w:val="0"/>
        <w:rPr>
          <w:b/>
        </w:rPr>
      </w:pPr>
      <w:r w:rsidRPr="009901FA">
        <w:rPr>
          <w:b/>
        </w:rPr>
        <w:t xml:space="preserve">Pre-landfill material recovery and biological treatment (MRBT): </w:t>
      </w:r>
      <w:r w:rsidR="00271983" w:rsidRPr="009901FA">
        <w:rPr>
          <w:bCs/>
        </w:rPr>
        <w:t xml:space="preserve">This technology involves stabilising </w:t>
      </w:r>
      <w:r w:rsidR="00EB18A4" w:rsidRPr="009901FA">
        <w:rPr>
          <w:bCs/>
        </w:rPr>
        <w:t xml:space="preserve">biogenic </w:t>
      </w:r>
      <w:r w:rsidR="00271983" w:rsidRPr="009901FA">
        <w:rPr>
          <w:bCs/>
        </w:rPr>
        <w:t>MSW through aerobic decomposition before it is landfilled.</w:t>
      </w:r>
      <w:r w:rsidR="00B13EAB" w:rsidRPr="009901FA">
        <w:rPr>
          <w:bCs/>
        </w:rPr>
        <w:t xml:space="preserve"> The aim is to reduce the mass of the input waste by approximately 25–30%, significantly lowering its methane-generating potential once buried. By biologically treating the waste in advance</w:t>
      </w:r>
      <w:r w:rsidR="00CF6B57" w:rsidRPr="009901FA">
        <w:rPr>
          <w:bCs/>
        </w:rPr>
        <w:t xml:space="preserve"> (typically through controlled aerobic composting)</w:t>
      </w:r>
      <w:r w:rsidR="00B13EAB" w:rsidRPr="009901FA">
        <w:rPr>
          <w:bCs/>
        </w:rPr>
        <w:t>, the organic content that would typically decompose anaerobically in landfills (and release methane) is largely neutralised. This method is a proactive approach aimed at minimising future emissions at the source</w:t>
      </w:r>
      <w:r w:rsidR="007D4BD7" w:rsidRPr="009901FA">
        <w:rPr>
          <w:bCs/>
        </w:rPr>
        <w:t>, whilst aligning</w:t>
      </w:r>
      <w:r w:rsidR="00B13EAB" w:rsidRPr="009901FA">
        <w:rPr>
          <w:bCs/>
        </w:rPr>
        <w:t xml:space="preserve"> with circular economy principles by enabling the recovery of materials prior to disposal.</w:t>
      </w:r>
    </w:p>
    <w:p w14:paraId="275BABBB" w14:textId="7A0F07A3" w:rsidR="007D4BD7" w:rsidRPr="009901FA" w:rsidRDefault="009D6C80" w:rsidP="002C2B3F">
      <w:pPr>
        <w:pStyle w:val="ListParagraph"/>
        <w:numPr>
          <w:ilvl w:val="0"/>
          <w:numId w:val="22"/>
        </w:numPr>
        <w:ind w:left="714" w:hanging="357"/>
        <w:contextualSpacing w:val="0"/>
        <w:rPr>
          <w:b/>
        </w:rPr>
      </w:pPr>
      <w:r w:rsidRPr="009901FA">
        <w:rPr>
          <w:b/>
        </w:rPr>
        <w:t>Comprehensive methane monitoring and detection</w:t>
      </w:r>
      <w:r w:rsidR="00716598" w:rsidRPr="009901FA">
        <w:rPr>
          <w:b/>
        </w:rPr>
        <w:t xml:space="preserve">: </w:t>
      </w:r>
      <w:r w:rsidR="00AC5D5D" w:rsidRPr="009901FA">
        <w:rPr>
          <w:bCs/>
        </w:rPr>
        <w:t>This category includes advanced systems designed to detect and measure methane leakage from landfills. Tools employed can include aerial infrared imaging, drone-mounted sensors, and continuous ground-based analysers. These systems enhance the accuracy and frequency of monitoring, making it easier to detect leaks promptly and take corrective action</w:t>
      </w:r>
      <w:r w:rsidR="0028477B" w:rsidRPr="009901FA">
        <w:rPr>
          <w:bCs/>
        </w:rPr>
        <w:t xml:space="preserve"> (e.g. capping leaks)</w:t>
      </w:r>
      <w:r w:rsidR="00AC5D5D" w:rsidRPr="009901FA">
        <w:rPr>
          <w:bCs/>
        </w:rPr>
        <w:t xml:space="preserve">. Monitoring </w:t>
      </w:r>
      <w:r w:rsidR="00D679A6" w:rsidRPr="009901FA">
        <w:rPr>
          <w:bCs/>
        </w:rPr>
        <w:t xml:space="preserve">technologies can </w:t>
      </w:r>
      <w:r w:rsidR="00AC5D5D" w:rsidRPr="009901FA">
        <w:rPr>
          <w:bCs/>
        </w:rPr>
        <w:t>play a vital role in identifying fugitive emissions that are otherwise hard to track</w:t>
      </w:r>
      <w:r w:rsidR="00B95A6E" w:rsidRPr="009901FA">
        <w:rPr>
          <w:bCs/>
        </w:rPr>
        <w:t xml:space="preserve"> and </w:t>
      </w:r>
      <w:r w:rsidR="00AC5D5D" w:rsidRPr="009901FA">
        <w:rPr>
          <w:bCs/>
        </w:rPr>
        <w:t xml:space="preserve">ensuring that landfills mitigate </w:t>
      </w:r>
      <w:r w:rsidR="00B95A6E" w:rsidRPr="009901FA">
        <w:rPr>
          <w:bCs/>
        </w:rPr>
        <w:t>GHG</w:t>
      </w:r>
      <w:r w:rsidR="00AC5D5D" w:rsidRPr="009901FA">
        <w:rPr>
          <w:bCs/>
        </w:rPr>
        <w:t xml:space="preserve"> emissions more effectively. </w:t>
      </w:r>
    </w:p>
    <w:p w14:paraId="349300AE" w14:textId="1B7A53F5" w:rsidR="00A42DB2" w:rsidRPr="009901FA" w:rsidRDefault="00541B29" w:rsidP="002C2B3F">
      <w:pPr>
        <w:pStyle w:val="ListParagraph"/>
        <w:numPr>
          <w:ilvl w:val="0"/>
          <w:numId w:val="22"/>
        </w:numPr>
        <w:ind w:left="714" w:hanging="357"/>
        <w:contextualSpacing w:val="0"/>
        <w:rPr>
          <w:b/>
        </w:rPr>
      </w:pPr>
      <w:r w:rsidRPr="009901FA">
        <w:rPr>
          <w:b/>
        </w:rPr>
        <w:t xml:space="preserve">Landfill gas capture and management systems: </w:t>
      </w:r>
      <w:r w:rsidR="002B6423" w:rsidRPr="009901FA">
        <w:rPr>
          <w:bCs/>
        </w:rPr>
        <w:t>These systems focus on capturing landfill gas (methane and CO</w:t>
      </w:r>
      <w:r w:rsidR="002B6423" w:rsidRPr="009901FA">
        <w:rPr>
          <w:bCs/>
          <w:vertAlign w:val="subscript"/>
        </w:rPr>
        <w:t>2</w:t>
      </w:r>
      <w:r w:rsidR="002B6423" w:rsidRPr="009901FA">
        <w:rPr>
          <w:bCs/>
        </w:rPr>
        <w:t xml:space="preserve">) generated during waste decomposition. The gas is collected at designated wells and routed via pipelines, where it can be processed and upgraded for use as an energy source or fuel. </w:t>
      </w:r>
      <w:r w:rsidR="00B503DE" w:rsidRPr="009901FA">
        <w:rPr>
          <w:bCs/>
        </w:rPr>
        <w:t>As landfill gas benefits from its biogenic CO</w:t>
      </w:r>
      <w:r w:rsidR="00B503DE" w:rsidRPr="009901FA">
        <w:rPr>
          <w:bCs/>
          <w:vertAlign w:val="subscript"/>
        </w:rPr>
        <w:t>2</w:t>
      </w:r>
      <w:r w:rsidR="00B503DE" w:rsidRPr="009901FA">
        <w:rPr>
          <w:bCs/>
        </w:rPr>
        <w:t xml:space="preserve"> content</w:t>
      </w:r>
      <w:r w:rsidR="00F06BF5" w:rsidRPr="009901FA">
        <w:rPr>
          <w:bCs/>
        </w:rPr>
        <w:t xml:space="preserve">, it </w:t>
      </w:r>
      <w:r w:rsidR="0057772A" w:rsidRPr="009901FA">
        <w:rPr>
          <w:bCs/>
        </w:rPr>
        <w:t>is expected to become increasingly marketable in low-carbon energy markets.</w:t>
      </w:r>
      <w:r w:rsidR="002B6423" w:rsidRPr="009901FA">
        <w:rPr>
          <w:bCs/>
        </w:rPr>
        <w:t xml:space="preserve"> Additionally, biocover materials may be used on the landfill surface to trap gases and enhance microbial methane oxidation. </w:t>
      </w:r>
      <w:r w:rsidR="00220D6C" w:rsidRPr="009901FA">
        <w:rPr>
          <w:bCs/>
        </w:rPr>
        <w:t>Together, t</w:t>
      </w:r>
      <w:r w:rsidR="00D12FA2" w:rsidRPr="009901FA">
        <w:rPr>
          <w:bCs/>
        </w:rPr>
        <w:t xml:space="preserve">hese </w:t>
      </w:r>
      <w:r w:rsidR="00220D6C" w:rsidRPr="009901FA">
        <w:rPr>
          <w:bCs/>
        </w:rPr>
        <w:t>systems</w:t>
      </w:r>
      <w:r w:rsidR="00D12FA2" w:rsidRPr="009901FA">
        <w:rPr>
          <w:bCs/>
        </w:rPr>
        <w:t xml:space="preserve"> </w:t>
      </w:r>
      <w:r w:rsidR="00305CCA" w:rsidRPr="009901FA">
        <w:rPr>
          <w:bCs/>
        </w:rPr>
        <w:t xml:space="preserve">can </w:t>
      </w:r>
      <w:r w:rsidR="00D12FA2" w:rsidRPr="009901FA">
        <w:rPr>
          <w:bCs/>
        </w:rPr>
        <w:t xml:space="preserve">help </w:t>
      </w:r>
      <w:r w:rsidR="002B6423" w:rsidRPr="009901FA">
        <w:rPr>
          <w:bCs/>
        </w:rPr>
        <w:t xml:space="preserve">reduce the release of </w:t>
      </w:r>
      <w:r w:rsidR="00C10B93" w:rsidRPr="009901FA">
        <w:rPr>
          <w:bCs/>
        </w:rPr>
        <w:t>GHG</w:t>
      </w:r>
      <w:r w:rsidR="00305CCA" w:rsidRPr="009901FA">
        <w:rPr>
          <w:bCs/>
        </w:rPr>
        <w:t xml:space="preserve"> emission</w:t>
      </w:r>
      <w:r w:rsidR="00C10B93" w:rsidRPr="009901FA">
        <w:rPr>
          <w:bCs/>
        </w:rPr>
        <w:t>s</w:t>
      </w:r>
      <w:r w:rsidR="002B6423" w:rsidRPr="009901FA">
        <w:rPr>
          <w:bCs/>
        </w:rPr>
        <w:t xml:space="preserve"> </w:t>
      </w:r>
      <w:r w:rsidR="00220D6C" w:rsidRPr="009901FA">
        <w:rPr>
          <w:bCs/>
        </w:rPr>
        <w:t>from landfill</w:t>
      </w:r>
      <w:r w:rsidR="00EB71D1" w:rsidRPr="009901FA">
        <w:rPr>
          <w:bCs/>
        </w:rPr>
        <w:t>s.</w:t>
      </w:r>
      <w:r w:rsidR="00220D6C" w:rsidRPr="009901FA">
        <w:rPr>
          <w:bCs/>
        </w:rPr>
        <w:t xml:space="preserve"> </w:t>
      </w:r>
    </w:p>
    <w:p w14:paraId="6CE29903" w14:textId="6A8F8E40" w:rsidR="00131668" w:rsidRPr="009901FA" w:rsidRDefault="00131668" w:rsidP="00131668">
      <w:pPr>
        <w:pStyle w:val="Caption"/>
        <w:keepNext/>
      </w:pPr>
      <w:bookmarkStart w:id="159" w:name="_Ref203750327"/>
      <w:r w:rsidRPr="009901FA">
        <w:lastRenderedPageBreak/>
        <w:t xml:space="preserve">Exhibit </w:t>
      </w:r>
      <w:r w:rsidR="00327B07">
        <w:t>5</w:t>
      </w:r>
      <w:r w:rsidR="008725B4" w:rsidRPr="009901FA">
        <w:t>.</w:t>
      </w:r>
      <w:fldSimple w:instr=" SEQ Exhibit \* ARABIC \s 2 ">
        <w:r w:rsidR="00DE378F" w:rsidRPr="009901FA">
          <w:rPr>
            <w:noProof/>
          </w:rPr>
          <w:t>6</w:t>
        </w:r>
      </w:fldSimple>
      <w:bookmarkEnd w:id="159"/>
    </w:p>
    <w:p w14:paraId="7F18D4EF" w14:textId="03E9F5E9" w:rsidR="009E4F97" w:rsidRPr="009901FA" w:rsidRDefault="00E154C5" w:rsidP="002077F5">
      <w:pPr>
        <w:rPr>
          <w:b/>
          <w:bCs/>
          <w:color w:val="00146D" w:themeColor="text2"/>
        </w:rPr>
      </w:pPr>
      <w:r w:rsidRPr="009901FA">
        <w:rPr>
          <w:b/>
          <w:bCs/>
          <w:noProof/>
          <w:color w:val="00146D" w:themeColor="text2"/>
        </w:rPr>
        <w:drawing>
          <wp:inline distT="0" distB="0" distL="0" distR="0" wp14:anchorId="639159AC" wp14:editId="6C163B41">
            <wp:extent cx="6263640" cy="3589655"/>
            <wp:effectExtent l="0" t="0" r="3810" b="0"/>
            <wp:docPr id="599756212" name="Picture 1" descr="A diagram of a facto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56212" name="Picture 1" descr="A diagram of a factory&#10;&#10;AI-generated content may be incorrect."/>
                    <pic:cNvPicPr/>
                  </pic:nvPicPr>
                  <pic:blipFill>
                    <a:blip r:embed="rId146"/>
                    <a:stretch>
                      <a:fillRect/>
                    </a:stretch>
                  </pic:blipFill>
                  <pic:spPr>
                    <a:xfrm>
                      <a:off x="0" y="0"/>
                      <a:ext cx="6263640" cy="3589655"/>
                    </a:xfrm>
                    <a:prstGeom prst="rect">
                      <a:avLst/>
                    </a:prstGeom>
                  </pic:spPr>
                </pic:pic>
              </a:graphicData>
            </a:graphic>
          </wp:inline>
        </w:drawing>
      </w:r>
    </w:p>
    <w:p w14:paraId="19156BA2" w14:textId="32082FA7" w:rsidR="00395B4A" w:rsidRPr="009901FA" w:rsidRDefault="00395B4A" w:rsidP="002077F5">
      <w:pPr>
        <w:rPr>
          <w:rFonts w:eastAsia="MS Gothic" w:cs="Times New Roman"/>
          <w:color w:val="585854"/>
          <w:sz w:val="26"/>
          <w:szCs w:val="24"/>
        </w:rPr>
      </w:pPr>
      <w:r w:rsidRPr="009901FA">
        <w:rPr>
          <w:rFonts w:eastAsia="MS Gothic" w:cs="Times New Roman"/>
          <w:color w:val="585854"/>
          <w:sz w:val="26"/>
          <w:szCs w:val="24"/>
        </w:rPr>
        <w:t>Costs</w:t>
      </w:r>
    </w:p>
    <w:p w14:paraId="21FC09FF" w14:textId="6477B640" w:rsidR="000B7195" w:rsidRPr="009901FA" w:rsidRDefault="000B7195" w:rsidP="002077F5">
      <w:pPr>
        <w:rPr>
          <w:bCs/>
        </w:rPr>
      </w:pPr>
      <w:r w:rsidRPr="009901FA">
        <w:rPr>
          <w:b/>
        </w:rPr>
        <w:t>Advanced landfilling with MRBT c</w:t>
      </w:r>
      <w:r w:rsidR="00917AA2" w:rsidRPr="009901FA">
        <w:rPr>
          <w:b/>
        </w:rPr>
        <w:t>ould</w:t>
      </w:r>
      <w:r w:rsidRPr="009901FA">
        <w:rPr>
          <w:b/>
        </w:rPr>
        <w:t xml:space="preserve"> be implemented at only a marginally higher cost than conventional managed landfills.</w:t>
      </w:r>
      <w:r w:rsidRPr="009901FA">
        <w:rPr>
          <w:bCs/>
        </w:rPr>
        <w:t xml:space="preserve"> As shown in </w:t>
      </w:r>
      <w:r w:rsidR="00637135" w:rsidRPr="009901FA">
        <w:rPr>
          <w:bCs/>
        </w:rPr>
        <w:fldChar w:fldCharType="begin"/>
      </w:r>
      <w:r w:rsidR="00637135" w:rsidRPr="009901FA">
        <w:rPr>
          <w:bCs/>
        </w:rPr>
        <w:instrText xml:space="preserve"> REF _Ref203750895 \h </w:instrText>
      </w:r>
      <w:r w:rsidR="00A247A6">
        <w:rPr>
          <w:bCs/>
        </w:rPr>
        <w:instrText xml:space="preserve"> \* MERGEFORMAT </w:instrText>
      </w:r>
      <w:r w:rsidR="00637135" w:rsidRPr="009901FA">
        <w:rPr>
          <w:bCs/>
        </w:rPr>
      </w:r>
      <w:r w:rsidR="00637135" w:rsidRPr="009901FA">
        <w:rPr>
          <w:bCs/>
        </w:rPr>
        <w:fldChar w:fldCharType="separate"/>
      </w:r>
      <w:r w:rsidR="00DE378F" w:rsidRPr="009901FA">
        <w:t xml:space="preserve">Exhibit </w:t>
      </w:r>
      <w:r w:rsidR="00327B07">
        <w:rPr>
          <w:noProof/>
        </w:rPr>
        <w:t>5</w:t>
      </w:r>
      <w:r w:rsidR="00DE378F" w:rsidRPr="009901FA">
        <w:t>.</w:t>
      </w:r>
      <w:r w:rsidR="00DE378F" w:rsidRPr="009901FA">
        <w:rPr>
          <w:noProof/>
        </w:rPr>
        <w:t>7</w:t>
      </w:r>
      <w:r w:rsidR="00637135" w:rsidRPr="009901FA">
        <w:rPr>
          <w:bCs/>
        </w:rPr>
        <w:fldChar w:fldCharType="end"/>
      </w:r>
      <w:r w:rsidRPr="009901FA">
        <w:rPr>
          <w:bCs/>
        </w:rPr>
        <w:t xml:space="preserve">, the cost of a managed landfill typically ranges from $30–120 per tonne of waste, </w:t>
      </w:r>
      <w:r w:rsidR="008828FC" w:rsidRPr="009901FA">
        <w:rPr>
          <w:bCs/>
        </w:rPr>
        <w:t xml:space="preserve">influenced by </w:t>
      </w:r>
      <w:r w:rsidR="007D2EA9" w:rsidRPr="009901FA">
        <w:rPr>
          <w:bCs/>
        </w:rPr>
        <w:t>factors such as land and labour costs or landfill system designs.</w:t>
      </w:r>
      <w:r w:rsidR="008828FC" w:rsidRPr="009901FA">
        <w:rPr>
          <w:bCs/>
        </w:rPr>
        <w:t xml:space="preserve"> </w:t>
      </w:r>
      <w:r w:rsidRPr="009901FA">
        <w:rPr>
          <w:bCs/>
        </w:rPr>
        <w:t xml:space="preserve"> </w:t>
      </w:r>
      <w:r w:rsidR="007D2EA9" w:rsidRPr="009901FA">
        <w:rPr>
          <w:bCs/>
        </w:rPr>
        <w:t>In comparison,</w:t>
      </w:r>
      <w:r w:rsidRPr="009901FA">
        <w:rPr>
          <w:bCs/>
        </w:rPr>
        <w:t xml:space="preserve"> advanced landfill systems incorporating MRBT </w:t>
      </w:r>
      <w:r w:rsidR="0078260F" w:rsidRPr="009901FA">
        <w:rPr>
          <w:bCs/>
        </w:rPr>
        <w:t>could have</w:t>
      </w:r>
      <w:r w:rsidRPr="009901FA">
        <w:rPr>
          <w:bCs/>
        </w:rPr>
        <w:t xml:space="preserve"> a </w:t>
      </w:r>
      <w:r w:rsidR="0078260F" w:rsidRPr="009901FA">
        <w:rPr>
          <w:bCs/>
        </w:rPr>
        <w:t xml:space="preserve">relatively minor </w:t>
      </w:r>
      <w:r w:rsidRPr="009901FA">
        <w:rPr>
          <w:bCs/>
        </w:rPr>
        <w:t>incremental cost of roughly $30/tonne</w:t>
      </w:r>
      <w:r w:rsidR="0078260F" w:rsidRPr="009901FA">
        <w:rPr>
          <w:bCs/>
        </w:rPr>
        <w:t>.</w:t>
      </w:r>
      <w:r w:rsidRPr="009901FA">
        <w:rPr>
          <w:bCs/>
        </w:rPr>
        <w:t xml:space="preserve"> Given this small cost </w:t>
      </w:r>
      <w:r w:rsidR="00DC3E9F" w:rsidRPr="009901FA">
        <w:rPr>
          <w:bCs/>
        </w:rPr>
        <w:t>increase</w:t>
      </w:r>
      <w:r w:rsidRPr="009901FA">
        <w:rPr>
          <w:bCs/>
        </w:rPr>
        <w:t xml:space="preserve">, adopting advanced landfill systems could offer a cost-effective way to </w:t>
      </w:r>
      <w:r w:rsidR="00DC3E9F" w:rsidRPr="009901FA">
        <w:rPr>
          <w:bCs/>
        </w:rPr>
        <w:t>reduce GHG emissions from landfills</w:t>
      </w:r>
      <w:r w:rsidRPr="009901FA">
        <w:rPr>
          <w:bCs/>
        </w:rPr>
        <w:t>.</w:t>
      </w:r>
    </w:p>
    <w:p w14:paraId="43596481" w14:textId="591EE010" w:rsidR="009E632C" w:rsidRPr="009901FA" w:rsidRDefault="006D6F8B" w:rsidP="002077F5">
      <w:r w:rsidRPr="009901FA">
        <w:rPr>
          <w:b/>
          <w:bCs/>
        </w:rPr>
        <w:t>Compared to incineration with CCS, advanced landfilling with MRBT is significantly more cost-competitive</w:t>
      </w:r>
      <w:r w:rsidR="00677DE6" w:rsidRPr="009901FA">
        <w:rPr>
          <w:b/>
          <w:bCs/>
        </w:rPr>
        <w:t xml:space="preserve"> and </w:t>
      </w:r>
      <w:r w:rsidR="00A72A43" w:rsidRPr="009901FA">
        <w:rPr>
          <w:b/>
          <w:bCs/>
        </w:rPr>
        <w:t>technologically mature</w:t>
      </w:r>
      <w:r w:rsidRPr="009901FA">
        <w:rPr>
          <w:b/>
          <w:bCs/>
        </w:rPr>
        <w:t xml:space="preserve">. </w:t>
      </w:r>
      <w:r w:rsidR="00637135" w:rsidRPr="009901FA">
        <w:rPr>
          <w:bCs/>
        </w:rPr>
        <w:fldChar w:fldCharType="begin"/>
      </w:r>
      <w:r w:rsidR="00637135" w:rsidRPr="009901FA">
        <w:rPr>
          <w:b/>
          <w:bCs/>
        </w:rPr>
        <w:instrText xml:space="preserve"> REF _Ref203750895 \h </w:instrText>
      </w:r>
      <w:r w:rsidR="00A247A6">
        <w:rPr>
          <w:bCs/>
        </w:rPr>
        <w:instrText xml:space="preserve"> \* MERGEFORMAT </w:instrText>
      </w:r>
      <w:r w:rsidR="00637135" w:rsidRPr="009901FA">
        <w:rPr>
          <w:bCs/>
        </w:rPr>
      </w:r>
      <w:r w:rsidR="00637135" w:rsidRPr="009901FA">
        <w:rPr>
          <w:bCs/>
        </w:rPr>
        <w:fldChar w:fldCharType="separate"/>
      </w:r>
      <w:r w:rsidR="00DE378F" w:rsidRPr="009901FA">
        <w:t xml:space="preserve">Exhibit </w:t>
      </w:r>
      <w:r w:rsidR="00327B07">
        <w:rPr>
          <w:noProof/>
        </w:rPr>
        <w:t>5</w:t>
      </w:r>
      <w:r w:rsidR="00DE378F" w:rsidRPr="009901FA">
        <w:t>.</w:t>
      </w:r>
      <w:r w:rsidR="00DE378F" w:rsidRPr="009901FA">
        <w:rPr>
          <w:noProof/>
        </w:rPr>
        <w:t>7</w:t>
      </w:r>
      <w:r w:rsidR="00637135" w:rsidRPr="009901FA">
        <w:rPr>
          <w:bCs/>
        </w:rPr>
        <w:fldChar w:fldCharType="end"/>
      </w:r>
      <w:r w:rsidR="00637135" w:rsidRPr="009901FA">
        <w:rPr>
          <w:bCs/>
        </w:rPr>
        <w:t xml:space="preserve"> </w:t>
      </w:r>
      <w:r w:rsidRPr="009901FA">
        <w:rPr>
          <w:bCs/>
        </w:rPr>
        <w:t>highlights that incineration with CCS entails a much higher cost between $260–310 per tonne of waste, equating to approximately 2 to 3 times the cost of advanced landfil</w:t>
      </w:r>
      <w:r w:rsidR="00DB050C" w:rsidRPr="009901FA">
        <w:rPr>
          <w:bCs/>
        </w:rPr>
        <w:t>ling</w:t>
      </w:r>
      <w:r w:rsidRPr="009901FA">
        <w:rPr>
          <w:bCs/>
        </w:rPr>
        <w:t xml:space="preserve">. </w:t>
      </w:r>
      <w:r w:rsidR="00DB050C" w:rsidRPr="009901FA">
        <w:rPr>
          <w:bCs/>
        </w:rPr>
        <w:t>I</w:t>
      </w:r>
      <w:r w:rsidRPr="009901FA">
        <w:rPr>
          <w:bCs/>
        </w:rPr>
        <w:t>ncineration without CCS</w:t>
      </w:r>
      <w:r w:rsidR="00DB050C" w:rsidRPr="009901FA">
        <w:rPr>
          <w:bCs/>
        </w:rPr>
        <w:t xml:space="preserve"> also</w:t>
      </w:r>
      <w:r w:rsidRPr="009901FA">
        <w:rPr>
          <w:bCs/>
        </w:rPr>
        <w:t xml:space="preserve"> remains more expensive, at $130–180 per tonne. This positions advanced landfilling as a highly attractive solution, especially for jurisdictions seeking to balance emissions reductions with financial feasibility. </w:t>
      </w:r>
      <w:r w:rsidR="0086131E" w:rsidRPr="009901FA">
        <w:rPr>
          <w:bCs/>
        </w:rPr>
        <w:t>Additionally, advanced landfill technologies are at a higher technology readiness level (TRL 8–9) than incineration with CCS</w:t>
      </w:r>
      <w:r w:rsidR="005F3F44" w:rsidRPr="009901FA">
        <w:rPr>
          <w:bCs/>
        </w:rPr>
        <w:t xml:space="preserve"> (TRL 7)</w:t>
      </w:r>
      <w:r w:rsidR="0086131E" w:rsidRPr="009901FA">
        <w:rPr>
          <w:bCs/>
        </w:rPr>
        <w:t>, making them an immediately deployable solution.</w:t>
      </w:r>
      <w:r w:rsidRPr="009901FA">
        <w:rPr>
          <w:bCs/>
        </w:rPr>
        <w:t xml:space="preserve"> While</w:t>
      </w:r>
      <w:r w:rsidR="00464881" w:rsidRPr="009901FA">
        <w:rPr>
          <w:bCs/>
        </w:rPr>
        <w:t xml:space="preserve"> managed/advanced landfilling could offer</w:t>
      </w:r>
      <w:r w:rsidR="00A93744" w:rsidRPr="009901FA">
        <w:rPr>
          <w:bCs/>
        </w:rPr>
        <w:t xml:space="preserve"> a more cost-effective </w:t>
      </w:r>
      <w:r w:rsidR="006D08B4" w:rsidRPr="009901FA">
        <w:rPr>
          <w:bCs/>
        </w:rPr>
        <w:t>and market-ready</w:t>
      </w:r>
      <w:r w:rsidR="00A93744" w:rsidRPr="009901FA">
        <w:rPr>
          <w:bCs/>
        </w:rPr>
        <w:t xml:space="preserve"> solution, </w:t>
      </w:r>
      <w:r w:rsidR="00065350" w:rsidRPr="009901FA">
        <w:rPr>
          <w:bCs/>
        </w:rPr>
        <w:t>there are other pragmatic considerations (e.g. land use, environmental trade-offs)</w:t>
      </w:r>
      <w:r w:rsidR="00C032D1" w:rsidRPr="009901FA">
        <w:rPr>
          <w:bCs/>
        </w:rPr>
        <w:t xml:space="preserve"> that influence </w:t>
      </w:r>
      <w:r w:rsidR="00F351D6" w:rsidRPr="009901FA">
        <w:rPr>
          <w:bCs/>
        </w:rPr>
        <w:t>regional decision-making on</w:t>
      </w:r>
      <w:r w:rsidRPr="009901FA">
        <w:rPr>
          <w:bCs/>
        </w:rPr>
        <w:t xml:space="preserve"> waste </w:t>
      </w:r>
      <w:r w:rsidR="00F351D6" w:rsidRPr="009901FA">
        <w:rPr>
          <w:bCs/>
        </w:rPr>
        <w:t>management strategies</w:t>
      </w:r>
      <w:r w:rsidRPr="009901FA">
        <w:rPr>
          <w:bCs/>
        </w:rPr>
        <w:t xml:space="preserve"> and </w:t>
      </w:r>
      <w:r w:rsidR="00F351D6" w:rsidRPr="009901FA">
        <w:rPr>
          <w:bCs/>
        </w:rPr>
        <w:t>regulations.</w:t>
      </w:r>
    </w:p>
    <w:p w14:paraId="3F5323B3" w14:textId="1993253A" w:rsidR="00637135" w:rsidRPr="009901FA" w:rsidRDefault="00637135" w:rsidP="00637135">
      <w:pPr>
        <w:pStyle w:val="Caption"/>
        <w:keepNext/>
      </w:pPr>
      <w:bookmarkStart w:id="160" w:name="_Ref203750895"/>
      <w:r w:rsidRPr="009901FA">
        <w:lastRenderedPageBreak/>
        <w:t xml:space="preserve">Exhibit </w:t>
      </w:r>
      <w:r w:rsidR="00327B07">
        <w:t>5</w:t>
      </w:r>
      <w:r w:rsidR="008725B4" w:rsidRPr="009901FA">
        <w:t>.</w:t>
      </w:r>
      <w:fldSimple w:instr=" SEQ Exhibit \* ARABIC \s 2 ">
        <w:r w:rsidR="00DE378F" w:rsidRPr="009901FA">
          <w:rPr>
            <w:noProof/>
          </w:rPr>
          <w:t>7</w:t>
        </w:r>
      </w:fldSimple>
      <w:bookmarkEnd w:id="160"/>
    </w:p>
    <w:p w14:paraId="178CC78B" w14:textId="6CB3FBC0" w:rsidR="00395B4A" w:rsidRPr="009901FA" w:rsidRDefault="009E632C" w:rsidP="003446E0">
      <w:pPr>
        <w:rPr>
          <w:rFonts w:eastAsia="MS Gothic" w:cs="Times New Roman"/>
          <w:color w:val="585854"/>
          <w:sz w:val="26"/>
          <w:szCs w:val="24"/>
        </w:rPr>
      </w:pPr>
      <w:r w:rsidRPr="009901FA">
        <w:rPr>
          <w:rFonts w:eastAsia="MS Gothic" w:cs="Times New Roman"/>
          <w:noProof/>
          <w:color w:val="585854"/>
          <w:sz w:val="26"/>
          <w:szCs w:val="24"/>
        </w:rPr>
        <w:drawing>
          <wp:inline distT="0" distB="0" distL="0" distR="0" wp14:anchorId="4FCDF1BB" wp14:editId="417148F1">
            <wp:extent cx="5962650" cy="3353688"/>
            <wp:effectExtent l="0" t="0" r="0" b="0"/>
            <wp:docPr id="323824725" name="Picture 1" descr="A diagram of a pro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824725" name="Picture 1" descr="A diagram of a project&#10;&#10;AI-generated content may be incorrect."/>
                    <pic:cNvPicPr/>
                  </pic:nvPicPr>
                  <pic:blipFill>
                    <a:blip r:embed="rId147"/>
                    <a:stretch>
                      <a:fillRect/>
                    </a:stretch>
                  </pic:blipFill>
                  <pic:spPr>
                    <a:xfrm>
                      <a:off x="0" y="0"/>
                      <a:ext cx="5967284" cy="3356294"/>
                    </a:xfrm>
                    <a:prstGeom prst="rect">
                      <a:avLst/>
                    </a:prstGeom>
                  </pic:spPr>
                </pic:pic>
              </a:graphicData>
            </a:graphic>
          </wp:inline>
        </w:drawing>
      </w:r>
    </w:p>
    <w:p w14:paraId="71E4DDBB" w14:textId="77777777" w:rsidR="000723B5" w:rsidRPr="009901FA" w:rsidRDefault="000723B5" w:rsidP="003446E0">
      <w:pPr>
        <w:rPr>
          <w:rFonts w:eastAsia="MS Gothic" w:cs="Times New Roman"/>
          <w:color w:val="585854"/>
          <w:sz w:val="26"/>
          <w:szCs w:val="24"/>
        </w:rPr>
      </w:pPr>
    </w:p>
    <w:p w14:paraId="69975C11" w14:textId="74276488" w:rsidR="000723B5" w:rsidRPr="009901FA" w:rsidRDefault="003C574E" w:rsidP="003446E0">
      <w:r w:rsidRPr="009901FA">
        <w:rPr>
          <w:b/>
        </w:rPr>
        <w:t>Considering project cost</w:t>
      </w:r>
      <w:r w:rsidR="0048245E" w:rsidRPr="009901FA">
        <w:rPr>
          <w:b/>
        </w:rPr>
        <w:t xml:space="preserve"> and </w:t>
      </w:r>
      <w:r w:rsidRPr="009901FA">
        <w:rPr>
          <w:b/>
        </w:rPr>
        <w:t>revenue</w:t>
      </w:r>
      <w:r w:rsidR="00952A90" w:rsidRPr="009901FA">
        <w:rPr>
          <w:b/>
        </w:rPr>
        <w:t xml:space="preserve"> structures, advanced landfill technologies such as MRBT</w:t>
      </w:r>
      <w:r w:rsidR="0048245E" w:rsidRPr="009901FA">
        <w:rPr>
          <w:b/>
        </w:rPr>
        <w:t xml:space="preserve"> could potentially achieve breakeven with only marginal additional revenue.</w:t>
      </w:r>
      <w:r w:rsidR="004B0D86" w:rsidRPr="009901FA">
        <w:rPr>
          <w:b/>
        </w:rPr>
        <w:t xml:space="preserve"> </w:t>
      </w:r>
      <w:r w:rsidR="00572E4B" w:rsidRPr="009901FA">
        <w:rPr>
          <w:bCs/>
          <w:highlight w:val="yellow"/>
        </w:rPr>
        <w:fldChar w:fldCharType="begin"/>
      </w:r>
      <w:r w:rsidR="00572E4B" w:rsidRPr="009901FA">
        <w:rPr>
          <w:bCs/>
        </w:rPr>
        <w:instrText xml:space="preserve"> REF _Ref203750981 \h </w:instrText>
      </w:r>
      <w:r w:rsidR="00A247A6">
        <w:rPr>
          <w:bCs/>
          <w:highlight w:val="yellow"/>
        </w:rPr>
        <w:instrText xml:space="preserve"> \* MERGEFORMAT </w:instrText>
      </w:r>
      <w:r w:rsidR="00572E4B" w:rsidRPr="009901FA">
        <w:rPr>
          <w:bCs/>
          <w:highlight w:val="yellow"/>
        </w:rPr>
      </w:r>
      <w:r w:rsidR="00572E4B" w:rsidRPr="009901FA">
        <w:rPr>
          <w:bCs/>
          <w:highlight w:val="yellow"/>
        </w:rPr>
        <w:fldChar w:fldCharType="separate"/>
      </w:r>
      <w:r w:rsidR="00DE378F" w:rsidRPr="009901FA">
        <w:t xml:space="preserve">Exhibit </w:t>
      </w:r>
      <w:r w:rsidR="00327B07">
        <w:rPr>
          <w:noProof/>
        </w:rPr>
        <w:t>5</w:t>
      </w:r>
      <w:r w:rsidR="00DE378F" w:rsidRPr="009901FA">
        <w:t>.</w:t>
      </w:r>
      <w:r w:rsidR="00DE378F" w:rsidRPr="009901FA">
        <w:rPr>
          <w:noProof/>
        </w:rPr>
        <w:t>8</w:t>
      </w:r>
      <w:r w:rsidR="00572E4B" w:rsidRPr="009901FA">
        <w:rPr>
          <w:bCs/>
          <w:highlight w:val="yellow"/>
        </w:rPr>
        <w:fldChar w:fldCharType="end"/>
      </w:r>
      <w:r w:rsidR="00EB344B" w:rsidRPr="009901FA">
        <w:rPr>
          <w:bCs/>
        </w:rPr>
        <w:t xml:space="preserve"> (left-hand side)</w:t>
      </w:r>
      <w:r w:rsidR="00F227D4" w:rsidRPr="009901FA">
        <w:rPr>
          <w:bCs/>
        </w:rPr>
        <w:t xml:space="preserve"> illustrates this cost and revenue structure for the US, a country with greater reliance on landfilling. </w:t>
      </w:r>
      <w:r w:rsidR="00A21A8A" w:rsidRPr="009901FA">
        <w:rPr>
          <w:bCs/>
        </w:rPr>
        <w:t>D</w:t>
      </w:r>
      <w:r w:rsidR="004B0D86" w:rsidRPr="009901FA">
        <w:rPr>
          <w:bCs/>
        </w:rPr>
        <w:t xml:space="preserve">ue to relatively low baseline landfill costs and the ability to recover revenue (e.g., through </w:t>
      </w:r>
      <w:r w:rsidR="00A21A8A" w:rsidRPr="009901FA">
        <w:rPr>
          <w:bCs/>
        </w:rPr>
        <w:t>waste collection</w:t>
      </w:r>
      <w:r w:rsidR="004B0D86" w:rsidRPr="009901FA">
        <w:rPr>
          <w:bCs/>
        </w:rPr>
        <w:t xml:space="preserve"> gate fees), the net additional revenue required to breakeven</w:t>
      </w:r>
      <w:r w:rsidR="007B4E4D" w:rsidRPr="009901FA">
        <w:rPr>
          <w:bCs/>
        </w:rPr>
        <w:t xml:space="preserve"> with MRBT</w:t>
      </w:r>
      <w:r w:rsidR="004B0D86" w:rsidRPr="009901FA">
        <w:rPr>
          <w:bCs/>
        </w:rPr>
        <w:t xml:space="preserve"> is modest</w:t>
      </w:r>
      <w:r w:rsidR="00D20886" w:rsidRPr="009901FA">
        <w:rPr>
          <w:bCs/>
        </w:rPr>
        <w:t>ly</w:t>
      </w:r>
      <w:r w:rsidR="007B4E4D" w:rsidRPr="009901FA">
        <w:rPr>
          <w:bCs/>
        </w:rPr>
        <w:t xml:space="preserve"> </w:t>
      </w:r>
      <w:r w:rsidR="004B0D86" w:rsidRPr="009901FA">
        <w:rPr>
          <w:bCs/>
        </w:rPr>
        <w:t xml:space="preserve">around $10/tonne. This </w:t>
      </w:r>
      <w:r w:rsidR="007B4E4D" w:rsidRPr="009901FA">
        <w:rPr>
          <w:bCs/>
        </w:rPr>
        <w:t>suggests</w:t>
      </w:r>
      <w:r w:rsidR="004B0D86" w:rsidRPr="009901FA">
        <w:rPr>
          <w:bCs/>
        </w:rPr>
        <w:t xml:space="preserve"> advanced landfilling </w:t>
      </w:r>
      <w:r w:rsidR="007B4E4D" w:rsidRPr="009901FA">
        <w:rPr>
          <w:bCs/>
        </w:rPr>
        <w:t xml:space="preserve">could be </w:t>
      </w:r>
      <w:r w:rsidR="004B0D86" w:rsidRPr="009901FA">
        <w:rPr>
          <w:bCs/>
        </w:rPr>
        <w:t xml:space="preserve">a financially viable </w:t>
      </w:r>
      <w:r w:rsidR="00D20886" w:rsidRPr="009901FA">
        <w:rPr>
          <w:bCs/>
        </w:rPr>
        <w:t>investment</w:t>
      </w:r>
      <w:r w:rsidR="004B0D86" w:rsidRPr="009901FA">
        <w:rPr>
          <w:bCs/>
        </w:rPr>
        <w:t xml:space="preserve"> in regions that rely heavily on landfill disposal, particularly where regulatory incentives can support cost recovery.</w:t>
      </w:r>
    </w:p>
    <w:p w14:paraId="2A09291C" w14:textId="4E0D17C3" w:rsidR="000723B5" w:rsidRPr="009901FA" w:rsidRDefault="002F67AA" w:rsidP="003446E0">
      <w:pPr>
        <w:rPr>
          <w:bCs/>
        </w:rPr>
      </w:pPr>
      <w:r w:rsidRPr="009901FA">
        <w:rPr>
          <w:b/>
          <w:bCs/>
        </w:rPr>
        <w:t xml:space="preserve">By contrast, the addition of CCS to incineration could significantly </w:t>
      </w:r>
      <w:r w:rsidR="00822B94" w:rsidRPr="009901FA">
        <w:rPr>
          <w:b/>
          <w:bCs/>
        </w:rPr>
        <w:t>increase</w:t>
      </w:r>
      <w:r w:rsidRPr="009901FA">
        <w:rPr>
          <w:b/>
          <w:bCs/>
        </w:rPr>
        <w:t xml:space="preserve"> project </w:t>
      </w:r>
      <w:r w:rsidR="00822B94" w:rsidRPr="009901FA">
        <w:rPr>
          <w:b/>
          <w:bCs/>
        </w:rPr>
        <w:t>costs</w:t>
      </w:r>
      <w:r w:rsidRPr="009901FA">
        <w:rPr>
          <w:b/>
          <w:bCs/>
        </w:rPr>
        <w:t>, particularly in incineration-dependent markets.</w:t>
      </w:r>
      <w:r w:rsidRPr="009901FA">
        <w:rPr>
          <w:bCs/>
        </w:rPr>
        <w:t xml:space="preserve"> As shown </w:t>
      </w:r>
      <w:r w:rsidR="00572E4B" w:rsidRPr="009901FA">
        <w:rPr>
          <w:bCs/>
        </w:rPr>
        <w:fldChar w:fldCharType="begin"/>
      </w:r>
      <w:r w:rsidR="00572E4B" w:rsidRPr="009901FA">
        <w:rPr>
          <w:bCs/>
        </w:rPr>
        <w:instrText xml:space="preserve"> REF _Ref203750981 \h </w:instrText>
      </w:r>
      <w:r w:rsidR="00A247A6">
        <w:rPr>
          <w:bCs/>
        </w:rPr>
        <w:instrText xml:space="preserve"> \* MERGEFORMAT </w:instrText>
      </w:r>
      <w:r w:rsidR="00572E4B" w:rsidRPr="009901FA">
        <w:rPr>
          <w:bCs/>
        </w:rPr>
      </w:r>
      <w:r w:rsidR="00572E4B" w:rsidRPr="009901FA">
        <w:rPr>
          <w:bCs/>
        </w:rPr>
        <w:fldChar w:fldCharType="separate"/>
      </w:r>
      <w:r w:rsidR="00DE378F" w:rsidRPr="009901FA">
        <w:t xml:space="preserve">Exhibit </w:t>
      </w:r>
      <w:r w:rsidR="00327B07">
        <w:rPr>
          <w:noProof/>
        </w:rPr>
        <w:t>5</w:t>
      </w:r>
      <w:r w:rsidR="00DE378F" w:rsidRPr="009901FA">
        <w:t>.</w:t>
      </w:r>
      <w:r w:rsidR="00DE378F" w:rsidRPr="009901FA">
        <w:rPr>
          <w:noProof/>
        </w:rPr>
        <w:t>8</w:t>
      </w:r>
      <w:r w:rsidR="00572E4B" w:rsidRPr="009901FA">
        <w:rPr>
          <w:bCs/>
        </w:rPr>
        <w:fldChar w:fldCharType="end"/>
      </w:r>
      <w:r w:rsidR="00572E4B" w:rsidRPr="009901FA">
        <w:rPr>
          <w:bCs/>
        </w:rPr>
        <w:t xml:space="preserve"> </w:t>
      </w:r>
      <w:r w:rsidR="00EB344B" w:rsidRPr="009901FA">
        <w:rPr>
          <w:bCs/>
        </w:rPr>
        <w:t>(right-hand side)</w:t>
      </w:r>
      <w:r w:rsidRPr="009901FA">
        <w:rPr>
          <w:bCs/>
        </w:rPr>
        <w:t xml:space="preserve">, incineration with CCS </w:t>
      </w:r>
      <w:r w:rsidR="00EB344B" w:rsidRPr="009901FA">
        <w:rPr>
          <w:bCs/>
        </w:rPr>
        <w:t>in the UK could</w:t>
      </w:r>
      <w:r w:rsidRPr="009901FA">
        <w:rPr>
          <w:bCs/>
        </w:rPr>
        <w:t xml:space="preserve"> require a steep additional </w:t>
      </w:r>
      <w:r w:rsidR="00B84123" w:rsidRPr="009901FA">
        <w:rPr>
          <w:bCs/>
        </w:rPr>
        <w:t>cost</w:t>
      </w:r>
      <w:r w:rsidRPr="009901FA">
        <w:rPr>
          <w:bCs/>
        </w:rPr>
        <w:t xml:space="preserve"> of approximately $130/tonne, translating to an extra $60/tonne in revenue required to breakeven. Even with electricity and heat revenues factored in, the financial gap is substantial, posing a challenge for widespread CCS deployment without substantial public subsidies or higher gate fees. This contrast underscores the relatively lower economic hurdle associated with scaling advanced landfilling technologies, which may offer a more pragmatic path for emission reduction in certain geographies.</w:t>
      </w:r>
    </w:p>
    <w:p w14:paraId="1C6D017A" w14:textId="52C524BC" w:rsidR="00572E4B" w:rsidRPr="009901FA" w:rsidRDefault="00572E4B" w:rsidP="00572E4B">
      <w:pPr>
        <w:pStyle w:val="Caption"/>
        <w:keepNext/>
      </w:pPr>
      <w:bookmarkStart w:id="161" w:name="_Ref203750981"/>
      <w:r w:rsidRPr="009901FA">
        <w:lastRenderedPageBreak/>
        <w:t xml:space="preserve">Exhibit </w:t>
      </w:r>
      <w:r w:rsidR="00327B07">
        <w:t>5</w:t>
      </w:r>
      <w:r w:rsidR="008725B4" w:rsidRPr="009901FA">
        <w:t>.</w:t>
      </w:r>
      <w:fldSimple w:instr=" SEQ Exhibit \* ARABIC \s 2 ">
        <w:r w:rsidR="00DE378F" w:rsidRPr="009901FA">
          <w:rPr>
            <w:noProof/>
          </w:rPr>
          <w:t>8</w:t>
        </w:r>
      </w:fldSimple>
      <w:bookmarkEnd w:id="161"/>
    </w:p>
    <w:p w14:paraId="4210231C" w14:textId="6C720113" w:rsidR="000723B5" w:rsidRPr="009901FA" w:rsidRDefault="000723B5" w:rsidP="003446E0">
      <w:pPr>
        <w:rPr>
          <w:rFonts w:eastAsia="MS Gothic" w:cs="Times New Roman"/>
          <w:color w:val="585854"/>
          <w:sz w:val="26"/>
          <w:szCs w:val="24"/>
        </w:rPr>
      </w:pPr>
      <w:r w:rsidRPr="009901FA">
        <w:rPr>
          <w:rFonts w:eastAsia="MS Gothic" w:cs="Times New Roman"/>
          <w:noProof/>
          <w:color w:val="585854"/>
          <w:sz w:val="26"/>
          <w:szCs w:val="24"/>
        </w:rPr>
        <w:drawing>
          <wp:inline distT="0" distB="0" distL="0" distR="0" wp14:anchorId="0E196AC9" wp14:editId="4586F47D">
            <wp:extent cx="5972175" cy="3401577"/>
            <wp:effectExtent l="0" t="0" r="0" b="8890"/>
            <wp:docPr id="1188427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427588" name="Picture 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976651" cy="3404126"/>
                    </a:xfrm>
                    <a:prstGeom prst="rect">
                      <a:avLst/>
                    </a:prstGeom>
                  </pic:spPr>
                </pic:pic>
              </a:graphicData>
            </a:graphic>
          </wp:inline>
        </w:drawing>
      </w:r>
    </w:p>
    <w:p w14:paraId="0EAB3523" w14:textId="77777777" w:rsidR="000723B5" w:rsidRPr="009901FA" w:rsidRDefault="000723B5" w:rsidP="003446E0">
      <w:pPr>
        <w:rPr>
          <w:rFonts w:eastAsia="MS Gothic" w:cs="Times New Roman"/>
          <w:color w:val="585854"/>
          <w:sz w:val="26"/>
          <w:szCs w:val="24"/>
        </w:rPr>
      </w:pPr>
    </w:p>
    <w:p w14:paraId="5EEF08FF" w14:textId="201E94A8" w:rsidR="00395B4A" w:rsidRPr="009901FA" w:rsidRDefault="00395B4A" w:rsidP="003446E0">
      <w:pPr>
        <w:rPr>
          <w:rFonts w:eastAsia="MS Gothic" w:cs="Times New Roman"/>
          <w:color w:val="585854"/>
          <w:sz w:val="26"/>
          <w:szCs w:val="24"/>
        </w:rPr>
      </w:pPr>
      <w:r w:rsidRPr="009901FA">
        <w:rPr>
          <w:rFonts w:eastAsia="MS Gothic" w:cs="Times New Roman"/>
          <w:color w:val="585854"/>
          <w:sz w:val="26"/>
          <w:szCs w:val="24"/>
        </w:rPr>
        <w:t>Impact</w:t>
      </w:r>
    </w:p>
    <w:p w14:paraId="00B79E3E" w14:textId="7825B540" w:rsidR="00BE203B" w:rsidRPr="009901FA" w:rsidRDefault="0024388C" w:rsidP="005250EC">
      <w:pPr>
        <w:rPr>
          <w:rFonts w:eastAsia="MS Gothic" w:cs="Times New Roman"/>
          <w:color w:val="585854"/>
          <w:sz w:val="26"/>
          <w:szCs w:val="24"/>
        </w:rPr>
      </w:pPr>
      <w:r w:rsidRPr="009901FA">
        <w:rPr>
          <w:b/>
        </w:rPr>
        <w:t>Advanced landfilling of MSW can reduce GHG emissions by up to 92% compared to managed landfilling, achieving emissions levels comparable to incineration with CCS.</w:t>
      </w:r>
      <w:r w:rsidRPr="009901FA">
        <w:rPr>
          <w:bCs/>
        </w:rPr>
        <w:t xml:space="preserve"> As shown in </w:t>
      </w:r>
      <w:r w:rsidR="00BE203B" w:rsidRPr="009901FA">
        <w:rPr>
          <w:bCs/>
        </w:rPr>
        <w:fldChar w:fldCharType="begin"/>
      </w:r>
      <w:r w:rsidR="00BE203B" w:rsidRPr="009901FA">
        <w:rPr>
          <w:bCs/>
        </w:rPr>
        <w:instrText xml:space="preserve"> REF _Ref203751112 \h </w:instrText>
      </w:r>
      <w:r w:rsidR="00A247A6">
        <w:rPr>
          <w:bCs/>
        </w:rPr>
        <w:instrText xml:space="preserve"> \* MERGEFORMAT </w:instrText>
      </w:r>
      <w:r w:rsidR="00BE203B" w:rsidRPr="009901FA">
        <w:rPr>
          <w:bCs/>
        </w:rPr>
      </w:r>
      <w:r w:rsidR="00BE203B" w:rsidRPr="009901FA">
        <w:rPr>
          <w:bCs/>
        </w:rPr>
        <w:fldChar w:fldCharType="separate"/>
      </w:r>
      <w:r w:rsidR="00DE378F" w:rsidRPr="009901FA">
        <w:t xml:space="preserve">Exhibit </w:t>
      </w:r>
      <w:r w:rsidR="00327B07">
        <w:rPr>
          <w:noProof/>
        </w:rPr>
        <w:t>5</w:t>
      </w:r>
      <w:r w:rsidR="00DE378F" w:rsidRPr="009901FA">
        <w:t>.</w:t>
      </w:r>
      <w:r w:rsidR="00DE378F" w:rsidRPr="009901FA">
        <w:rPr>
          <w:noProof/>
        </w:rPr>
        <w:t>9</w:t>
      </w:r>
      <w:r w:rsidR="00BE203B" w:rsidRPr="009901FA">
        <w:rPr>
          <w:bCs/>
        </w:rPr>
        <w:fldChar w:fldCharType="end"/>
      </w:r>
      <w:r w:rsidRPr="009901FA">
        <w:rPr>
          <w:bCs/>
        </w:rPr>
        <w:t xml:space="preserve">, combining MRBT with gas capture systems can </w:t>
      </w:r>
      <w:r w:rsidR="00A64DDE" w:rsidRPr="009901FA">
        <w:rPr>
          <w:bCs/>
        </w:rPr>
        <w:t>reduce</w:t>
      </w:r>
      <w:r w:rsidRPr="009901FA">
        <w:rPr>
          <w:bCs/>
        </w:rPr>
        <w:t xml:space="preserve"> emissions </w:t>
      </w:r>
      <w:r w:rsidR="00A64DDE" w:rsidRPr="009901FA">
        <w:rPr>
          <w:bCs/>
        </w:rPr>
        <w:t xml:space="preserve">by a factor of </w:t>
      </w:r>
      <w:r w:rsidR="00DE1128" w:rsidRPr="009901FA">
        <w:rPr>
          <w:bCs/>
        </w:rPr>
        <w:t>~</w:t>
      </w:r>
      <w:r w:rsidR="00A64DDE" w:rsidRPr="009901FA">
        <w:rPr>
          <w:bCs/>
        </w:rPr>
        <w:t>10,</w:t>
      </w:r>
      <w:r w:rsidRPr="009901FA">
        <w:rPr>
          <w:bCs/>
        </w:rPr>
        <w:t xml:space="preserve"> from 2.1 tCO</w:t>
      </w:r>
      <w:r w:rsidRPr="00A247A6">
        <w:rPr>
          <w:rFonts w:ascii="Cambria Math" w:hAnsi="Cambria Math" w:cs="Cambria Math"/>
          <w:bCs/>
        </w:rPr>
        <w:t>₂</w:t>
      </w:r>
      <w:r w:rsidRPr="009901FA">
        <w:rPr>
          <w:bCs/>
        </w:rPr>
        <w:t>e/t waste (for conventional managed landfills) down to 0.2 tCO</w:t>
      </w:r>
      <w:r w:rsidRPr="00A247A6">
        <w:rPr>
          <w:rFonts w:ascii="Cambria Math" w:hAnsi="Cambria Math" w:cs="Cambria Math"/>
          <w:bCs/>
        </w:rPr>
        <w:t>₂</w:t>
      </w:r>
      <w:r w:rsidRPr="009901FA">
        <w:rPr>
          <w:bCs/>
        </w:rPr>
        <w:t>e/t. This is on par with the emissions from incineration with CCS, which also achieves 0.1</w:t>
      </w:r>
      <w:r w:rsidRPr="009901FA">
        <w:rPr>
          <w:rFonts w:cs="Arial Nova"/>
          <w:bCs/>
        </w:rPr>
        <w:t>–</w:t>
      </w:r>
      <w:r w:rsidRPr="009901FA">
        <w:rPr>
          <w:bCs/>
        </w:rPr>
        <w:t>0.2 tCO</w:t>
      </w:r>
      <w:r w:rsidRPr="00A247A6">
        <w:rPr>
          <w:rFonts w:ascii="Cambria Math" w:hAnsi="Cambria Math" w:cs="Cambria Math"/>
          <w:bCs/>
        </w:rPr>
        <w:t>₂</w:t>
      </w:r>
      <w:r w:rsidRPr="009901FA">
        <w:rPr>
          <w:bCs/>
        </w:rPr>
        <w:t xml:space="preserve">e/t waste. </w:t>
      </w:r>
      <w:r w:rsidR="005250EC" w:rsidRPr="009901FA">
        <w:rPr>
          <w:bCs/>
        </w:rPr>
        <w:t>P</w:t>
      </w:r>
      <w:r w:rsidR="005250EC" w:rsidRPr="009901FA">
        <w:t>ure plastic waste emits less (0.1 tCO</w:t>
      </w:r>
      <w:r w:rsidR="005250EC" w:rsidRPr="00A247A6">
        <w:rPr>
          <w:rFonts w:ascii="Cambria Math" w:hAnsi="Cambria Math" w:cs="Cambria Math"/>
        </w:rPr>
        <w:t>₂</w:t>
      </w:r>
      <w:r w:rsidR="005250EC" w:rsidRPr="009901FA">
        <w:t>e/t) than MSW (2.1 tCO</w:t>
      </w:r>
      <w:r w:rsidR="005250EC" w:rsidRPr="00A247A6">
        <w:rPr>
          <w:rFonts w:ascii="Cambria Math" w:hAnsi="Cambria Math" w:cs="Cambria Math"/>
        </w:rPr>
        <w:t>₂</w:t>
      </w:r>
      <w:r w:rsidR="005250EC" w:rsidRPr="009901FA">
        <w:t>e/t), since plastics do not generate methane in anaerobic conditions.</w:t>
      </w:r>
      <w:r w:rsidR="005250EC" w:rsidRPr="009901FA">
        <w:rPr>
          <w:bCs/>
        </w:rPr>
        <w:t xml:space="preserve"> </w:t>
      </w:r>
      <w:r w:rsidRPr="009901FA">
        <w:rPr>
          <w:bCs/>
        </w:rPr>
        <w:t>MRBT contributes significantly to this reduction by biologically stabili</w:t>
      </w:r>
      <w:r w:rsidR="00F379C2" w:rsidRPr="009901FA">
        <w:rPr>
          <w:bCs/>
        </w:rPr>
        <w:t>s</w:t>
      </w:r>
      <w:r w:rsidRPr="009901FA">
        <w:rPr>
          <w:bCs/>
        </w:rPr>
        <w:t>ing organic waste and minimi</w:t>
      </w:r>
      <w:r w:rsidR="00F379C2" w:rsidRPr="009901FA">
        <w:rPr>
          <w:bCs/>
        </w:rPr>
        <w:t>s</w:t>
      </w:r>
      <w:r w:rsidRPr="009901FA">
        <w:rPr>
          <w:bCs/>
        </w:rPr>
        <w:t>ing methane generation</w:t>
      </w:r>
      <w:r w:rsidR="00F379C2" w:rsidRPr="009901FA">
        <w:rPr>
          <w:rFonts w:cs="Arial Nova"/>
          <w:bCs/>
        </w:rPr>
        <w:t>.</w:t>
      </w:r>
      <w:r w:rsidRPr="009901FA">
        <w:rPr>
          <w:rFonts w:cs="Arial Nova"/>
        </w:rPr>
        <w:t xml:space="preserve"> </w:t>
      </w:r>
      <w:r w:rsidRPr="009901FA">
        <w:rPr>
          <w:bCs/>
        </w:rPr>
        <w:t xml:space="preserve">When paired with gas capture infrastructure, the remaining </w:t>
      </w:r>
      <w:r w:rsidR="00F379C2" w:rsidRPr="009901FA">
        <w:rPr>
          <w:bCs/>
        </w:rPr>
        <w:t>landfill gas</w:t>
      </w:r>
      <w:r w:rsidRPr="009901FA">
        <w:rPr>
          <w:bCs/>
        </w:rPr>
        <w:t xml:space="preserve"> emissions can be further contained, delivering </w:t>
      </w:r>
      <w:r w:rsidR="00932513" w:rsidRPr="009901FA">
        <w:rPr>
          <w:bCs/>
        </w:rPr>
        <w:t>significant GHG</w:t>
      </w:r>
      <w:r w:rsidRPr="009901FA">
        <w:rPr>
          <w:bCs/>
        </w:rPr>
        <w:t xml:space="preserve"> mitigation p</w:t>
      </w:r>
      <w:r w:rsidR="00932513" w:rsidRPr="009901FA">
        <w:rPr>
          <w:bCs/>
        </w:rPr>
        <w:t>otential</w:t>
      </w:r>
      <w:r w:rsidRPr="009901FA">
        <w:rPr>
          <w:bCs/>
        </w:rPr>
        <w:t>.</w:t>
      </w:r>
      <w:r w:rsidR="00AA65CD" w:rsidRPr="009901FA">
        <w:rPr>
          <w:bCs/>
        </w:rPr>
        <w:t xml:space="preserve"> </w:t>
      </w:r>
      <w:r w:rsidR="00BF33A8" w:rsidRPr="009901FA">
        <w:rPr>
          <w:bCs/>
        </w:rPr>
        <w:t xml:space="preserve">As </w:t>
      </w:r>
      <w:r w:rsidR="00707477" w:rsidRPr="009901FA">
        <w:rPr>
          <w:bCs/>
        </w:rPr>
        <w:t xml:space="preserve">methane represents </w:t>
      </w:r>
      <w:r w:rsidR="00BF33A8" w:rsidRPr="009901FA">
        <w:rPr>
          <w:bCs/>
        </w:rPr>
        <w:t>~90% of landfill GHG emissions,</w:t>
      </w:r>
      <w:r w:rsidR="002840BD" w:rsidRPr="009901FA">
        <w:rPr>
          <w:bCs/>
        </w:rPr>
        <w:t xml:space="preserve"> abatement is particularly important given methane’s high global warming potential over a 20-year horizon, where its impact is over 80 times that of CO</w:t>
      </w:r>
      <w:r w:rsidR="002840BD" w:rsidRPr="009901FA">
        <w:rPr>
          <w:bCs/>
          <w:vertAlign w:val="subscript"/>
        </w:rPr>
        <w:t>2</w:t>
      </w:r>
      <w:r w:rsidR="002840BD" w:rsidRPr="009901FA">
        <w:rPr>
          <w:bCs/>
        </w:rPr>
        <w:t>.</w:t>
      </w:r>
      <w:r w:rsidR="00DC6F24" w:rsidRPr="009901FA">
        <w:rPr>
          <w:rStyle w:val="FootnoteReference"/>
          <w:bCs/>
        </w:rPr>
        <w:footnoteReference w:id="102"/>
      </w:r>
    </w:p>
    <w:p w14:paraId="336381AA" w14:textId="01194D00" w:rsidR="00BE203B" w:rsidRPr="009901FA" w:rsidRDefault="00BE203B" w:rsidP="00BE203B">
      <w:pPr>
        <w:pStyle w:val="Caption"/>
        <w:keepNext/>
      </w:pPr>
      <w:bookmarkStart w:id="162" w:name="_Ref203751112"/>
      <w:r w:rsidRPr="009901FA">
        <w:lastRenderedPageBreak/>
        <w:t xml:space="preserve">Exhibit </w:t>
      </w:r>
      <w:r w:rsidR="00327B07">
        <w:t>5</w:t>
      </w:r>
      <w:r w:rsidR="008725B4" w:rsidRPr="009901FA">
        <w:t>.</w:t>
      </w:r>
      <w:fldSimple w:instr=" SEQ Exhibit \* ARABIC \s 2 ">
        <w:r w:rsidR="00DE378F" w:rsidRPr="009901FA">
          <w:rPr>
            <w:noProof/>
          </w:rPr>
          <w:t>9</w:t>
        </w:r>
      </w:fldSimple>
      <w:bookmarkEnd w:id="162"/>
    </w:p>
    <w:p w14:paraId="773478FD" w14:textId="3EEB0F0A" w:rsidR="00395B4A" w:rsidRPr="009901FA" w:rsidRDefault="00D1564B" w:rsidP="00F61353">
      <w:pPr>
        <w:rPr>
          <w:rFonts w:eastAsia="MS Gothic" w:cs="Times New Roman"/>
          <w:color w:val="585854"/>
          <w:sz w:val="26"/>
          <w:szCs w:val="24"/>
        </w:rPr>
      </w:pPr>
      <w:r w:rsidRPr="009901FA">
        <w:rPr>
          <w:noProof/>
        </w:rPr>
        <w:drawing>
          <wp:inline distT="0" distB="0" distL="0" distR="0" wp14:anchorId="4D985EC4" wp14:editId="75B41C0E">
            <wp:extent cx="6263640" cy="3523615"/>
            <wp:effectExtent l="0" t="0" r="0" b="635"/>
            <wp:docPr id="57708899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088993" name=""/>
                    <pic:cNvPicPr/>
                  </pic:nvPicPr>
                  <pic:blipFill>
                    <a:blip r:embed="rId149">
                      <a:extLst>
                        <a:ext uri="{96DAC541-7B7A-43D3-8B79-37D633B846F1}">
                          <asvg:svgBlip xmlns:asvg="http://schemas.microsoft.com/office/drawing/2016/SVG/main" r:embed="rId150"/>
                        </a:ext>
                      </a:extLst>
                    </a:blip>
                    <a:stretch>
                      <a:fillRect/>
                    </a:stretch>
                  </pic:blipFill>
                  <pic:spPr>
                    <a:xfrm>
                      <a:off x="0" y="0"/>
                      <a:ext cx="6263640" cy="3523615"/>
                    </a:xfrm>
                    <a:prstGeom prst="rect">
                      <a:avLst/>
                    </a:prstGeom>
                  </pic:spPr>
                </pic:pic>
              </a:graphicData>
            </a:graphic>
          </wp:inline>
        </w:drawing>
      </w:r>
    </w:p>
    <w:p w14:paraId="662DBA44" w14:textId="77777777" w:rsidR="00395B4A" w:rsidRPr="009901FA" w:rsidRDefault="00395B4A" w:rsidP="00182D34"/>
    <w:p w14:paraId="6B677ED9" w14:textId="4F17A3C5" w:rsidR="00395B4A" w:rsidRPr="009901FA" w:rsidRDefault="00395B4A" w:rsidP="00182D34">
      <w:pPr>
        <w:spacing w:before="40" w:after="0" w:line="259" w:lineRule="auto"/>
        <w:outlineLvl w:val="4"/>
        <w:rPr>
          <w:rFonts w:eastAsia="MS Gothic" w:cs="Times New Roman"/>
          <w:color w:val="585854"/>
          <w:sz w:val="26"/>
          <w:szCs w:val="24"/>
        </w:rPr>
      </w:pPr>
      <w:r w:rsidRPr="009901FA">
        <w:rPr>
          <w:rFonts w:eastAsia="MS Gothic" w:cs="Times New Roman"/>
          <w:color w:val="585854"/>
          <w:sz w:val="26"/>
          <w:szCs w:val="24"/>
        </w:rPr>
        <w:t>Barriers and enablers</w:t>
      </w:r>
    </w:p>
    <w:p w14:paraId="1B54FF40" w14:textId="71D9C621" w:rsidR="00182D34" w:rsidRPr="009901FA" w:rsidRDefault="00BC52B8" w:rsidP="00ED5880">
      <w:pPr>
        <w:spacing w:before="40"/>
        <w:outlineLvl w:val="4"/>
      </w:pPr>
      <w:r w:rsidRPr="009901FA">
        <w:rPr>
          <w:b/>
          <w:bCs/>
        </w:rPr>
        <w:t xml:space="preserve">One of the primary barriers to advanced landfilling is the lack of upfront capital and operational funding, especially in low- and middle-income regions. </w:t>
      </w:r>
      <w:r w:rsidRPr="009901FA">
        <w:t xml:space="preserve">Technologies such as MRBT, comprehensive methane detection, and landfill gas capture systems require significant investment in infrastructure </w:t>
      </w:r>
      <w:r w:rsidR="0071664A" w:rsidRPr="009901FA">
        <w:t xml:space="preserve">and </w:t>
      </w:r>
      <w:r w:rsidRPr="009901FA">
        <w:t>equipment, a</w:t>
      </w:r>
      <w:r w:rsidR="0071664A" w:rsidRPr="009901FA">
        <w:t>long with the development of a</w:t>
      </w:r>
      <w:r w:rsidRPr="009901FA">
        <w:t xml:space="preserve"> skilled workforce. Many municipalities still operate under budget-constrained waste management systems, </w:t>
      </w:r>
      <w:r w:rsidR="001C005D" w:rsidRPr="009901FA">
        <w:t xml:space="preserve">with </w:t>
      </w:r>
      <w:r w:rsidR="00BA0C16" w:rsidRPr="009901FA">
        <w:t xml:space="preserve">unsanitary landfills or open dumpsites common in low-income </w:t>
      </w:r>
      <w:r w:rsidR="00F32659" w:rsidRPr="009901FA">
        <w:t>countries.</w:t>
      </w:r>
      <w:r w:rsidRPr="009901FA">
        <w:t xml:space="preserve"> </w:t>
      </w:r>
      <w:r w:rsidR="00054053" w:rsidRPr="009901FA">
        <w:t xml:space="preserve">Investments may therefore be </w:t>
      </w:r>
      <w:r w:rsidRPr="009901FA">
        <w:t>difficult to justify without guaranteed returns</w:t>
      </w:r>
      <w:r w:rsidR="00054053" w:rsidRPr="009901FA">
        <w:t xml:space="preserve"> or proper revenue mechanisms</w:t>
      </w:r>
      <w:r w:rsidRPr="009901FA">
        <w:t xml:space="preserve"> (e.g. </w:t>
      </w:r>
      <w:r w:rsidR="00054053" w:rsidRPr="009901FA">
        <w:t>sufficient gate fees for waste collection)</w:t>
      </w:r>
      <w:r w:rsidRPr="009901FA">
        <w:t>, limiting their attractiveness to both public and private investors.</w:t>
      </w:r>
    </w:p>
    <w:p w14:paraId="2B705172" w14:textId="5F3C4438" w:rsidR="009E2D8E" w:rsidRPr="009901FA" w:rsidRDefault="00BD3B26" w:rsidP="00ED5880">
      <w:pPr>
        <w:spacing w:before="40"/>
        <w:outlineLvl w:val="4"/>
      </w:pPr>
      <w:r w:rsidRPr="009901FA">
        <w:rPr>
          <w:b/>
          <w:bCs/>
        </w:rPr>
        <w:t>Another major barrier is access to land</w:t>
      </w:r>
      <w:r w:rsidRPr="009901FA">
        <w:t>. In densely populated or rapidly urbanising areas, securing adequate space for landfill sites is increasingly difficult. Land near population centres is highly competitive, and new landfill proposals often face strong local opposition due to concerns about odour, traffic, health impacts, and land value. This spatial constraint can push policymakers toward waste-to-energy incineration, which requires less land and can be co-located with industrial facilities. However, this shift often comes at the cost of higher emissions and lower material recovery.</w:t>
      </w:r>
      <w:r w:rsidR="006022C9" w:rsidRPr="009901FA">
        <w:t xml:space="preserve"> </w:t>
      </w:r>
      <w:r w:rsidR="00243765" w:rsidRPr="009901FA">
        <w:t>Despite these pressures, the cumulative land required for landfilling all</w:t>
      </w:r>
      <w:r w:rsidR="006022C9" w:rsidRPr="009901FA">
        <w:t xml:space="preserve"> </w:t>
      </w:r>
      <w:r w:rsidR="006022C9" w:rsidRPr="009901FA">
        <w:lastRenderedPageBreak/>
        <w:t xml:space="preserve">plastic waste generated between now and 2040 is </w:t>
      </w:r>
      <w:r w:rsidR="00243765" w:rsidRPr="009901FA">
        <w:t>projected</w:t>
      </w:r>
      <w:r w:rsidR="006022C9" w:rsidRPr="009901FA">
        <w:t xml:space="preserve"> to </w:t>
      </w:r>
      <w:r w:rsidR="00243765" w:rsidRPr="009901FA">
        <w:t xml:space="preserve">remain minimal, constituting less than </w:t>
      </w:r>
      <w:r w:rsidR="006022C9" w:rsidRPr="009901FA">
        <w:t>0.00</w:t>
      </w:r>
      <w:r w:rsidR="00EC5516" w:rsidRPr="009901FA">
        <w:t>1</w:t>
      </w:r>
      <w:r w:rsidR="00243765" w:rsidRPr="009901FA">
        <w:t>%</w:t>
      </w:r>
      <w:r w:rsidR="006022C9" w:rsidRPr="009901FA">
        <w:t xml:space="preserve"> of Earth’s total land area.</w:t>
      </w:r>
      <w:r w:rsidR="00243765" w:rsidRPr="009901FA">
        <w:rPr>
          <w:rStyle w:val="FootnoteReference"/>
        </w:rPr>
        <w:footnoteReference w:id="103"/>
      </w:r>
    </w:p>
    <w:p w14:paraId="0FF60F5E" w14:textId="1A688B9C" w:rsidR="00ED5880" w:rsidRPr="009901FA" w:rsidRDefault="00E613E4" w:rsidP="00ED5880">
      <w:pPr>
        <w:spacing w:before="40"/>
        <w:outlineLvl w:val="4"/>
      </w:pPr>
      <w:r w:rsidRPr="009901FA">
        <w:rPr>
          <w:b/>
          <w:bCs/>
        </w:rPr>
        <w:t>A</w:t>
      </w:r>
      <w:r w:rsidR="00175875" w:rsidRPr="009901FA">
        <w:rPr>
          <w:b/>
          <w:bCs/>
        </w:rPr>
        <w:t xml:space="preserve"> </w:t>
      </w:r>
      <w:r w:rsidR="00BD3B26" w:rsidRPr="009901FA">
        <w:rPr>
          <w:b/>
          <w:bCs/>
        </w:rPr>
        <w:t>further</w:t>
      </w:r>
      <w:r w:rsidRPr="009901FA">
        <w:rPr>
          <w:b/>
          <w:bCs/>
        </w:rPr>
        <w:t xml:space="preserve"> barrier lies in the lack of strong policy frameworks </w:t>
      </w:r>
      <w:r w:rsidR="00B57EC7" w:rsidRPr="009901FA">
        <w:rPr>
          <w:b/>
          <w:bCs/>
        </w:rPr>
        <w:t>supporting</w:t>
      </w:r>
      <w:r w:rsidRPr="009901FA">
        <w:rPr>
          <w:b/>
          <w:bCs/>
        </w:rPr>
        <w:t xml:space="preserve"> the adoption of </w:t>
      </w:r>
      <w:r w:rsidR="004217B4" w:rsidRPr="009901FA">
        <w:rPr>
          <w:b/>
          <w:bCs/>
        </w:rPr>
        <w:t>advanced landfilling</w:t>
      </w:r>
      <w:r w:rsidRPr="009901FA">
        <w:rPr>
          <w:b/>
          <w:bCs/>
        </w:rPr>
        <w:t xml:space="preserve"> technologies. </w:t>
      </w:r>
      <w:r w:rsidRPr="009901FA">
        <w:t>In many countries, regulations governing landfilling practices are either outdated or insufficiently enforced, allowing continued reliance on low-cost, high-emission landfill operations. Without clear mandates to reduce biodegradable waste or control methane emissions, there is little regulatory pressure to moderni</w:t>
      </w:r>
      <w:r w:rsidR="000017CD" w:rsidRPr="009901FA">
        <w:t>s</w:t>
      </w:r>
      <w:r w:rsidRPr="009901FA">
        <w:t>e landfills. Additionally, fragmented jurisdiction between national and local governments can lead to inconsistent implementation</w:t>
      </w:r>
      <w:r w:rsidR="00E25C3C" w:rsidRPr="009901FA">
        <w:t xml:space="preserve"> (e.g. national government regulations on GHG emission</w:t>
      </w:r>
      <w:r w:rsidR="00BD5970" w:rsidRPr="009901FA">
        <w:t>s</w:t>
      </w:r>
      <w:r w:rsidR="00771FCF" w:rsidRPr="009901FA">
        <w:t xml:space="preserve"> versus local government management of waste)</w:t>
      </w:r>
      <w:r w:rsidRPr="009901FA">
        <w:t>, further hindering technology deployment.</w:t>
      </w:r>
      <w:r w:rsidR="003B5619" w:rsidRPr="009901FA">
        <w:t xml:space="preserve"> </w:t>
      </w:r>
      <w:r w:rsidR="002F7EA7" w:rsidRPr="009901FA">
        <w:t>I</w:t>
      </w:r>
      <w:r w:rsidR="003B5619" w:rsidRPr="009901FA">
        <w:t>n high-income countries, another critical challenge is the existence of long-term</w:t>
      </w:r>
      <w:r w:rsidR="006B51ED" w:rsidRPr="009901FA">
        <w:t xml:space="preserve"> waste</w:t>
      </w:r>
      <w:r w:rsidR="003B5619" w:rsidRPr="009901FA">
        <w:t xml:space="preserve"> incineration contracts between municipalities and private operators, creat</w:t>
      </w:r>
      <w:r w:rsidR="006B51ED" w:rsidRPr="009901FA">
        <w:t xml:space="preserve">ing </w:t>
      </w:r>
      <w:r w:rsidR="003B5619" w:rsidRPr="009901FA">
        <w:t>a strong lock-in effect. These agreements</w:t>
      </w:r>
      <w:r w:rsidR="00050045" w:rsidRPr="009901FA">
        <w:t xml:space="preserve"> </w:t>
      </w:r>
      <w:r w:rsidR="003E3444" w:rsidRPr="009901FA">
        <w:t xml:space="preserve">can be </w:t>
      </w:r>
      <w:r w:rsidR="003B5619" w:rsidRPr="009901FA">
        <w:t xml:space="preserve">expensive to exit and discourage the consideration of alternative solutions </w:t>
      </w:r>
      <w:r w:rsidR="00780F7C" w:rsidRPr="009901FA">
        <w:t>such as</w:t>
      </w:r>
      <w:r w:rsidR="003B5619" w:rsidRPr="009901FA">
        <w:t xml:space="preserve"> advanced landfilling. In parallel, incineration</w:t>
      </w:r>
      <w:r w:rsidR="001A0044" w:rsidRPr="009901FA">
        <w:t xml:space="preserve"> of waste to produce power</w:t>
      </w:r>
      <w:r w:rsidR="003B5619" w:rsidRPr="009901FA">
        <w:t xml:space="preserve"> continues to benefit from favourable carbon accounting (e.g. grid electricity </w:t>
      </w:r>
      <w:r w:rsidR="0055780D" w:rsidRPr="009901FA">
        <w:t xml:space="preserve">emissions </w:t>
      </w:r>
      <w:r w:rsidR="003B5619" w:rsidRPr="009901FA">
        <w:t xml:space="preserve">offsetting), despite being one of the most carbon-intensive ways to generate </w:t>
      </w:r>
      <w:r w:rsidR="001A0044" w:rsidRPr="009901FA">
        <w:t>electricity</w:t>
      </w:r>
      <w:r w:rsidR="003B5619" w:rsidRPr="009901FA">
        <w:t>.</w:t>
      </w:r>
    </w:p>
    <w:p w14:paraId="648F1405" w14:textId="5FC5F9C3" w:rsidR="009E2D8E" w:rsidRPr="009901FA" w:rsidRDefault="005C33DA" w:rsidP="00ED5880">
      <w:pPr>
        <w:keepNext/>
        <w:keepLines/>
        <w:spacing w:before="40"/>
        <w:outlineLvl w:val="4"/>
      </w:pPr>
      <w:r w:rsidRPr="009901FA">
        <w:rPr>
          <w:b/>
          <w:bCs/>
        </w:rPr>
        <w:lastRenderedPageBreak/>
        <w:t>Social acceptability and broader environmental</w:t>
      </w:r>
      <w:r w:rsidR="00A72794" w:rsidRPr="009901FA">
        <w:rPr>
          <w:b/>
          <w:bCs/>
        </w:rPr>
        <w:t xml:space="preserve"> considerations pose additional barriers to scaling advanced landfilling</w:t>
      </w:r>
      <w:r w:rsidR="0043126E" w:rsidRPr="009901FA">
        <w:rPr>
          <w:b/>
          <w:bCs/>
        </w:rPr>
        <w:t>.</w:t>
      </w:r>
      <w:r w:rsidR="0043126E" w:rsidRPr="009901FA">
        <w:t xml:space="preserve"> </w:t>
      </w:r>
      <w:r w:rsidR="00AC5D29" w:rsidRPr="009901FA">
        <w:t>Public perception of landfills are often negative</w:t>
      </w:r>
      <w:r w:rsidR="00AC5D29" w:rsidRPr="009901FA">
        <w:rPr>
          <w:b/>
          <w:bCs/>
        </w:rPr>
        <w:t xml:space="preserve">, </w:t>
      </w:r>
      <w:r w:rsidR="00AC5D29" w:rsidRPr="009901FA">
        <w:t>given their</w:t>
      </w:r>
      <w:r w:rsidR="00AC5D29" w:rsidRPr="009901FA">
        <w:rPr>
          <w:b/>
          <w:bCs/>
        </w:rPr>
        <w:t xml:space="preserve"> </w:t>
      </w:r>
      <w:r w:rsidR="0043126E" w:rsidRPr="009901FA">
        <w:t>associat</w:t>
      </w:r>
      <w:r w:rsidR="00AC5D29" w:rsidRPr="009901FA">
        <w:t>ion</w:t>
      </w:r>
      <w:r w:rsidR="0043126E" w:rsidRPr="009901FA">
        <w:t xml:space="preserve"> with </w:t>
      </w:r>
      <w:r w:rsidR="00214A44" w:rsidRPr="009901FA">
        <w:t>land</w:t>
      </w:r>
      <w:r w:rsidR="0043126E" w:rsidRPr="009901FA">
        <w:t xml:space="preserve"> degradation,</w:t>
      </w:r>
      <w:r w:rsidR="00214A44" w:rsidRPr="009901FA">
        <w:t xml:space="preserve"> environmental contamination</w:t>
      </w:r>
      <w:r w:rsidR="0043126E" w:rsidRPr="009901FA">
        <w:t xml:space="preserve"> risks, </w:t>
      </w:r>
      <w:r w:rsidR="00214A44" w:rsidRPr="009901FA">
        <w:t xml:space="preserve">and </w:t>
      </w:r>
      <w:r w:rsidR="00AC5D29" w:rsidRPr="009901FA">
        <w:t xml:space="preserve">unfavourable </w:t>
      </w:r>
      <w:r w:rsidR="0043126E" w:rsidRPr="009901FA">
        <w:t>odour</w:t>
      </w:r>
      <w:r w:rsidR="00214A44" w:rsidRPr="009901FA">
        <w:t xml:space="preserve">s/sights. Hence, local </w:t>
      </w:r>
      <w:r w:rsidR="0043126E" w:rsidRPr="009901FA">
        <w:t>communities</w:t>
      </w:r>
      <w:r w:rsidR="007A2C9E" w:rsidRPr="009901FA">
        <w:t xml:space="preserve"> are not</w:t>
      </w:r>
      <w:r w:rsidR="00515B3C" w:rsidRPr="009901FA">
        <w:t xml:space="preserve"> typically</w:t>
      </w:r>
      <w:r w:rsidR="007A2C9E" w:rsidRPr="009901FA">
        <w:t xml:space="preserve"> in favour of nearby landfill sites</w:t>
      </w:r>
      <w:r w:rsidR="0043126E" w:rsidRPr="009901FA">
        <w:t>.</w:t>
      </w:r>
      <w:r w:rsidR="00F97CC4" w:rsidRPr="009901FA">
        <w:t xml:space="preserve"> Investing in well-managed and state-of-the-art facilities can help build trust and shift social acceptability around modern landfilling.</w:t>
      </w:r>
      <w:r w:rsidR="00F64266" w:rsidRPr="009901FA">
        <w:t xml:space="preserve"> </w:t>
      </w:r>
      <w:r w:rsidR="000822A0" w:rsidRPr="009901FA">
        <w:t xml:space="preserve">While critics may argue that advanced landfilling could reduce momentum for upstream waste prevention, it is important to recognise </w:t>
      </w:r>
      <w:r w:rsidR="00436BCF" w:rsidRPr="009901FA">
        <w:t>their climate benefits</w:t>
      </w:r>
      <w:r w:rsidR="000822A0" w:rsidRPr="009901FA">
        <w:t xml:space="preserve">. </w:t>
      </w:r>
      <w:r w:rsidR="009F0F87" w:rsidRPr="009901FA">
        <w:t>Advanced (m</w:t>
      </w:r>
      <w:r w:rsidR="000822A0" w:rsidRPr="009901FA">
        <w:t>ethane-mitigated</w:t>
      </w:r>
      <w:r w:rsidR="009F0F87" w:rsidRPr="009901FA">
        <w:t>)</w:t>
      </w:r>
      <w:r w:rsidR="000822A0" w:rsidRPr="009901FA">
        <w:t xml:space="preserve"> landfills represent a substantially lower-emission alternative to unabated incineration and offer a pragmatic near-term strategy in landfill-dependent regions.</w:t>
      </w:r>
    </w:p>
    <w:p w14:paraId="78570BA3" w14:textId="5FE33DDC" w:rsidR="009E2D8E" w:rsidRPr="009901FA" w:rsidRDefault="00731EEC" w:rsidP="00ED5880">
      <w:pPr>
        <w:keepNext/>
        <w:keepLines/>
        <w:spacing w:before="40"/>
        <w:outlineLvl w:val="4"/>
      </w:pPr>
      <w:r w:rsidRPr="009901FA">
        <w:rPr>
          <w:b/>
          <w:bCs/>
        </w:rPr>
        <w:t xml:space="preserve">Policy mandates and regulatory requirements are critical enablers for scaling advanced landfill technologies by creating binding obligations </w:t>
      </w:r>
      <w:r w:rsidR="00344AF1" w:rsidRPr="009901FA">
        <w:rPr>
          <w:b/>
          <w:bCs/>
        </w:rPr>
        <w:t>to</w:t>
      </w:r>
      <w:r w:rsidRPr="009901FA">
        <w:rPr>
          <w:b/>
          <w:bCs/>
        </w:rPr>
        <w:t xml:space="preserve"> reduce emissions. </w:t>
      </w:r>
      <w:r w:rsidR="00E116D5" w:rsidRPr="009901FA">
        <w:t>T</w:t>
      </w:r>
      <w:r w:rsidRPr="009901FA">
        <w:t>he EU Landfill Directive</w:t>
      </w:r>
      <w:r w:rsidR="000E0414" w:rsidRPr="009901FA">
        <w:t>, for</w:t>
      </w:r>
      <w:r w:rsidRPr="009901FA">
        <w:t xml:space="preserve"> example</w:t>
      </w:r>
      <w:r w:rsidR="00344AF1" w:rsidRPr="009901FA">
        <w:t>,</w:t>
      </w:r>
      <w:r w:rsidRPr="009901FA">
        <w:t xml:space="preserve"> requir</w:t>
      </w:r>
      <w:r w:rsidR="00B86798" w:rsidRPr="009901FA">
        <w:t>es</w:t>
      </w:r>
      <w:r w:rsidRPr="009901FA">
        <w:t xml:space="preserve"> Member States to cut the volume of biodegradable waste sent to landfills by 35% relative to 1995 levels</w:t>
      </w:r>
      <w:r w:rsidR="005B7CF5" w:rsidRPr="009901FA">
        <w:t>.</w:t>
      </w:r>
      <w:r w:rsidR="00344AF1" w:rsidRPr="009901FA">
        <w:rPr>
          <w:rStyle w:val="FootnoteReference"/>
        </w:rPr>
        <w:footnoteReference w:id="104"/>
      </w:r>
      <w:r w:rsidR="00344AF1" w:rsidRPr="009901FA">
        <w:t xml:space="preserve"> </w:t>
      </w:r>
      <w:r w:rsidR="00013324" w:rsidRPr="009901FA">
        <w:t xml:space="preserve">Complementing this, the EU Waste Framework Directive has mandated the separate </w:t>
      </w:r>
      <w:r w:rsidR="00784E02" w:rsidRPr="009901FA">
        <w:t xml:space="preserve">recycling and </w:t>
      </w:r>
      <w:r w:rsidR="00013324" w:rsidRPr="009901FA">
        <w:t>collection of biowaste since end of 2023.</w:t>
      </w:r>
      <w:r w:rsidR="00B44A4B" w:rsidRPr="009901FA">
        <w:rPr>
          <w:rStyle w:val="FootnoteReference"/>
        </w:rPr>
        <w:footnoteReference w:id="105"/>
      </w:r>
      <w:r w:rsidR="00013324" w:rsidRPr="009901FA">
        <w:t xml:space="preserve"> </w:t>
      </w:r>
      <w:r w:rsidR="00F350D2" w:rsidRPr="009901FA">
        <w:t>Th</w:t>
      </w:r>
      <w:r w:rsidR="00013324" w:rsidRPr="009901FA">
        <w:t>ese</w:t>
      </w:r>
      <w:r w:rsidR="00F350D2" w:rsidRPr="009901FA">
        <w:t xml:space="preserve"> mechanism</w:t>
      </w:r>
      <w:r w:rsidR="00950C27" w:rsidRPr="009901FA">
        <w:t>s</w:t>
      </w:r>
      <w:r w:rsidR="00F350D2" w:rsidRPr="009901FA">
        <w:t xml:space="preserve"> </w:t>
      </w:r>
      <w:r w:rsidR="00761BF6" w:rsidRPr="009901FA">
        <w:t>pressure municipalities</w:t>
      </w:r>
      <w:r w:rsidRPr="009901FA">
        <w:t xml:space="preserve"> to adopt upstream treatment </w:t>
      </w:r>
      <w:r w:rsidR="00761BF6" w:rsidRPr="009901FA">
        <w:t>such as</w:t>
      </w:r>
      <w:r w:rsidRPr="009901FA">
        <w:t xml:space="preserve"> MRBT or invest in </w:t>
      </w:r>
      <w:r w:rsidR="00784E02" w:rsidRPr="009901FA">
        <w:t xml:space="preserve">biowaste </w:t>
      </w:r>
      <w:r w:rsidRPr="009901FA">
        <w:t xml:space="preserve">collection and recycling systems. </w:t>
      </w:r>
      <w:r w:rsidR="00761BF6" w:rsidRPr="009901FA">
        <w:t>In addition,</w:t>
      </w:r>
      <w:r w:rsidRPr="009901FA">
        <w:t xml:space="preserve"> mandates provide long-term clarity and direction, enabling better planning and investment decisions</w:t>
      </w:r>
      <w:r w:rsidR="00761BF6" w:rsidRPr="009901FA">
        <w:t xml:space="preserve"> in waste management infrastructure</w:t>
      </w:r>
      <w:r w:rsidRPr="009901FA">
        <w:t xml:space="preserve">. Similar regulatory </w:t>
      </w:r>
      <w:r w:rsidR="00A61F8C" w:rsidRPr="009901FA">
        <w:t>measures</w:t>
      </w:r>
      <w:r w:rsidRPr="009901FA">
        <w:t xml:space="preserve"> can also drive the installation of gas capture systems by requiring landfills above a certain capacity to control and report their methane emissions.</w:t>
      </w:r>
    </w:p>
    <w:p w14:paraId="738C9BA0" w14:textId="288754AB" w:rsidR="005E1B1A" w:rsidRPr="009901FA" w:rsidRDefault="00014060" w:rsidP="00ED5880">
      <w:pPr>
        <w:keepNext/>
        <w:keepLines/>
        <w:spacing w:before="40"/>
        <w:outlineLvl w:val="4"/>
      </w:pPr>
      <w:r w:rsidRPr="009901FA">
        <w:rPr>
          <w:b/>
          <w:bCs/>
        </w:rPr>
        <w:t>Public and private f</w:t>
      </w:r>
      <w:r w:rsidR="00590A08" w:rsidRPr="009901FA">
        <w:rPr>
          <w:b/>
          <w:bCs/>
        </w:rPr>
        <w:t>inancial incentives</w:t>
      </w:r>
      <w:r w:rsidRPr="009901FA">
        <w:rPr>
          <w:b/>
          <w:bCs/>
        </w:rPr>
        <w:t xml:space="preserve"> </w:t>
      </w:r>
      <w:r w:rsidR="00590A08" w:rsidRPr="009901FA">
        <w:rPr>
          <w:b/>
          <w:bCs/>
        </w:rPr>
        <w:t xml:space="preserve">can play a powerful role in accelerating technology deployment, especially when aligned with energy </w:t>
      </w:r>
      <w:r w:rsidR="00482683" w:rsidRPr="009901FA">
        <w:rPr>
          <w:b/>
          <w:bCs/>
        </w:rPr>
        <w:t>or carbon</w:t>
      </w:r>
      <w:r w:rsidR="00590A08" w:rsidRPr="009901FA">
        <w:rPr>
          <w:b/>
          <w:bCs/>
        </w:rPr>
        <w:t xml:space="preserve"> markets. </w:t>
      </w:r>
      <w:r w:rsidR="00590A08" w:rsidRPr="009901FA">
        <w:t>For example, the US offers corporate tax credits of up to 1.5 cents/kWh for electricity generated from landfill gas</w:t>
      </w:r>
      <w:r w:rsidR="00BB2819" w:rsidRPr="009901FA">
        <w:rPr>
          <w:rStyle w:val="FootnoteReference"/>
        </w:rPr>
        <w:footnoteReference w:id="106"/>
      </w:r>
      <w:r w:rsidR="00590A08" w:rsidRPr="009901FA">
        <w:t>, creating a market signal that supports gas capture and utili</w:t>
      </w:r>
      <w:r w:rsidR="00BB2819" w:rsidRPr="009901FA">
        <w:t>s</w:t>
      </w:r>
      <w:r w:rsidR="00590A08" w:rsidRPr="009901FA">
        <w:t xml:space="preserve">ation projects. Commercial power purchase agreements (PPAs) for renewable electricity sourced from landfill gas can offer another revenue stream, reducing the payback period for investment. </w:t>
      </w:r>
      <w:r w:rsidR="005667C2" w:rsidRPr="009901FA">
        <w:t xml:space="preserve">Emerging carbon markets also present a growing opportunity to </w:t>
      </w:r>
      <w:r w:rsidR="007C24B4" w:rsidRPr="009901FA">
        <w:t xml:space="preserve">monetise methane abatement from </w:t>
      </w:r>
      <w:r w:rsidR="00E9050E" w:rsidRPr="009901FA">
        <w:t>unmanaged</w:t>
      </w:r>
      <w:r w:rsidR="007C24B4" w:rsidRPr="009901FA">
        <w:t xml:space="preserve"> landfills in developing countries. </w:t>
      </w:r>
      <w:r w:rsidR="008A359A" w:rsidRPr="009901FA">
        <w:t>For example,</w:t>
      </w:r>
      <w:r w:rsidR="001D4209" w:rsidRPr="009901FA">
        <w:t xml:space="preserve"> projects can access revenues through Verra’s Verified Carbon Standard, with methodologies enabling credits from landfill gas capture or energy use.</w:t>
      </w:r>
      <w:r w:rsidR="00A95E8A" w:rsidRPr="009901FA">
        <w:rPr>
          <w:rStyle w:val="FootnoteReference"/>
        </w:rPr>
        <w:footnoteReference w:id="107"/>
      </w:r>
      <w:r w:rsidR="007C24B4" w:rsidRPr="009901FA">
        <w:t xml:space="preserve"> </w:t>
      </w:r>
      <w:r w:rsidR="00AB268B" w:rsidRPr="009901FA">
        <w:t>Overall, a range of</w:t>
      </w:r>
      <w:r w:rsidR="00590A08" w:rsidRPr="009901FA">
        <w:t xml:space="preserve"> incentives </w:t>
      </w:r>
      <w:r w:rsidR="00AB268B" w:rsidRPr="009901FA">
        <w:t>can b</w:t>
      </w:r>
      <w:r w:rsidR="0038563B" w:rsidRPr="009901FA">
        <w:t>e considered to</w:t>
      </w:r>
      <w:r w:rsidR="00590A08" w:rsidRPr="009901FA">
        <w:t xml:space="preserve"> overcome cost barrier</w:t>
      </w:r>
      <w:r w:rsidR="0038563B" w:rsidRPr="009901FA">
        <w:t>s</w:t>
      </w:r>
      <w:r w:rsidR="00590A08" w:rsidRPr="009901FA">
        <w:t xml:space="preserve"> and derisk projects for developers and municipalities.</w:t>
      </w:r>
    </w:p>
    <w:p w14:paraId="2B05B5BF" w14:textId="77777777" w:rsidR="00E3717E" w:rsidRPr="009901FA" w:rsidRDefault="00E3717E" w:rsidP="00ED5880"/>
    <w:p w14:paraId="0D458A2D" w14:textId="47CE68A8" w:rsidR="00ED5880" w:rsidRPr="009901FA" w:rsidRDefault="005C4C40" w:rsidP="00B22728">
      <w:pPr>
        <w:pStyle w:val="Heading3"/>
        <w:spacing w:after="120" w:line="264" w:lineRule="auto"/>
        <w:rPr>
          <w:vertAlign w:val="subscript"/>
        </w:rPr>
      </w:pPr>
      <w:bookmarkStart w:id="163" w:name="_Toc205392478"/>
      <w:bookmarkStart w:id="164" w:name="_Toc205554247"/>
      <w:r>
        <w:lastRenderedPageBreak/>
        <w:t>5</w:t>
      </w:r>
      <w:r w:rsidR="005C620D" w:rsidRPr="009901FA">
        <w:t>.3 Conclusions on end-of-life carbon management</w:t>
      </w:r>
      <w:bookmarkEnd w:id="163"/>
      <w:bookmarkEnd w:id="164"/>
    </w:p>
    <w:p w14:paraId="754FA2B3" w14:textId="34AA888E" w:rsidR="004523F4" w:rsidRPr="009901FA" w:rsidRDefault="004523F4" w:rsidP="00ED5880">
      <w:r w:rsidRPr="009901FA">
        <w:t>The analysis presented above shows that</w:t>
      </w:r>
    </w:p>
    <w:p w14:paraId="0B21AC1C" w14:textId="77777777" w:rsidR="004523F4" w:rsidRPr="009901FA" w:rsidRDefault="004523F4" w:rsidP="00ED5880">
      <w:pPr>
        <w:pStyle w:val="ListParagraph"/>
        <w:numPr>
          <w:ilvl w:val="0"/>
          <w:numId w:val="60"/>
        </w:numPr>
      </w:pPr>
      <w:r w:rsidRPr="009901FA">
        <w:t>Both CO2 storage in geological formations (e.g. reservoirs and aquifers ) and in-situ  mineralisation, can provide safe and permanent sequestration of gaseous CO2.</w:t>
      </w:r>
    </w:p>
    <w:p w14:paraId="25D4640C" w14:textId="0666EF6D" w:rsidR="004523F4" w:rsidRPr="009901FA" w:rsidRDefault="004523F4" w:rsidP="00ED5880">
      <w:pPr>
        <w:pStyle w:val="ListParagraph"/>
        <w:numPr>
          <w:ilvl w:val="0"/>
          <w:numId w:val="60"/>
        </w:numPr>
      </w:pPr>
      <w:r w:rsidRPr="009901FA">
        <w:t>Storage in solid carbon form can also be made safe and permanent. Strategies for decarbonising the plastic life-cycle should not therefore exclude the possibility of high-quality in ground storage.</w:t>
      </w:r>
    </w:p>
    <w:p w14:paraId="600EEAD6" w14:textId="0BDDD457" w:rsidR="004523F4" w:rsidRPr="009901FA" w:rsidRDefault="004523F4" w:rsidP="00ED5880">
      <w:r w:rsidRPr="009901FA">
        <w:t>But it is important to recognise the risks that poorly regulated and monitored storage could be unsafe and impermanent, and that extensive reliance on end of life storage maintains a major role for fossil fuel extraction, and processing, which in itself is a major source of CO2 and methane emissions. It is therefore essential that:</w:t>
      </w:r>
    </w:p>
    <w:p w14:paraId="375402B6" w14:textId="77777777" w:rsidR="004523F4" w:rsidRPr="009901FA" w:rsidRDefault="004523F4" w:rsidP="00ED5880">
      <w:pPr>
        <w:pStyle w:val="ListParagraph"/>
        <w:numPr>
          <w:ilvl w:val="0"/>
          <w:numId w:val="61"/>
        </w:numPr>
      </w:pPr>
      <w:r w:rsidRPr="009901FA">
        <w:t>Both gas and solid carbon storage is subject to tight regulations and monitoring.</w:t>
      </w:r>
    </w:p>
    <w:p w14:paraId="2CF8DA55" w14:textId="77777777" w:rsidR="004523F4" w:rsidRPr="009901FA" w:rsidRDefault="004523F4" w:rsidP="00ED5880">
      <w:pPr>
        <w:pStyle w:val="ListParagraph"/>
        <w:numPr>
          <w:ilvl w:val="0"/>
          <w:numId w:val="61"/>
        </w:numPr>
      </w:pPr>
      <w:r w:rsidRPr="009901FA">
        <w:t>Carbon and methane pricing and regulation is applied to upstream fossil fuel production, processing and distribution.</w:t>
      </w:r>
    </w:p>
    <w:p w14:paraId="6BDE95E7" w14:textId="77777777" w:rsidR="00722CDE" w:rsidRPr="000E0EB1" w:rsidRDefault="00722CDE" w:rsidP="00ED5880">
      <w:pPr>
        <w:rPr>
          <w:b/>
          <w:bCs/>
          <w:sz w:val="40"/>
          <w:szCs w:val="40"/>
        </w:rPr>
      </w:pPr>
    </w:p>
    <w:p w14:paraId="2DD4F17A" w14:textId="7772616C" w:rsidR="00CF75CD" w:rsidRPr="000E0EB1" w:rsidRDefault="005C4C40" w:rsidP="00ED5880">
      <w:pPr>
        <w:pStyle w:val="Heading2"/>
        <w:numPr>
          <w:ilvl w:val="0"/>
          <w:numId w:val="6"/>
        </w:numPr>
        <w:spacing w:before="60" w:after="120" w:line="264" w:lineRule="auto"/>
        <w:rPr>
          <w:b/>
          <w:bCs/>
          <w:smallCaps/>
          <w:color w:val="00146D" w:themeColor="text2"/>
          <w:szCs w:val="40"/>
        </w:rPr>
      </w:pPr>
      <w:bookmarkStart w:id="165" w:name="_Toc205392479"/>
      <w:bookmarkStart w:id="166" w:name="_Toc205554248"/>
      <w:r w:rsidRPr="000E0EB1">
        <w:rPr>
          <w:b/>
          <w:bCs/>
          <w:smallCaps/>
          <w:color w:val="00146D" w:themeColor="text2"/>
          <w:szCs w:val="40"/>
        </w:rPr>
        <w:t>t</w:t>
      </w:r>
      <w:r w:rsidR="00CF75CD" w:rsidRPr="000E0EB1">
        <w:rPr>
          <w:b/>
          <w:bCs/>
          <w:smallCaps/>
          <w:color w:val="00146D" w:themeColor="text2"/>
          <w:szCs w:val="40"/>
        </w:rPr>
        <w:t>echnology trade-offs</w:t>
      </w:r>
      <w:bookmarkEnd w:id="165"/>
      <w:bookmarkEnd w:id="166"/>
    </w:p>
    <w:p w14:paraId="39FFAF86" w14:textId="326F573E" w:rsidR="008A7258" w:rsidRPr="009901FA" w:rsidRDefault="00A60657" w:rsidP="00ED5880">
      <w:pPr>
        <w:pStyle w:val="PlainText"/>
        <w:spacing w:after="120" w:line="264" w:lineRule="auto"/>
        <w:rPr>
          <w:rFonts w:ascii="Century Gothic" w:hAnsi="Century Gothic"/>
          <w:sz w:val="20"/>
          <w:szCs w:val="20"/>
        </w:rPr>
      </w:pPr>
      <w:bookmarkStart w:id="167" w:name="_Ref203751369"/>
      <w:r w:rsidRPr="009901FA">
        <w:rPr>
          <w:rFonts w:ascii="Century Gothic" w:hAnsi="Century Gothic"/>
          <w:sz w:val="20"/>
          <w:szCs w:val="20"/>
        </w:rPr>
        <w:t xml:space="preserve">Chapters </w:t>
      </w:r>
      <w:r w:rsidR="00D10538">
        <w:rPr>
          <w:rFonts w:ascii="Century Gothic" w:hAnsi="Century Gothic"/>
          <w:sz w:val="20"/>
          <w:szCs w:val="20"/>
        </w:rPr>
        <w:t>1</w:t>
      </w:r>
      <w:r w:rsidRPr="009901FA">
        <w:rPr>
          <w:rFonts w:ascii="Century Gothic" w:hAnsi="Century Gothic"/>
          <w:sz w:val="20"/>
          <w:szCs w:val="20"/>
        </w:rPr>
        <w:t xml:space="preserve"> to </w:t>
      </w:r>
      <w:r w:rsidR="00D10538">
        <w:rPr>
          <w:rFonts w:ascii="Century Gothic" w:hAnsi="Century Gothic"/>
          <w:sz w:val="20"/>
          <w:szCs w:val="20"/>
        </w:rPr>
        <w:t>5</w:t>
      </w:r>
      <w:r w:rsidRPr="009901FA">
        <w:rPr>
          <w:rFonts w:ascii="Century Gothic" w:hAnsi="Century Gothic"/>
          <w:sz w:val="20"/>
          <w:szCs w:val="20"/>
        </w:rPr>
        <w:t xml:space="preserve"> have assessed multiple currently available or emerging technologies which could make it possible to achieve net zero emissions by </w:t>
      </w:r>
      <w:r w:rsidR="005F2502" w:rsidRPr="009901FA">
        <w:rPr>
          <w:rFonts w:ascii="Century Gothic" w:hAnsi="Century Gothic"/>
          <w:sz w:val="20"/>
          <w:szCs w:val="20"/>
        </w:rPr>
        <w:t>mid-century</w:t>
      </w:r>
      <w:r w:rsidRPr="009901FA">
        <w:rPr>
          <w:rFonts w:ascii="Century Gothic" w:hAnsi="Century Gothic"/>
          <w:sz w:val="20"/>
          <w:szCs w:val="20"/>
        </w:rPr>
        <w:t xml:space="preserve">. These technologies make it possible to either (i) provide energy services without any carbon molecule input (ii) reuse or recycle carbon molecules (iii) </w:t>
      </w:r>
      <w:r w:rsidR="008A7258" w:rsidRPr="009901FA">
        <w:rPr>
          <w:rFonts w:ascii="Century Gothic" w:hAnsi="Century Gothic"/>
          <w:sz w:val="20"/>
          <w:szCs w:val="20"/>
        </w:rPr>
        <w:t>e</w:t>
      </w:r>
      <w:r w:rsidRPr="009901FA">
        <w:rPr>
          <w:rFonts w:ascii="Century Gothic" w:hAnsi="Century Gothic"/>
          <w:sz w:val="20"/>
          <w:szCs w:val="20"/>
        </w:rPr>
        <w:t>xtract primary carbon supply from non-fossil fuel sources (iv) offset emissions with carbon capture and storage</w:t>
      </w:r>
      <w:r w:rsidR="005F2502" w:rsidRPr="009901FA">
        <w:rPr>
          <w:rFonts w:ascii="Century Gothic" w:hAnsi="Century Gothic"/>
          <w:sz w:val="20"/>
          <w:szCs w:val="20"/>
        </w:rPr>
        <w:t>.</w:t>
      </w:r>
    </w:p>
    <w:p w14:paraId="764239D1" w14:textId="4B636923" w:rsidR="00A60657" w:rsidRPr="009901FA" w:rsidRDefault="00A60657" w:rsidP="00B22728">
      <w:pPr>
        <w:pStyle w:val="PlainText"/>
        <w:spacing w:after="120" w:line="264" w:lineRule="auto"/>
        <w:rPr>
          <w:rFonts w:ascii="Century Gothic" w:hAnsi="Century Gothic"/>
          <w:sz w:val="20"/>
          <w:szCs w:val="20"/>
        </w:rPr>
      </w:pPr>
      <w:r w:rsidRPr="009901FA">
        <w:rPr>
          <w:rFonts w:ascii="Century Gothic" w:hAnsi="Century Gothic"/>
          <w:sz w:val="20"/>
          <w:szCs w:val="20"/>
        </w:rPr>
        <w:t>The optimal balance over</w:t>
      </w:r>
      <w:r w:rsidR="005874FD" w:rsidRPr="009901FA">
        <w:rPr>
          <w:rFonts w:ascii="Century Gothic" w:hAnsi="Century Gothic"/>
          <w:sz w:val="20"/>
          <w:szCs w:val="20"/>
        </w:rPr>
        <w:t xml:space="preserve"> </w:t>
      </w:r>
      <w:r w:rsidRPr="009901FA">
        <w:rPr>
          <w:rFonts w:ascii="Century Gothic" w:hAnsi="Century Gothic"/>
          <w:sz w:val="20"/>
          <w:szCs w:val="20"/>
        </w:rPr>
        <w:t>time between these different technologies will reflect technological readiness, costs or tonne of CO2 reduction, energy input costs now and in the future, and natural resource demands. These will all evolve over time, but current comparisons suggest the following broad conclusions</w:t>
      </w:r>
      <w:r w:rsidR="009C2008" w:rsidRPr="009901FA">
        <w:rPr>
          <w:rFonts w:ascii="Century Gothic" w:hAnsi="Century Gothic"/>
          <w:sz w:val="20"/>
          <w:szCs w:val="20"/>
        </w:rPr>
        <w:t>.</w:t>
      </w:r>
    </w:p>
    <w:p w14:paraId="51350849" w14:textId="772BC3ED" w:rsidR="00A60657" w:rsidRPr="009901FA" w:rsidRDefault="00A60657" w:rsidP="00373C81">
      <w:pPr>
        <w:pStyle w:val="PlainText"/>
        <w:spacing w:after="120" w:line="264" w:lineRule="auto"/>
        <w:rPr>
          <w:rFonts w:ascii="Century Gothic" w:hAnsi="Century Gothic"/>
          <w:sz w:val="20"/>
          <w:szCs w:val="20"/>
        </w:rPr>
      </w:pPr>
      <w:r w:rsidRPr="009901FA">
        <w:rPr>
          <w:rFonts w:ascii="Century Gothic" w:hAnsi="Century Gothic"/>
          <w:b/>
          <w:bCs/>
          <w:sz w:val="20"/>
          <w:szCs w:val="20"/>
        </w:rPr>
        <w:t>Technological readiness</w:t>
      </w:r>
      <w:r w:rsidRPr="009901FA">
        <w:rPr>
          <w:rFonts w:ascii="Century Gothic" w:hAnsi="Century Gothic"/>
          <w:sz w:val="20"/>
          <w:szCs w:val="20"/>
        </w:rPr>
        <w:t>. In terms of technological readiness (measured by TRL) there is no pattern suggesting that particular categories of technology are likely to dominate (</w:t>
      </w:r>
      <w:r w:rsidR="002322E2" w:rsidRPr="009901FA">
        <w:rPr>
          <w:rFonts w:ascii="Century Gothic" w:hAnsi="Century Gothic"/>
          <w:sz w:val="20"/>
          <w:szCs w:val="20"/>
        </w:rPr>
        <w:fldChar w:fldCharType="begin"/>
      </w:r>
      <w:r w:rsidR="002322E2" w:rsidRPr="009901FA">
        <w:rPr>
          <w:rFonts w:ascii="Century Gothic" w:hAnsi="Century Gothic"/>
          <w:sz w:val="20"/>
          <w:szCs w:val="20"/>
        </w:rPr>
        <w:instrText xml:space="preserve"> REF _Ref205391489 \h  \* MERGEFORMAT </w:instrText>
      </w:r>
      <w:r w:rsidR="002322E2" w:rsidRPr="009901FA">
        <w:rPr>
          <w:rFonts w:ascii="Century Gothic" w:hAnsi="Century Gothic"/>
          <w:sz w:val="20"/>
          <w:szCs w:val="20"/>
        </w:rPr>
      </w:r>
      <w:r w:rsidR="002322E2" w:rsidRPr="009901FA">
        <w:rPr>
          <w:rFonts w:ascii="Century Gothic" w:hAnsi="Century Gothic"/>
          <w:sz w:val="20"/>
          <w:szCs w:val="20"/>
        </w:rPr>
        <w:fldChar w:fldCharType="separate"/>
      </w:r>
      <w:r w:rsidR="00DE378F" w:rsidRPr="009901FA">
        <w:rPr>
          <w:rFonts w:ascii="Century Gothic" w:hAnsi="Century Gothic"/>
          <w:sz w:val="20"/>
          <w:szCs w:val="20"/>
        </w:rPr>
        <w:t xml:space="preserve">Exhibit </w:t>
      </w:r>
      <w:r w:rsidR="00327B07">
        <w:rPr>
          <w:rFonts w:ascii="Century Gothic" w:hAnsi="Century Gothic"/>
          <w:noProof/>
          <w:sz w:val="20"/>
          <w:szCs w:val="20"/>
        </w:rPr>
        <w:t>6</w:t>
      </w:r>
      <w:r w:rsidR="00DE378F" w:rsidRPr="009901FA">
        <w:rPr>
          <w:rFonts w:ascii="Century Gothic" w:hAnsi="Century Gothic"/>
          <w:noProof/>
          <w:sz w:val="20"/>
          <w:szCs w:val="20"/>
        </w:rPr>
        <w:t>.1</w:t>
      </w:r>
      <w:r w:rsidR="002322E2" w:rsidRPr="009901FA">
        <w:rPr>
          <w:rFonts w:ascii="Century Gothic" w:hAnsi="Century Gothic"/>
          <w:sz w:val="20"/>
          <w:szCs w:val="20"/>
        </w:rPr>
        <w:fldChar w:fldCharType="end"/>
      </w:r>
      <w:r w:rsidR="00373C81" w:rsidRPr="009901FA">
        <w:rPr>
          <w:rFonts w:ascii="Century Gothic" w:hAnsi="Century Gothic"/>
          <w:sz w:val="20"/>
          <w:szCs w:val="20"/>
        </w:rPr>
        <w:t>)</w:t>
      </w:r>
      <w:r w:rsidRPr="009901FA">
        <w:rPr>
          <w:rFonts w:ascii="Century Gothic" w:hAnsi="Century Gothic"/>
          <w:sz w:val="20"/>
          <w:szCs w:val="20"/>
        </w:rPr>
        <w:t>. Across all of the seven broad categories of possible solution</w:t>
      </w:r>
      <w:r w:rsidR="00373C81" w:rsidRPr="009901FA">
        <w:rPr>
          <w:rFonts w:ascii="Century Gothic" w:hAnsi="Century Gothic"/>
          <w:sz w:val="20"/>
          <w:szCs w:val="20"/>
        </w:rPr>
        <w:t>s</w:t>
      </w:r>
      <w:r w:rsidRPr="009901FA">
        <w:rPr>
          <w:rFonts w:ascii="Century Gothic" w:hAnsi="Century Gothic"/>
          <w:sz w:val="20"/>
          <w:szCs w:val="20"/>
        </w:rPr>
        <w:t>, there are in most cases multiple technologies in the 5 to 9 TRL range (</w:t>
      </w:r>
      <w:r w:rsidR="002322E2" w:rsidRPr="009901FA">
        <w:rPr>
          <w:rFonts w:ascii="Century Gothic" w:hAnsi="Century Gothic"/>
          <w:sz w:val="20"/>
          <w:szCs w:val="20"/>
        </w:rPr>
        <w:fldChar w:fldCharType="begin"/>
      </w:r>
      <w:r w:rsidR="002322E2" w:rsidRPr="009901FA">
        <w:rPr>
          <w:rFonts w:ascii="Century Gothic" w:hAnsi="Century Gothic"/>
          <w:sz w:val="20"/>
          <w:szCs w:val="20"/>
        </w:rPr>
        <w:instrText xml:space="preserve"> REF _Ref205391489 \h  \* MERGEFORMAT </w:instrText>
      </w:r>
      <w:r w:rsidR="002322E2" w:rsidRPr="009901FA">
        <w:rPr>
          <w:rFonts w:ascii="Century Gothic" w:hAnsi="Century Gothic"/>
          <w:sz w:val="20"/>
          <w:szCs w:val="20"/>
        </w:rPr>
      </w:r>
      <w:r w:rsidR="002322E2" w:rsidRPr="009901FA">
        <w:rPr>
          <w:rFonts w:ascii="Century Gothic" w:hAnsi="Century Gothic"/>
          <w:sz w:val="20"/>
          <w:szCs w:val="20"/>
        </w:rPr>
        <w:fldChar w:fldCharType="separate"/>
      </w:r>
      <w:r w:rsidR="00DE378F" w:rsidRPr="009901FA">
        <w:rPr>
          <w:rFonts w:ascii="Century Gothic" w:hAnsi="Century Gothic"/>
          <w:sz w:val="20"/>
          <w:szCs w:val="20"/>
        </w:rPr>
        <w:t xml:space="preserve">Exhibit </w:t>
      </w:r>
      <w:r w:rsidR="00327B07">
        <w:rPr>
          <w:rFonts w:ascii="Century Gothic" w:hAnsi="Century Gothic"/>
          <w:noProof/>
          <w:sz w:val="20"/>
          <w:szCs w:val="20"/>
        </w:rPr>
        <w:t>6</w:t>
      </w:r>
      <w:r w:rsidR="00DE378F" w:rsidRPr="009901FA">
        <w:rPr>
          <w:rFonts w:ascii="Century Gothic" w:hAnsi="Century Gothic"/>
          <w:noProof/>
          <w:sz w:val="20"/>
          <w:szCs w:val="20"/>
        </w:rPr>
        <w:t>.1</w:t>
      </w:r>
      <w:r w:rsidR="002322E2" w:rsidRPr="009901FA">
        <w:rPr>
          <w:rFonts w:ascii="Century Gothic" w:hAnsi="Century Gothic"/>
          <w:sz w:val="20"/>
          <w:szCs w:val="20"/>
        </w:rPr>
        <w:fldChar w:fldCharType="end"/>
      </w:r>
      <w:r w:rsidRPr="009901FA">
        <w:rPr>
          <w:rFonts w:ascii="Century Gothic" w:hAnsi="Century Gothic"/>
          <w:sz w:val="20"/>
          <w:szCs w:val="20"/>
        </w:rPr>
        <w:t>). The major exceptions are</w:t>
      </w:r>
    </w:p>
    <w:p w14:paraId="7A8BC610" w14:textId="6D8813DC" w:rsidR="00A60657" w:rsidRPr="009901FA" w:rsidRDefault="00A60657" w:rsidP="00ED5880">
      <w:pPr>
        <w:pStyle w:val="PlainText"/>
        <w:numPr>
          <w:ilvl w:val="0"/>
          <w:numId w:val="62"/>
        </w:numPr>
        <w:spacing w:after="120" w:line="264" w:lineRule="auto"/>
        <w:rPr>
          <w:rFonts w:ascii="Century Gothic" w:hAnsi="Century Gothic"/>
          <w:sz w:val="20"/>
          <w:szCs w:val="20"/>
        </w:rPr>
      </w:pPr>
      <w:r w:rsidRPr="009901FA">
        <w:rPr>
          <w:rFonts w:ascii="Century Gothic" w:hAnsi="Century Gothic"/>
          <w:sz w:val="20"/>
          <w:szCs w:val="20"/>
        </w:rPr>
        <w:lastRenderedPageBreak/>
        <w:t>Electro winning and metal oxide electrolysis</w:t>
      </w:r>
      <w:r w:rsidR="005874FD" w:rsidRPr="009901FA">
        <w:rPr>
          <w:rFonts w:ascii="Century Gothic" w:hAnsi="Century Gothic"/>
          <w:sz w:val="20"/>
          <w:szCs w:val="20"/>
        </w:rPr>
        <w:t xml:space="preserve"> </w:t>
      </w:r>
      <w:r w:rsidRPr="009901FA">
        <w:rPr>
          <w:rFonts w:ascii="Century Gothic" w:hAnsi="Century Gothic"/>
          <w:sz w:val="20"/>
          <w:szCs w:val="20"/>
        </w:rPr>
        <w:t>(MOE) are still assessed to be at a TRL of 4 to 5, and significant technological advance</w:t>
      </w:r>
      <w:r w:rsidR="00373C81" w:rsidRPr="009901FA">
        <w:rPr>
          <w:rFonts w:ascii="Century Gothic" w:hAnsi="Century Gothic"/>
          <w:sz w:val="20"/>
          <w:szCs w:val="20"/>
        </w:rPr>
        <w:t>ment</w:t>
      </w:r>
      <w:r w:rsidRPr="009901FA">
        <w:rPr>
          <w:rFonts w:ascii="Century Gothic" w:hAnsi="Century Gothic"/>
          <w:sz w:val="20"/>
          <w:szCs w:val="20"/>
        </w:rPr>
        <w:t xml:space="preserve"> and fine</w:t>
      </w:r>
      <w:r w:rsidR="00795277" w:rsidRPr="009901FA">
        <w:rPr>
          <w:rFonts w:ascii="Century Gothic" w:hAnsi="Century Gothic"/>
          <w:sz w:val="20"/>
          <w:szCs w:val="20"/>
        </w:rPr>
        <w:t>-</w:t>
      </w:r>
      <w:r w:rsidRPr="009901FA">
        <w:rPr>
          <w:rFonts w:ascii="Century Gothic" w:hAnsi="Century Gothic"/>
          <w:sz w:val="20"/>
          <w:szCs w:val="20"/>
        </w:rPr>
        <w:t>tuning is therefore required before commercial rollout.</w:t>
      </w:r>
    </w:p>
    <w:p w14:paraId="5F3A4314" w14:textId="1EA04100" w:rsidR="00A60657" w:rsidRPr="009901FA" w:rsidRDefault="004C2E9C" w:rsidP="00ED5880">
      <w:pPr>
        <w:pStyle w:val="PlainText"/>
        <w:numPr>
          <w:ilvl w:val="0"/>
          <w:numId w:val="62"/>
        </w:numPr>
        <w:spacing w:after="120" w:line="264" w:lineRule="auto"/>
        <w:rPr>
          <w:rFonts w:ascii="Century Gothic" w:hAnsi="Century Gothic"/>
          <w:sz w:val="20"/>
          <w:szCs w:val="20"/>
        </w:rPr>
      </w:pPr>
      <w:r w:rsidRPr="009901FA">
        <w:rPr>
          <w:rFonts w:ascii="Century Gothic" w:hAnsi="Century Gothic"/>
          <w:sz w:val="20"/>
          <w:szCs w:val="20"/>
        </w:rPr>
        <w:t xml:space="preserve">Geological hydrogen extraction remains at low </w:t>
      </w:r>
      <w:r w:rsidR="003A5576" w:rsidRPr="009901FA">
        <w:rPr>
          <w:rFonts w:ascii="Century Gothic" w:hAnsi="Century Gothic"/>
          <w:sz w:val="20"/>
          <w:szCs w:val="20"/>
        </w:rPr>
        <w:t>technological readiness</w:t>
      </w:r>
      <w:r w:rsidRPr="009901FA">
        <w:rPr>
          <w:rFonts w:ascii="Century Gothic" w:hAnsi="Century Gothic"/>
          <w:sz w:val="20"/>
          <w:szCs w:val="20"/>
        </w:rPr>
        <w:t xml:space="preserve"> due to technical challenges (limited field demonstrations, uncertain resources, immature extraction methods, and hydrogen purity issues), economic barriers (unproven costs and uncertain yields), regulatory gaps (lack of frameworks and dedicated infrastructure), and environmental concerns (risks of gas leakage, groundwater contamination, and seismicity)</w:t>
      </w:r>
      <w:r w:rsidR="005B05E2" w:rsidRPr="009901FA">
        <w:rPr>
          <w:rStyle w:val="FootnoteReference"/>
          <w:rFonts w:ascii="Century Gothic" w:hAnsi="Century Gothic"/>
          <w:sz w:val="20"/>
          <w:szCs w:val="20"/>
        </w:rPr>
        <w:footnoteReference w:id="108"/>
      </w:r>
      <w:r w:rsidRPr="009901FA">
        <w:rPr>
          <w:rFonts w:ascii="Century Gothic" w:hAnsi="Century Gothic"/>
          <w:sz w:val="20"/>
          <w:szCs w:val="20"/>
        </w:rPr>
        <w:t>. However,</w:t>
      </w:r>
      <w:r w:rsidR="00A60657" w:rsidRPr="009901FA">
        <w:rPr>
          <w:rFonts w:ascii="Century Gothic" w:hAnsi="Century Gothic"/>
          <w:sz w:val="20"/>
          <w:szCs w:val="20"/>
        </w:rPr>
        <w:t xml:space="preserve"> investors in this industry are confident that </w:t>
      </w:r>
      <w:r w:rsidRPr="009901FA">
        <w:rPr>
          <w:rFonts w:ascii="Century Gothic" w:hAnsi="Century Gothic"/>
          <w:sz w:val="20"/>
          <w:szCs w:val="20"/>
        </w:rPr>
        <w:t xml:space="preserve">these hurdles will be overcome </w:t>
      </w:r>
      <w:r w:rsidR="00CD035B" w:rsidRPr="009901FA">
        <w:rPr>
          <w:rFonts w:ascii="Century Gothic" w:hAnsi="Century Gothic"/>
          <w:sz w:val="20"/>
          <w:szCs w:val="20"/>
        </w:rPr>
        <w:t xml:space="preserve">in the </w:t>
      </w:r>
      <w:r w:rsidR="003A5576" w:rsidRPr="009901FA">
        <w:rPr>
          <w:rFonts w:ascii="Century Gothic" w:hAnsi="Century Gothic"/>
          <w:sz w:val="20"/>
          <w:szCs w:val="20"/>
        </w:rPr>
        <w:t xml:space="preserve">coming </w:t>
      </w:r>
      <w:r w:rsidR="00CD035B" w:rsidRPr="009901FA">
        <w:rPr>
          <w:rFonts w:ascii="Century Gothic" w:hAnsi="Century Gothic"/>
          <w:sz w:val="20"/>
          <w:szCs w:val="20"/>
        </w:rPr>
        <w:t>decade</w:t>
      </w:r>
      <w:r w:rsidR="003A5576" w:rsidRPr="009901FA">
        <w:rPr>
          <w:rFonts w:ascii="Century Gothic" w:hAnsi="Century Gothic"/>
          <w:sz w:val="20"/>
          <w:szCs w:val="20"/>
        </w:rPr>
        <w:t>s</w:t>
      </w:r>
      <w:r w:rsidR="00FC5CE5" w:rsidRPr="009901FA">
        <w:rPr>
          <w:rFonts w:ascii="Century Gothic" w:hAnsi="Century Gothic"/>
          <w:sz w:val="20"/>
          <w:szCs w:val="20"/>
        </w:rPr>
        <w:t>.</w:t>
      </w:r>
      <w:r w:rsidR="00795277" w:rsidRPr="009901FA">
        <w:rPr>
          <w:rFonts w:ascii="Century Gothic" w:hAnsi="Century Gothic"/>
          <w:sz w:val="20"/>
          <w:szCs w:val="20"/>
        </w:rPr>
        <w:t xml:space="preserve"> </w:t>
      </w:r>
    </w:p>
    <w:p w14:paraId="592C4C6D" w14:textId="1E1AA3F2" w:rsidR="00A60657" w:rsidRPr="009901FA" w:rsidRDefault="00A60657" w:rsidP="00ED5880">
      <w:pPr>
        <w:pStyle w:val="PlainText"/>
        <w:numPr>
          <w:ilvl w:val="0"/>
          <w:numId w:val="62"/>
        </w:numPr>
        <w:spacing w:after="120" w:line="264" w:lineRule="auto"/>
        <w:rPr>
          <w:rFonts w:ascii="Century Gothic" w:hAnsi="Century Gothic"/>
          <w:sz w:val="20"/>
          <w:szCs w:val="20"/>
        </w:rPr>
      </w:pPr>
      <w:r w:rsidRPr="009901FA">
        <w:rPr>
          <w:rFonts w:ascii="Century Gothic" w:hAnsi="Century Gothic"/>
          <w:sz w:val="20"/>
          <w:szCs w:val="20"/>
        </w:rPr>
        <w:t>In situ mineralisation of CO</w:t>
      </w:r>
      <w:r w:rsidRPr="009901FA">
        <w:rPr>
          <w:rFonts w:ascii="Century Gothic" w:hAnsi="Century Gothic"/>
          <w:sz w:val="20"/>
          <w:szCs w:val="20"/>
          <w:vertAlign w:val="subscript"/>
        </w:rPr>
        <w:t>2</w:t>
      </w:r>
      <w:r w:rsidR="0018058D" w:rsidRPr="009901FA">
        <w:rPr>
          <w:rFonts w:ascii="Century Gothic" w:hAnsi="Century Gothic"/>
          <w:sz w:val="20"/>
          <w:szCs w:val="20"/>
        </w:rPr>
        <w:t xml:space="preserve"> </w:t>
      </w:r>
      <w:r w:rsidR="00A112CC" w:rsidRPr="009901FA">
        <w:rPr>
          <w:rFonts w:ascii="Century Gothic" w:hAnsi="Century Gothic"/>
          <w:sz w:val="20"/>
          <w:szCs w:val="20"/>
        </w:rPr>
        <w:t>remains at a relatively low</w:t>
      </w:r>
      <w:r w:rsidR="0018058D" w:rsidRPr="009901FA">
        <w:rPr>
          <w:rFonts w:ascii="Century Gothic" w:hAnsi="Century Gothic"/>
          <w:sz w:val="20"/>
          <w:szCs w:val="20"/>
        </w:rPr>
        <w:t xml:space="preserve"> technological readiness</w:t>
      </w:r>
      <w:r w:rsidR="00A112CC" w:rsidRPr="009901FA">
        <w:rPr>
          <w:rFonts w:ascii="Century Gothic" w:hAnsi="Century Gothic"/>
          <w:sz w:val="20"/>
          <w:szCs w:val="20"/>
        </w:rPr>
        <w:t xml:space="preserve"> </w:t>
      </w:r>
      <w:r w:rsidR="00F6005D" w:rsidRPr="009901FA">
        <w:rPr>
          <w:rFonts w:ascii="Century Gothic" w:hAnsi="Century Gothic"/>
          <w:sz w:val="20"/>
          <w:szCs w:val="20"/>
        </w:rPr>
        <w:t xml:space="preserve">due to </w:t>
      </w:r>
      <w:r w:rsidR="00F12D2B" w:rsidRPr="009901FA">
        <w:rPr>
          <w:rFonts w:ascii="Century Gothic" w:hAnsi="Century Gothic"/>
          <w:sz w:val="20"/>
          <w:szCs w:val="20"/>
        </w:rPr>
        <w:t>technical and cost hurdles</w:t>
      </w:r>
      <w:r w:rsidR="00F6005D" w:rsidRPr="009901FA">
        <w:rPr>
          <w:rFonts w:ascii="Century Gothic" w:hAnsi="Century Gothic"/>
          <w:sz w:val="20"/>
          <w:szCs w:val="20"/>
        </w:rPr>
        <w:t xml:space="preserve"> </w:t>
      </w:r>
      <w:r w:rsidR="00F12D2B" w:rsidRPr="009901FA">
        <w:rPr>
          <w:rFonts w:ascii="Century Gothic" w:hAnsi="Century Gothic"/>
          <w:sz w:val="20"/>
          <w:szCs w:val="20"/>
        </w:rPr>
        <w:t>includ</w:t>
      </w:r>
      <w:r w:rsidR="00F6005D" w:rsidRPr="009901FA">
        <w:rPr>
          <w:rFonts w:ascii="Century Gothic" w:hAnsi="Century Gothic"/>
          <w:sz w:val="20"/>
          <w:szCs w:val="20"/>
        </w:rPr>
        <w:t>ing</w:t>
      </w:r>
      <w:r w:rsidR="00F12D2B" w:rsidRPr="009901FA">
        <w:rPr>
          <w:rFonts w:ascii="Century Gothic" w:hAnsi="Century Gothic"/>
          <w:sz w:val="20"/>
          <w:szCs w:val="20"/>
        </w:rPr>
        <w:t xml:space="preserve"> slow reaction rates, subsurface and feedstock uncertainties, high energy and infrastructure requirements, and the need for robust monitoring</w:t>
      </w:r>
      <w:r w:rsidR="00757DF2" w:rsidRPr="009901FA">
        <w:rPr>
          <w:rFonts w:ascii="Century Gothic" w:hAnsi="Century Gothic"/>
          <w:sz w:val="20"/>
          <w:szCs w:val="20"/>
        </w:rPr>
        <w:t xml:space="preserve"> techniques</w:t>
      </w:r>
      <w:r w:rsidR="00DE6958" w:rsidRPr="009901FA">
        <w:rPr>
          <w:rStyle w:val="FootnoteReference"/>
          <w:rFonts w:ascii="Century Gothic" w:hAnsi="Century Gothic"/>
          <w:sz w:val="20"/>
          <w:szCs w:val="20"/>
        </w:rPr>
        <w:footnoteReference w:id="109"/>
      </w:r>
      <w:r w:rsidR="00F6005D" w:rsidRPr="009901FA">
        <w:rPr>
          <w:rFonts w:ascii="Century Gothic" w:hAnsi="Century Gothic"/>
          <w:sz w:val="20"/>
          <w:szCs w:val="20"/>
        </w:rPr>
        <w:t xml:space="preserve">. These factors have </w:t>
      </w:r>
      <w:r w:rsidR="00F12D2B" w:rsidRPr="009901FA">
        <w:rPr>
          <w:rFonts w:ascii="Century Gothic" w:hAnsi="Century Gothic"/>
          <w:sz w:val="20"/>
          <w:szCs w:val="20"/>
        </w:rPr>
        <w:t>k</w:t>
      </w:r>
      <w:r w:rsidR="00F6005D" w:rsidRPr="009901FA">
        <w:rPr>
          <w:rFonts w:ascii="Century Gothic" w:hAnsi="Century Gothic"/>
          <w:sz w:val="20"/>
          <w:szCs w:val="20"/>
        </w:rPr>
        <w:t>ept</w:t>
      </w:r>
      <w:r w:rsidR="00F12D2B" w:rsidRPr="009901FA">
        <w:rPr>
          <w:rFonts w:ascii="Century Gothic" w:hAnsi="Century Gothic"/>
          <w:sz w:val="20"/>
          <w:szCs w:val="20"/>
        </w:rPr>
        <w:t xml:space="preserve"> costs high and </w:t>
      </w:r>
      <w:r w:rsidR="00757DF2" w:rsidRPr="009901FA">
        <w:rPr>
          <w:rFonts w:ascii="Century Gothic" w:hAnsi="Century Gothic"/>
          <w:sz w:val="20"/>
          <w:szCs w:val="20"/>
        </w:rPr>
        <w:t xml:space="preserve">have </w:t>
      </w:r>
      <w:r w:rsidR="00F12D2B" w:rsidRPr="009901FA">
        <w:rPr>
          <w:rFonts w:ascii="Century Gothic" w:hAnsi="Century Gothic"/>
          <w:sz w:val="20"/>
          <w:szCs w:val="20"/>
        </w:rPr>
        <w:t>limit</w:t>
      </w:r>
      <w:r w:rsidR="00F6005D" w:rsidRPr="009901FA">
        <w:rPr>
          <w:rFonts w:ascii="Century Gothic" w:hAnsi="Century Gothic"/>
          <w:sz w:val="20"/>
          <w:szCs w:val="20"/>
        </w:rPr>
        <w:t>ed</w:t>
      </w:r>
      <w:r w:rsidR="00F12D2B" w:rsidRPr="009901FA">
        <w:rPr>
          <w:rFonts w:ascii="Century Gothic" w:hAnsi="Century Gothic"/>
          <w:sz w:val="20"/>
          <w:szCs w:val="20"/>
        </w:rPr>
        <w:t xml:space="preserve"> large-scale deployment</w:t>
      </w:r>
      <w:r w:rsidR="00F6005D" w:rsidRPr="009901FA">
        <w:rPr>
          <w:rFonts w:ascii="Century Gothic" w:hAnsi="Century Gothic"/>
          <w:sz w:val="20"/>
          <w:szCs w:val="20"/>
        </w:rPr>
        <w:t xml:space="preserve"> </w:t>
      </w:r>
      <w:r w:rsidR="00757DF2" w:rsidRPr="009901FA">
        <w:rPr>
          <w:rFonts w:ascii="Century Gothic" w:hAnsi="Century Gothic"/>
          <w:sz w:val="20"/>
          <w:szCs w:val="20"/>
        </w:rPr>
        <w:t>to date,</w:t>
      </w:r>
      <w:r w:rsidR="00F6005D" w:rsidRPr="009901FA">
        <w:rPr>
          <w:rFonts w:ascii="Century Gothic" w:hAnsi="Century Gothic"/>
          <w:sz w:val="20"/>
          <w:szCs w:val="20"/>
        </w:rPr>
        <w:t xml:space="preserve"> but </w:t>
      </w:r>
      <w:r w:rsidR="00DE6958" w:rsidRPr="009901FA">
        <w:rPr>
          <w:rFonts w:ascii="Century Gothic" w:hAnsi="Century Gothic"/>
          <w:sz w:val="20"/>
          <w:szCs w:val="20"/>
        </w:rPr>
        <w:t xml:space="preserve">some </w:t>
      </w:r>
      <w:r w:rsidR="00F6005D" w:rsidRPr="009901FA">
        <w:rPr>
          <w:rFonts w:ascii="Century Gothic" w:hAnsi="Century Gothic"/>
          <w:sz w:val="20"/>
          <w:szCs w:val="20"/>
        </w:rPr>
        <w:t>commercial-scale deployment is expected within the next decade</w:t>
      </w:r>
      <w:r w:rsidR="00F12D2B" w:rsidRPr="009901FA">
        <w:rPr>
          <w:rFonts w:ascii="Century Gothic" w:hAnsi="Century Gothic"/>
          <w:sz w:val="20"/>
          <w:szCs w:val="20"/>
        </w:rPr>
        <w:t>.</w:t>
      </w:r>
    </w:p>
    <w:p w14:paraId="38279BBF" w14:textId="0AF9FDDD" w:rsidR="00A60657" w:rsidRPr="009901FA" w:rsidRDefault="00A60657" w:rsidP="00FC5CE5">
      <w:pPr>
        <w:pStyle w:val="PlainText"/>
        <w:numPr>
          <w:ilvl w:val="0"/>
          <w:numId w:val="62"/>
        </w:numPr>
        <w:spacing w:after="120" w:line="264" w:lineRule="auto"/>
        <w:rPr>
          <w:rFonts w:ascii="Century Gothic" w:hAnsi="Century Gothic"/>
          <w:sz w:val="20"/>
          <w:szCs w:val="20"/>
        </w:rPr>
      </w:pPr>
      <w:r w:rsidRPr="009901FA">
        <w:rPr>
          <w:rFonts w:ascii="Century Gothic" w:hAnsi="Century Gothic"/>
          <w:sz w:val="20"/>
          <w:szCs w:val="20"/>
        </w:rPr>
        <w:t>Synthetic/cultured meat production is still at a very early stage of technological and commercial deployment</w:t>
      </w:r>
      <w:r w:rsidR="00517318" w:rsidRPr="009901FA">
        <w:rPr>
          <w:rFonts w:ascii="Century Gothic" w:hAnsi="Century Gothic"/>
          <w:sz w:val="20"/>
          <w:szCs w:val="20"/>
        </w:rPr>
        <w:t>. A</w:t>
      </w:r>
      <w:r w:rsidRPr="009901FA">
        <w:rPr>
          <w:rFonts w:ascii="Century Gothic" w:hAnsi="Century Gothic"/>
          <w:sz w:val="20"/>
          <w:szCs w:val="20"/>
        </w:rPr>
        <w:t>s a result</w:t>
      </w:r>
      <w:r w:rsidR="00517318" w:rsidRPr="009901FA">
        <w:rPr>
          <w:rFonts w:ascii="Century Gothic" w:hAnsi="Century Gothic"/>
          <w:sz w:val="20"/>
          <w:szCs w:val="20"/>
        </w:rPr>
        <w:t>,</w:t>
      </w:r>
      <w:r w:rsidRPr="009901FA">
        <w:rPr>
          <w:rFonts w:ascii="Century Gothic" w:hAnsi="Century Gothic"/>
          <w:sz w:val="20"/>
          <w:szCs w:val="20"/>
        </w:rPr>
        <w:t xml:space="preserve"> the feasibility of the large upside for sustainable bioresource extraction</w:t>
      </w:r>
      <w:r w:rsidR="00517318" w:rsidRPr="009901FA">
        <w:rPr>
          <w:rFonts w:ascii="Century Gothic" w:hAnsi="Century Gothic"/>
          <w:sz w:val="20"/>
          <w:szCs w:val="20"/>
        </w:rPr>
        <w:t>,</w:t>
      </w:r>
      <w:r w:rsidRPr="009901FA">
        <w:rPr>
          <w:rFonts w:ascii="Century Gothic" w:hAnsi="Century Gothic"/>
          <w:sz w:val="20"/>
          <w:szCs w:val="20"/>
        </w:rPr>
        <w:t xml:space="preserve"> shown on </w:t>
      </w:r>
      <w:r w:rsidR="00466C53" w:rsidRPr="009901FA">
        <w:rPr>
          <w:rFonts w:ascii="Century Gothic" w:hAnsi="Century Gothic"/>
          <w:sz w:val="20"/>
          <w:szCs w:val="20"/>
        </w:rPr>
        <w:fldChar w:fldCharType="begin"/>
      </w:r>
      <w:r w:rsidR="00466C53" w:rsidRPr="009901FA">
        <w:rPr>
          <w:rFonts w:ascii="Century Gothic" w:hAnsi="Century Gothic"/>
          <w:sz w:val="20"/>
          <w:szCs w:val="20"/>
        </w:rPr>
        <w:instrText xml:space="preserve"> REF _Ref203751290 \h  \* MERGEFORMAT </w:instrText>
      </w:r>
      <w:r w:rsidR="00466C53" w:rsidRPr="009901FA">
        <w:rPr>
          <w:rFonts w:ascii="Century Gothic" w:hAnsi="Century Gothic"/>
          <w:sz w:val="20"/>
          <w:szCs w:val="20"/>
        </w:rPr>
      </w:r>
      <w:r w:rsidR="00466C53" w:rsidRPr="009901FA">
        <w:rPr>
          <w:rFonts w:ascii="Century Gothic" w:hAnsi="Century Gothic"/>
          <w:sz w:val="20"/>
          <w:szCs w:val="20"/>
        </w:rPr>
        <w:fldChar w:fldCharType="separate"/>
      </w:r>
      <w:r w:rsidR="00DE378F" w:rsidRPr="009901FA">
        <w:rPr>
          <w:rFonts w:ascii="Century Gothic" w:hAnsi="Century Gothic"/>
          <w:sz w:val="20"/>
          <w:szCs w:val="20"/>
        </w:rPr>
        <w:t xml:space="preserve">Exhibit </w:t>
      </w:r>
      <w:r w:rsidR="00327B07">
        <w:rPr>
          <w:rFonts w:ascii="Century Gothic" w:hAnsi="Century Gothic"/>
          <w:noProof/>
          <w:sz w:val="20"/>
          <w:szCs w:val="20"/>
        </w:rPr>
        <w:t>4</w:t>
      </w:r>
      <w:r w:rsidR="00DE378F" w:rsidRPr="009901FA">
        <w:rPr>
          <w:rFonts w:ascii="Century Gothic" w:hAnsi="Century Gothic"/>
          <w:noProof/>
          <w:sz w:val="20"/>
          <w:szCs w:val="20"/>
        </w:rPr>
        <w:t>.30</w:t>
      </w:r>
      <w:r w:rsidR="00466C53" w:rsidRPr="009901FA">
        <w:rPr>
          <w:rFonts w:ascii="Century Gothic" w:hAnsi="Century Gothic"/>
          <w:sz w:val="20"/>
          <w:szCs w:val="20"/>
        </w:rPr>
        <w:fldChar w:fldCharType="end"/>
      </w:r>
      <w:r w:rsidR="00517318" w:rsidRPr="009901FA">
        <w:rPr>
          <w:rFonts w:ascii="Century Gothic" w:hAnsi="Century Gothic"/>
          <w:sz w:val="20"/>
          <w:szCs w:val="20"/>
        </w:rPr>
        <w:t>,</w:t>
      </w:r>
      <w:r w:rsidRPr="009901FA">
        <w:rPr>
          <w:rFonts w:ascii="Century Gothic" w:hAnsi="Century Gothic"/>
          <w:sz w:val="20"/>
          <w:szCs w:val="20"/>
        </w:rPr>
        <w:t xml:space="preserve"> remains unproven.</w:t>
      </w:r>
    </w:p>
    <w:p w14:paraId="17207339" w14:textId="394A37FC" w:rsidR="00A60657" w:rsidRPr="009901FA" w:rsidRDefault="00A60657" w:rsidP="00C24A94">
      <w:pPr>
        <w:pStyle w:val="PlainText"/>
        <w:spacing w:after="120" w:line="264" w:lineRule="auto"/>
        <w:rPr>
          <w:rFonts w:ascii="Century Gothic" w:hAnsi="Century Gothic"/>
          <w:sz w:val="20"/>
          <w:szCs w:val="20"/>
        </w:rPr>
      </w:pPr>
      <w:r w:rsidRPr="009901FA">
        <w:rPr>
          <w:rFonts w:ascii="Century Gothic" w:hAnsi="Century Gothic"/>
          <w:b/>
          <w:bCs/>
          <w:sz w:val="20"/>
          <w:szCs w:val="20"/>
        </w:rPr>
        <w:t xml:space="preserve">Cost per ton of CO2 abated. </w:t>
      </w:r>
      <w:r w:rsidR="00466C53" w:rsidRPr="009901FA">
        <w:rPr>
          <w:rFonts w:ascii="Century Gothic" w:hAnsi="Century Gothic"/>
          <w:sz w:val="20"/>
          <w:szCs w:val="20"/>
        </w:rPr>
        <w:fldChar w:fldCharType="begin"/>
      </w:r>
      <w:r w:rsidR="00466C53" w:rsidRPr="009901FA">
        <w:rPr>
          <w:rFonts w:ascii="Century Gothic" w:hAnsi="Century Gothic"/>
          <w:b/>
          <w:bCs/>
          <w:sz w:val="20"/>
          <w:szCs w:val="20"/>
        </w:rPr>
        <w:instrText xml:space="preserve"> REF _Ref203751543 \h </w:instrText>
      </w:r>
      <w:r w:rsidR="00466C53" w:rsidRPr="009901FA">
        <w:rPr>
          <w:rFonts w:ascii="Century Gothic" w:hAnsi="Century Gothic"/>
          <w:sz w:val="20"/>
          <w:szCs w:val="20"/>
        </w:rPr>
        <w:instrText xml:space="preserve"> \* MERGEFORMAT </w:instrText>
      </w:r>
      <w:r w:rsidR="00466C53" w:rsidRPr="009901FA">
        <w:rPr>
          <w:rFonts w:ascii="Century Gothic" w:hAnsi="Century Gothic"/>
          <w:sz w:val="20"/>
          <w:szCs w:val="20"/>
        </w:rPr>
      </w:r>
      <w:r w:rsidR="00466C53" w:rsidRPr="009901FA">
        <w:rPr>
          <w:rFonts w:ascii="Century Gothic" w:hAnsi="Century Gothic"/>
          <w:sz w:val="20"/>
          <w:szCs w:val="20"/>
        </w:rPr>
        <w:fldChar w:fldCharType="separate"/>
      </w:r>
      <w:r w:rsidR="00DE378F" w:rsidRPr="009901FA">
        <w:rPr>
          <w:rFonts w:ascii="Century Gothic" w:hAnsi="Century Gothic"/>
          <w:sz w:val="20"/>
          <w:szCs w:val="20"/>
        </w:rPr>
        <w:t xml:space="preserve">Exhibit </w:t>
      </w:r>
      <w:r w:rsidR="00327B07">
        <w:rPr>
          <w:rFonts w:ascii="Century Gothic" w:hAnsi="Century Gothic"/>
          <w:noProof/>
          <w:sz w:val="20"/>
          <w:szCs w:val="20"/>
        </w:rPr>
        <w:t>6</w:t>
      </w:r>
      <w:r w:rsidR="00DE378F" w:rsidRPr="009901FA">
        <w:rPr>
          <w:rFonts w:ascii="Century Gothic" w:hAnsi="Century Gothic"/>
          <w:noProof/>
          <w:sz w:val="20"/>
          <w:szCs w:val="20"/>
        </w:rPr>
        <w:t>.2</w:t>
      </w:r>
      <w:r w:rsidR="00466C53" w:rsidRPr="009901FA">
        <w:rPr>
          <w:rFonts w:ascii="Century Gothic" w:hAnsi="Century Gothic"/>
          <w:sz w:val="20"/>
          <w:szCs w:val="20"/>
        </w:rPr>
        <w:fldChar w:fldCharType="end"/>
      </w:r>
      <w:r w:rsidRPr="009901FA">
        <w:rPr>
          <w:rFonts w:ascii="Century Gothic" w:hAnsi="Century Gothic"/>
          <w:sz w:val="20"/>
          <w:szCs w:val="20"/>
        </w:rPr>
        <w:t xml:space="preserve"> presents a summary of multiple estimates of the cost of abatement for the different technologies in 2030</w:t>
      </w:r>
      <w:r w:rsidR="00877A86" w:rsidRPr="009901FA">
        <w:rPr>
          <w:rFonts w:ascii="Century Gothic" w:hAnsi="Century Gothic"/>
          <w:sz w:val="20"/>
          <w:szCs w:val="20"/>
        </w:rPr>
        <w:t>/2035</w:t>
      </w:r>
      <w:r w:rsidRPr="009901FA">
        <w:rPr>
          <w:rFonts w:ascii="Century Gothic" w:hAnsi="Century Gothic"/>
          <w:sz w:val="20"/>
          <w:szCs w:val="20"/>
        </w:rPr>
        <w:t>. There are significant degrees of uncertainty around each specific estimate, but the very wide dispersion between the different technologies suggests some broad conclusions.</w:t>
      </w:r>
    </w:p>
    <w:p w14:paraId="52F11CA2" w14:textId="77777777" w:rsidR="00A60657" w:rsidRPr="009901FA" w:rsidRDefault="00A60657" w:rsidP="00ED5880">
      <w:pPr>
        <w:pStyle w:val="PlainText"/>
        <w:numPr>
          <w:ilvl w:val="0"/>
          <w:numId w:val="63"/>
        </w:numPr>
        <w:spacing w:after="120" w:line="264" w:lineRule="auto"/>
        <w:rPr>
          <w:rFonts w:ascii="Century Gothic" w:hAnsi="Century Gothic"/>
          <w:sz w:val="20"/>
          <w:szCs w:val="20"/>
        </w:rPr>
      </w:pPr>
      <w:r w:rsidRPr="009901FA">
        <w:rPr>
          <w:rFonts w:ascii="Century Gothic" w:hAnsi="Century Gothic"/>
          <w:sz w:val="20"/>
          <w:szCs w:val="20"/>
        </w:rPr>
        <w:t xml:space="preserve">In principle reuse of materials and material recycling of plastics should be able to reduce primary carbon demand at negative cost of abatement. They crucially depend however on the introduction and social acceptance of more disciplined end of life recovery and sortation </w:t>
      </w:r>
    </w:p>
    <w:p w14:paraId="06E46545" w14:textId="5DB23549" w:rsidR="00A60657" w:rsidRPr="009901FA" w:rsidRDefault="00A60657" w:rsidP="00ED5880">
      <w:pPr>
        <w:pStyle w:val="PlainText"/>
        <w:numPr>
          <w:ilvl w:val="0"/>
          <w:numId w:val="63"/>
        </w:numPr>
        <w:spacing w:after="120" w:line="264" w:lineRule="auto"/>
        <w:rPr>
          <w:rFonts w:ascii="Century Gothic" w:hAnsi="Century Gothic"/>
          <w:sz w:val="20"/>
          <w:szCs w:val="20"/>
        </w:rPr>
      </w:pPr>
      <w:r w:rsidRPr="009901FA">
        <w:rPr>
          <w:rFonts w:ascii="Century Gothic" w:hAnsi="Century Gothic"/>
          <w:sz w:val="20"/>
          <w:szCs w:val="20"/>
        </w:rPr>
        <w:t>Several direct electrification technologies – in particular electro winning, MOE, and</w:t>
      </w:r>
      <w:r w:rsidR="007A54AF" w:rsidRPr="009901FA">
        <w:rPr>
          <w:rFonts w:ascii="Century Gothic" w:hAnsi="Century Gothic"/>
          <w:sz w:val="20"/>
          <w:szCs w:val="20"/>
        </w:rPr>
        <w:t xml:space="preserve"> e-</w:t>
      </w:r>
      <w:r w:rsidRPr="009901FA">
        <w:rPr>
          <w:rFonts w:ascii="Century Gothic" w:hAnsi="Century Gothic"/>
          <w:sz w:val="20"/>
          <w:szCs w:val="20"/>
        </w:rPr>
        <w:t xml:space="preserve">cracking, seem likely in principle to be low cost options if and when they progress to a higher TRL level  </w:t>
      </w:r>
    </w:p>
    <w:p w14:paraId="030DC98F" w14:textId="52098280" w:rsidR="00A60657" w:rsidRPr="009901FA" w:rsidRDefault="00A60657" w:rsidP="00ED5880">
      <w:pPr>
        <w:pStyle w:val="PlainText"/>
        <w:numPr>
          <w:ilvl w:val="0"/>
          <w:numId w:val="63"/>
        </w:numPr>
        <w:spacing w:after="120" w:line="264" w:lineRule="auto"/>
        <w:rPr>
          <w:rFonts w:ascii="Century Gothic" w:hAnsi="Century Gothic"/>
          <w:sz w:val="20"/>
          <w:szCs w:val="20"/>
        </w:rPr>
      </w:pPr>
      <w:r w:rsidRPr="009901FA">
        <w:rPr>
          <w:rFonts w:ascii="Century Gothic" w:hAnsi="Century Gothic"/>
          <w:sz w:val="20"/>
          <w:szCs w:val="20"/>
        </w:rPr>
        <w:t>Several point source CCS solutions seem likely to be among the more economic options, but estimates of DACCS for 2030 make it still a very expensive option at that time</w:t>
      </w:r>
    </w:p>
    <w:p w14:paraId="1036C592" w14:textId="22D6BB5C" w:rsidR="00A60657" w:rsidRPr="009901FA" w:rsidRDefault="00A60657" w:rsidP="00C24A94">
      <w:pPr>
        <w:pStyle w:val="PlainText"/>
        <w:numPr>
          <w:ilvl w:val="0"/>
          <w:numId w:val="63"/>
        </w:numPr>
        <w:spacing w:after="120" w:line="264" w:lineRule="auto"/>
        <w:rPr>
          <w:rFonts w:ascii="Century Gothic" w:hAnsi="Century Gothic"/>
          <w:sz w:val="20"/>
          <w:szCs w:val="20"/>
        </w:rPr>
      </w:pPr>
      <w:r w:rsidRPr="009901FA">
        <w:rPr>
          <w:rFonts w:ascii="Century Gothic" w:hAnsi="Century Gothic"/>
          <w:sz w:val="20"/>
          <w:szCs w:val="20"/>
        </w:rPr>
        <w:t>The several carbon capture and use options seem very expensive, and will need to achieve significant cost reductions to play a major role</w:t>
      </w:r>
    </w:p>
    <w:p w14:paraId="3ECF227A" w14:textId="4FFD3081" w:rsidR="00A60657" w:rsidRPr="009901FA" w:rsidRDefault="00A60657" w:rsidP="00ED5880">
      <w:pPr>
        <w:pStyle w:val="PlainText"/>
        <w:spacing w:after="120" w:line="264" w:lineRule="auto"/>
        <w:rPr>
          <w:rFonts w:ascii="Century Gothic" w:hAnsi="Century Gothic"/>
          <w:b/>
          <w:bCs/>
          <w:sz w:val="20"/>
          <w:szCs w:val="20"/>
        </w:rPr>
      </w:pPr>
      <w:r w:rsidRPr="009901FA">
        <w:rPr>
          <w:rFonts w:ascii="Century Gothic" w:hAnsi="Century Gothic"/>
          <w:b/>
          <w:bCs/>
          <w:sz w:val="20"/>
          <w:szCs w:val="20"/>
        </w:rPr>
        <w:t xml:space="preserve">Energy costs now and in </w:t>
      </w:r>
      <w:r w:rsidR="003D0678" w:rsidRPr="009901FA">
        <w:rPr>
          <w:rFonts w:ascii="Century Gothic" w:hAnsi="Century Gothic"/>
          <w:b/>
          <w:bCs/>
          <w:sz w:val="20"/>
          <w:szCs w:val="20"/>
        </w:rPr>
        <w:t xml:space="preserve">the </w:t>
      </w:r>
      <w:r w:rsidRPr="009901FA">
        <w:rPr>
          <w:rFonts w:ascii="Century Gothic" w:hAnsi="Century Gothic"/>
          <w:b/>
          <w:bCs/>
          <w:sz w:val="20"/>
          <w:szCs w:val="20"/>
        </w:rPr>
        <w:t>future</w:t>
      </w:r>
      <w:r w:rsidR="003D0678" w:rsidRPr="009901FA">
        <w:rPr>
          <w:rFonts w:ascii="Century Gothic" w:hAnsi="Century Gothic"/>
          <w:b/>
          <w:bCs/>
          <w:sz w:val="20"/>
          <w:szCs w:val="20"/>
        </w:rPr>
        <w:t>.</w:t>
      </w:r>
      <w:r w:rsidRPr="009901FA">
        <w:rPr>
          <w:rFonts w:ascii="Century Gothic" w:hAnsi="Century Gothic"/>
          <w:b/>
          <w:bCs/>
          <w:sz w:val="20"/>
          <w:szCs w:val="20"/>
        </w:rPr>
        <w:t xml:space="preserve"> </w:t>
      </w:r>
      <w:r w:rsidRPr="009901FA">
        <w:rPr>
          <w:rFonts w:ascii="Century Gothic" w:hAnsi="Century Gothic"/>
          <w:sz w:val="20"/>
          <w:szCs w:val="20"/>
        </w:rPr>
        <w:t>One key determinant of the 2030</w:t>
      </w:r>
      <w:r w:rsidR="003D0678" w:rsidRPr="009901FA">
        <w:rPr>
          <w:rFonts w:ascii="Century Gothic" w:hAnsi="Century Gothic"/>
          <w:sz w:val="20"/>
          <w:szCs w:val="20"/>
        </w:rPr>
        <w:t>/2035</w:t>
      </w:r>
      <w:r w:rsidRPr="009901FA">
        <w:rPr>
          <w:rFonts w:ascii="Century Gothic" w:hAnsi="Century Gothic"/>
          <w:sz w:val="20"/>
          <w:szCs w:val="20"/>
        </w:rPr>
        <w:t xml:space="preserve"> abatement costs shown in </w:t>
      </w:r>
      <w:r w:rsidR="002928F6" w:rsidRPr="009901FA">
        <w:rPr>
          <w:rFonts w:ascii="Century Gothic" w:hAnsi="Century Gothic"/>
          <w:sz w:val="20"/>
          <w:szCs w:val="20"/>
        </w:rPr>
        <w:fldChar w:fldCharType="begin"/>
      </w:r>
      <w:r w:rsidR="002928F6" w:rsidRPr="009901FA">
        <w:rPr>
          <w:rFonts w:ascii="Century Gothic" w:hAnsi="Century Gothic"/>
          <w:sz w:val="20"/>
          <w:szCs w:val="20"/>
        </w:rPr>
        <w:instrText xml:space="preserve"> REF _Ref203751543 \h  \* MERGEFORMAT </w:instrText>
      </w:r>
      <w:r w:rsidR="002928F6" w:rsidRPr="009901FA">
        <w:rPr>
          <w:rFonts w:ascii="Century Gothic" w:hAnsi="Century Gothic"/>
          <w:sz w:val="20"/>
          <w:szCs w:val="20"/>
        </w:rPr>
      </w:r>
      <w:r w:rsidR="002928F6" w:rsidRPr="009901FA">
        <w:rPr>
          <w:rFonts w:ascii="Century Gothic" w:hAnsi="Century Gothic"/>
          <w:sz w:val="20"/>
          <w:szCs w:val="20"/>
        </w:rPr>
        <w:fldChar w:fldCharType="separate"/>
      </w:r>
      <w:r w:rsidR="00DE378F" w:rsidRPr="009901FA">
        <w:rPr>
          <w:rFonts w:ascii="Century Gothic" w:hAnsi="Century Gothic"/>
          <w:sz w:val="20"/>
          <w:szCs w:val="20"/>
        </w:rPr>
        <w:t xml:space="preserve">Exhibit </w:t>
      </w:r>
      <w:r w:rsidR="00327B07">
        <w:rPr>
          <w:rFonts w:ascii="Century Gothic" w:hAnsi="Century Gothic"/>
          <w:noProof/>
          <w:sz w:val="20"/>
          <w:szCs w:val="20"/>
        </w:rPr>
        <w:t>6</w:t>
      </w:r>
      <w:r w:rsidR="00DE378F" w:rsidRPr="009901FA">
        <w:rPr>
          <w:rFonts w:ascii="Century Gothic" w:hAnsi="Century Gothic"/>
          <w:noProof/>
          <w:sz w:val="20"/>
          <w:szCs w:val="20"/>
        </w:rPr>
        <w:t>.2</w:t>
      </w:r>
      <w:r w:rsidR="002928F6" w:rsidRPr="009901FA">
        <w:rPr>
          <w:rFonts w:ascii="Century Gothic" w:hAnsi="Century Gothic"/>
          <w:sz w:val="20"/>
          <w:szCs w:val="20"/>
        </w:rPr>
        <w:fldChar w:fldCharType="end"/>
      </w:r>
      <w:r w:rsidRPr="009901FA">
        <w:rPr>
          <w:rFonts w:ascii="Century Gothic" w:hAnsi="Century Gothic"/>
          <w:sz w:val="20"/>
          <w:szCs w:val="20"/>
        </w:rPr>
        <w:t xml:space="preserve"> is the energy intensity of the different processes and the costs of energy inputs. For instance both DACCS  and chemical recycling via gasification have high cost because they are very energy intensive processes</w:t>
      </w:r>
      <w:r w:rsidR="007D3F14" w:rsidRPr="009901FA">
        <w:rPr>
          <w:rFonts w:ascii="Century Gothic" w:hAnsi="Century Gothic"/>
          <w:sz w:val="20"/>
          <w:szCs w:val="20"/>
        </w:rPr>
        <w:t>;</w:t>
      </w:r>
      <w:r w:rsidRPr="009901FA">
        <w:rPr>
          <w:rFonts w:ascii="Century Gothic" w:hAnsi="Century Gothic"/>
          <w:sz w:val="20"/>
          <w:szCs w:val="20"/>
        </w:rPr>
        <w:t xml:space="preserve"> and the high cost of the CCU options are to a significant extent driven by the assumed cost of green hydrogen inputs, which in turn depend on the cost of electricity.</w:t>
      </w:r>
    </w:p>
    <w:p w14:paraId="306ED3F4" w14:textId="49541521" w:rsidR="00A60657" w:rsidRPr="009901FA" w:rsidRDefault="00A60657" w:rsidP="00ED5880">
      <w:pPr>
        <w:pStyle w:val="PlainText"/>
        <w:spacing w:after="120" w:line="264" w:lineRule="auto"/>
        <w:rPr>
          <w:rFonts w:ascii="Century Gothic" w:hAnsi="Century Gothic"/>
          <w:sz w:val="20"/>
          <w:szCs w:val="20"/>
        </w:rPr>
      </w:pPr>
      <w:r w:rsidRPr="009901FA">
        <w:rPr>
          <w:rFonts w:ascii="Century Gothic" w:hAnsi="Century Gothic"/>
          <w:sz w:val="20"/>
          <w:szCs w:val="20"/>
        </w:rPr>
        <w:t xml:space="preserve">As a result these technologies would become more competitive if the cost of zero carbon electricity declined significantly, either globally or in specific regions. As the ETC‘s recent report on </w:t>
      </w:r>
      <w:r w:rsidRPr="009901FA">
        <w:rPr>
          <w:rFonts w:ascii="Century Gothic" w:hAnsi="Century Gothic"/>
          <w:i/>
          <w:iCs/>
          <w:sz w:val="20"/>
          <w:szCs w:val="20"/>
        </w:rPr>
        <w:t>Power Systems Transformation</w:t>
      </w:r>
      <w:r w:rsidRPr="009901FA">
        <w:rPr>
          <w:rStyle w:val="FootnoteReference"/>
          <w:rFonts w:ascii="Century Gothic" w:hAnsi="Century Gothic"/>
          <w:i/>
          <w:iCs/>
          <w:sz w:val="20"/>
          <w:szCs w:val="20"/>
        </w:rPr>
        <w:footnoteReference w:id="110"/>
      </w:r>
      <w:r w:rsidRPr="009901FA">
        <w:rPr>
          <w:rFonts w:ascii="Century Gothic" w:hAnsi="Century Gothic"/>
          <w:sz w:val="20"/>
          <w:szCs w:val="20"/>
        </w:rPr>
        <w:t xml:space="preserve"> sets out, this is likely to occur over the medium term in “global sunbelt“ countries which enjoy very large solar or wind resources In specific locations therefore some of the </w:t>
      </w:r>
      <w:r w:rsidRPr="009901FA">
        <w:rPr>
          <w:rFonts w:ascii="Century Gothic" w:hAnsi="Century Gothic"/>
          <w:sz w:val="20"/>
          <w:szCs w:val="20"/>
        </w:rPr>
        <w:lastRenderedPageBreak/>
        <w:t>technologies – and in particular DACCS</w:t>
      </w:r>
      <w:r w:rsidR="002928F6" w:rsidRPr="009901FA">
        <w:rPr>
          <w:rFonts w:ascii="Century Gothic" w:hAnsi="Century Gothic"/>
          <w:sz w:val="20"/>
          <w:szCs w:val="20"/>
        </w:rPr>
        <w:t xml:space="preserve"> </w:t>
      </w:r>
      <w:r w:rsidR="00C92D1E" w:rsidRPr="009901FA">
        <w:rPr>
          <w:rFonts w:ascii="Century Gothic" w:hAnsi="Century Gothic"/>
          <w:sz w:val="20"/>
          <w:szCs w:val="20"/>
        </w:rPr>
        <w:t>–</w:t>
      </w:r>
      <w:r w:rsidR="002928F6" w:rsidRPr="009901FA">
        <w:rPr>
          <w:rFonts w:ascii="Century Gothic" w:hAnsi="Century Gothic"/>
          <w:sz w:val="20"/>
          <w:szCs w:val="20"/>
        </w:rPr>
        <w:t xml:space="preserve"> </w:t>
      </w:r>
      <w:r w:rsidRPr="009901FA">
        <w:rPr>
          <w:rFonts w:ascii="Century Gothic" w:hAnsi="Century Gothic"/>
          <w:sz w:val="20"/>
          <w:szCs w:val="20"/>
        </w:rPr>
        <w:t xml:space="preserve">are likely to play a more significant role than their position on </w:t>
      </w:r>
      <w:r w:rsidR="002928F6" w:rsidRPr="009901FA">
        <w:rPr>
          <w:rFonts w:ascii="Century Gothic" w:hAnsi="Century Gothic"/>
          <w:sz w:val="20"/>
          <w:szCs w:val="20"/>
        </w:rPr>
        <w:fldChar w:fldCharType="begin"/>
      </w:r>
      <w:r w:rsidR="002928F6" w:rsidRPr="009901FA">
        <w:rPr>
          <w:rFonts w:ascii="Century Gothic" w:hAnsi="Century Gothic"/>
          <w:sz w:val="20"/>
          <w:szCs w:val="20"/>
        </w:rPr>
        <w:instrText xml:space="preserve"> REF _Ref203751543 \h  \* MERGEFORMAT </w:instrText>
      </w:r>
      <w:r w:rsidR="002928F6" w:rsidRPr="009901FA">
        <w:rPr>
          <w:rFonts w:ascii="Century Gothic" w:hAnsi="Century Gothic"/>
          <w:sz w:val="20"/>
          <w:szCs w:val="20"/>
        </w:rPr>
      </w:r>
      <w:r w:rsidR="002928F6" w:rsidRPr="009901FA">
        <w:rPr>
          <w:rFonts w:ascii="Century Gothic" w:hAnsi="Century Gothic"/>
          <w:sz w:val="20"/>
          <w:szCs w:val="20"/>
        </w:rPr>
        <w:fldChar w:fldCharType="separate"/>
      </w:r>
      <w:r w:rsidR="00DE378F" w:rsidRPr="009901FA">
        <w:rPr>
          <w:rFonts w:ascii="Century Gothic" w:hAnsi="Century Gothic"/>
          <w:sz w:val="20"/>
          <w:szCs w:val="20"/>
        </w:rPr>
        <w:t xml:space="preserve">Exhibit </w:t>
      </w:r>
      <w:r w:rsidR="00327B07">
        <w:rPr>
          <w:rFonts w:ascii="Century Gothic" w:hAnsi="Century Gothic"/>
          <w:noProof/>
          <w:sz w:val="20"/>
          <w:szCs w:val="20"/>
        </w:rPr>
        <w:t>6</w:t>
      </w:r>
      <w:r w:rsidR="00DE378F" w:rsidRPr="009901FA">
        <w:rPr>
          <w:rFonts w:ascii="Century Gothic" w:hAnsi="Century Gothic"/>
          <w:noProof/>
          <w:sz w:val="20"/>
          <w:szCs w:val="20"/>
        </w:rPr>
        <w:t>.2</w:t>
      </w:r>
      <w:r w:rsidR="002928F6" w:rsidRPr="009901FA">
        <w:rPr>
          <w:rFonts w:ascii="Century Gothic" w:hAnsi="Century Gothic"/>
          <w:sz w:val="20"/>
          <w:szCs w:val="20"/>
        </w:rPr>
        <w:fldChar w:fldCharType="end"/>
      </w:r>
      <w:r w:rsidRPr="009901FA">
        <w:rPr>
          <w:rFonts w:ascii="Century Gothic" w:hAnsi="Century Gothic"/>
          <w:sz w:val="20"/>
          <w:szCs w:val="20"/>
        </w:rPr>
        <w:t xml:space="preserve"> suggests.</w:t>
      </w:r>
    </w:p>
    <w:p w14:paraId="16BC1751" w14:textId="61C61AE5" w:rsidR="00A60657" w:rsidRPr="009901FA" w:rsidRDefault="00A60657" w:rsidP="00ED5880">
      <w:pPr>
        <w:pStyle w:val="PlainText"/>
        <w:spacing w:after="120" w:line="264" w:lineRule="auto"/>
        <w:rPr>
          <w:rFonts w:ascii="Century Gothic" w:hAnsi="Century Gothic"/>
          <w:sz w:val="20"/>
          <w:szCs w:val="20"/>
        </w:rPr>
      </w:pPr>
      <w:r w:rsidRPr="009901FA">
        <w:rPr>
          <w:rFonts w:ascii="Century Gothic" w:hAnsi="Century Gothic"/>
          <w:b/>
          <w:bCs/>
          <w:sz w:val="20"/>
          <w:szCs w:val="20"/>
        </w:rPr>
        <w:t xml:space="preserve">Natural resource and local environmental effects. </w:t>
      </w:r>
      <w:r w:rsidRPr="009901FA">
        <w:rPr>
          <w:rFonts w:ascii="Century Gothic" w:hAnsi="Century Gothic"/>
          <w:sz w:val="20"/>
          <w:szCs w:val="20"/>
        </w:rPr>
        <w:t>Securing primary carbon supply from either fossil or bio resources will inevitably have a significant local environmental impact: these arise from the mining, drilling, transport and refining involved in fossil fuel supply, and from the biodiversity losses which may result from biomass extraction. Circularity via reuse or recycling of materials is the most effective lever to reduce this input</w:t>
      </w:r>
      <w:r w:rsidRPr="009901FA">
        <w:rPr>
          <w:rStyle w:val="FootnoteReference"/>
          <w:rFonts w:ascii="Century Gothic" w:hAnsi="Century Gothic"/>
          <w:sz w:val="20"/>
          <w:szCs w:val="20"/>
        </w:rPr>
        <w:footnoteReference w:id="111"/>
      </w:r>
      <w:r w:rsidRPr="009901FA">
        <w:rPr>
          <w:rFonts w:ascii="Century Gothic" w:hAnsi="Century Gothic"/>
          <w:sz w:val="20"/>
          <w:szCs w:val="20"/>
        </w:rPr>
        <w:t>.</w:t>
      </w:r>
    </w:p>
    <w:p w14:paraId="5CA3F5AA" w14:textId="1BCD8570" w:rsidR="003D60A7" w:rsidRPr="009901FA" w:rsidRDefault="00A60657" w:rsidP="00C24A94">
      <w:pPr>
        <w:pStyle w:val="PlainText"/>
        <w:spacing w:after="120" w:line="264" w:lineRule="auto"/>
        <w:rPr>
          <w:rFonts w:ascii="Century Gothic" w:hAnsi="Century Gothic"/>
          <w:sz w:val="20"/>
          <w:szCs w:val="20"/>
        </w:rPr>
      </w:pPr>
      <w:r w:rsidRPr="009901FA">
        <w:rPr>
          <w:rFonts w:ascii="Century Gothic" w:hAnsi="Century Gothic"/>
          <w:sz w:val="20"/>
          <w:szCs w:val="20"/>
        </w:rPr>
        <w:t>Bio energy by resource supply creates the greatest demand for land: other technology options e.g., for gaseous or solid carbon storage, a</w:t>
      </w:r>
      <w:r w:rsidR="0026219A" w:rsidRPr="009901FA">
        <w:rPr>
          <w:rFonts w:ascii="Century Gothic" w:hAnsi="Century Gothic"/>
          <w:sz w:val="20"/>
          <w:szCs w:val="20"/>
        </w:rPr>
        <w:t>re</w:t>
      </w:r>
      <w:r w:rsidRPr="009901FA">
        <w:rPr>
          <w:rFonts w:ascii="Century Gothic" w:hAnsi="Century Gothic"/>
          <w:sz w:val="20"/>
          <w:szCs w:val="20"/>
        </w:rPr>
        <w:t xml:space="preserve"> trivial by comparison</w:t>
      </w:r>
      <w:r w:rsidR="00C777C8" w:rsidRPr="009901FA">
        <w:rPr>
          <w:rFonts w:ascii="Century Gothic" w:hAnsi="Century Gothic"/>
          <w:sz w:val="20"/>
          <w:szCs w:val="20"/>
        </w:rPr>
        <w:t>. For example,</w:t>
      </w:r>
      <w:r w:rsidR="00E72C6A" w:rsidRPr="009901FA">
        <w:rPr>
          <w:rFonts w:ascii="Century Gothic" w:hAnsi="Century Gothic"/>
          <w:sz w:val="20"/>
          <w:szCs w:val="20"/>
        </w:rPr>
        <w:t xml:space="preserve"> landfilling all of the world</w:t>
      </w:r>
      <w:r w:rsidR="00965955" w:rsidRPr="009901FA">
        <w:rPr>
          <w:rFonts w:ascii="Century Gothic" w:hAnsi="Century Gothic"/>
          <w:sz w:val="20"/>
          <w:szCs w:val="20"/>
        </w:rPr>
        <w:t>’s</w:t>
      </w:r>
      <w:r w:rsidR="00E72C6A" w:rsidRPr="009901FA">
        <w:rPr>
          <w:rFonts w:ascii="Century Gothic" w:hAnsi="Century Gothic"/>
          <w:sz w:val="20"/>
          <w:szCs w:val="20"/>
        </w:rPr>
        <w:t xml:space="preserve"> municipal solid waste (including plastic</w:t>
      </w:r>
      <w:r w:rsidR="00965955" w:rsidRPr="009901FA">
        <w:rPr>
          <w:rFonts w:ascii="Century Gothic" w:hAnsi="Century Gothic"/>
          <w:sz w:val="20"/>
          <w:szCs w:val="20"/>
        </w:rPr>
        <w:t>)</w:t>
      </w:r>
      <w:r w:rsidR="00E72C6A" w:rsidRPr="009901FA">
        <w:rPr>
          <w:rFonts w:ascii="Century Gothic" w:hAnsi="Century Gothic"/>
          <w:sz w:val="20"/>
          <w:szCs w:val="20"/>
        </w:rPr>
        <w:t xml:space="preserve"> from now until 2040 would </w:t>
      </w:r>
      <w:r w:rsidR="00503B34" w:rsidRPr="009901FA">
        <w:rPr>
          <w:rFonts w:ascii="Century Gothic" w:hAnsi="Century Gothic"/>
          <w:sz w:val="20"/>
          <w:szCs w:val="20"/>
        </w:rPr>
        <w:t>theoretically occupy 0.85 million hectares</w:t>
      </w:r>
      <w:r w:rsidR="00503B34" w:rsidRPr="009901FA">
        <w:rPr>
          <w:rStyle w:val="FootnoteReference"/>
          <w:rFonts w:ascii="Century Gothic" w:hAnsi="Century Gothic"/>
          <w:sz w:val="20"/>
          <w:szCs w:val="20"/>
        </w:rPr>
        <w:footnoteReference w:id="112"/>
      </w:r>
      <w:r w:rsidR="001C49A8" w:rsidRPr="009901FA">
        <w:rPr>
          <w:rFonts w:ascii="Century Gothic" w:hAnsi="Century Gothic"/>
          <w:sz w:val="20"/>
          <w:szCs w:val="20"/>
        </w:rPr>
        <w:t xml:space="preserve">, where the freeing </w:t>
      </w:r>
      <w:r w:rsidR="00965955" w:rsidRPr="009901FA">
        <w:rPr>
          <w:rFonts w:ascii="Century Gothic" w:hAnsi="Century Gothic"/>
          <w:sz w:val="20"/>
          <w:szCs w:val="20"/>
        </w:rPr>
        <w:t>up of land</w:t>
      </w:r>
      <w:r w:rsidR="00743F72" w:rsidRPr="009901FA">
        <w:rPr>
          <w:rFonts w:ascii="Century Gothic" w:hAnsi="Century Gothic"/>
          <w:sz w:val="20"/>
          <w:szCs w:val="20"/>
        </w:rPr>
        <w:t xml:space="preserve"> via alternative proteins</w:t>
      </w:r>
      <w:r w:rsidR="00947D59" w:rsidRPr="009901FA">
        <w:rPr>
          <w:rFonts w:ascii="Century Gothic" w:hAnsi="Century Gothic"/>
          <w:sz w:val="20"/>
          <w:szCs w:val="20"/>
        </w:rPr>
        <w:t xml:space="preserve"> could generate 28EJ using 585 million hectares (see</w:t>
      </w:r>
      <w:r w:rsidR="00131D8F" w:rsidRPr="009901FA">
        <w:rPr>
          <w:rFonts w:ascii="Century Gothic" w:hAnsi="Century Gothic"/>
          <w:sz w:val="20"/>
          <w:szCs w:val="20"/>
        </w:rPr>
        <w:t xml:space="preserve"> </w:t>
      </w:r>
      <w:r w:rsidR="001A40BE" w:rsidRPr="009901FA">
        <w:rPr>
          <w:rFonts w:ascii="Century Gothic" w:hAnsi="Century Gothic"/>
          <w:sz w:val="20"/>
          <w:szCs w:val="20"/>
        </w:rPr>
        <w:fldChar w:fldCharType="begin"/>
      </w:r>
      <w:r w:rsidR="001A40BE" w:rsidRPr="009901FA">
        <w:rPr>
          <w:rFonts w:ascii="Century Gothic" w:hAnsi="Century Gothic"/>
          <w:sz w:val="20"/>
          <w:szCs w:val="20"/>
        </w:rPr>
        <w:instrText xml:space="preserve"> REF _Ref203751290 \h  \* MERGEFORMAT </w:instrText>
      </w:r>
      <w:r w:rsidR="001A40BE" w:rsidRPr="009901FA">
        <w:rPr>
          <w:rFonts w:ascii="Century Gothic" w:hAnsi="Century Gothic"/>
          <w:sz w:val="20"/>
          <w:szCs w:val="20"/>
        </w:rPr>
      </w:r>
      <w:r w:rsidR="001A40BE" w:rsidRPr="009901FA">
        <w:rPr>
          <w:rFonts w:ascii="Century Gothic" w:hAnsi="Century Gothic"/>
          <w:sz w:val="20"/>
          <w:szCs w:val="20"/>
        </w:rPr>
        <w:fldChar w:fldCharType="separate"/>
      </w:r>
      <w:r w:rsidR="00DE378F" w:rsidRPr="009901FA">
        <w:rPr>
          <w:rFonts w:ascii="Century Gothic" w:hAnsi="Century Gothic"/>
          <w:sz w:val="20"/>
          <w:szCs w:val="20"/>
        </w:rPr>
        <w:t xml:space="preserve">Exhibit </w:t>
      </w:r>
      <w:r w:rsidR="00327B07">
        <w:rPr>
          <w:rFonts w:ascii="Century Gothic" w:hAnsi="Century Gothic"/>
          <w:noProof/>
          <w:sz w:val="20"/>
          <w:szCs w:val="20"/>
        </w:rPr>
        <w:t>4</w:t>
      </w:r>
      <w:r w:rsidR="00DE378F" w:rsidRPr="009901FA">
        <w:rPr>
          <w:rFonts w:ascii="Century Gothic" w:hAnsi="Century Gothic"/>
          <w:noProof/>
          <w:sz w:val="20"/>
          <w:szCs w:val="20"/>
        </w:rPr>
        <w:t>.30</w:t>
      </w:r>
      <w:r w:rsidR="001A40BE" w:rsidRPr="009901FA">
        <w:rPr>
          <w:rFonts w:ascii="Century Gothic" w:hAnsi="Century Gothic"/>
          <w:sz w:val="20"/>
          <w:szCs w:val="20"/>
        </w:rPr>
        <w:fldChar w:fldCharType="end"/>
      </w:r>
      <w:r w:rsidR="007A4C82" w:rsidRPr="009901FA">
        <w:rPr>
          <w:rFonts w:ascii="Century Gothic" w:hAnsi="Century Gothic"/>
          <w:sz w:val="20"/>
          <w:szCs w:val="20"/>
        </w:rPr>
        <w:t>)</w:t>
      </w:r>
      <w:r w:rsidR="00947D59" w:rsidRPr="009901FA">
        <w:rPr>
          <w:rFonts w:ascii="Century Gothic" w:hAnsi="Century Gothic"/>
          <w:sz w:val="20"/>
          <w:szCs w:val="20"/>
        </w:rPr>
        <w:t>.</w:t>
      </w:r>
      <w:r w:rsidRPr="009901FA">
        <w:rPr>
          <w:rFonts w:ascii="Century Gothic" w:hAnsi="Century Gothic"/>
          <w:sz w:val="20"/>
          <w:szCs w:val="20"/>
        </w:rPr>
        <w:t xml:space="preserve"> Regulation to minimise the adverse effects on biodiversity, and to avoid bad incentives for land degradation (e.g. as shown on </w:t>
      </w:r>
      <w:r w:rsidR="00683C57" w:rsidRPr="009901FA">
        <w:rPr>
          <w:rFonts w:ascii="Century Gothic" w:hAnsi="Century Gothic"/>
          <w:sz w:val="20"/>
          <w:szCs w:val="20"/>
        </w:rPr>
        <w:fldChar w:fldCharType="begin"/>
      </w:r>
      <w:r w:rsidR="00683C57" w:rsidRPr="009901FA">
        <w:rPr>
          <w:rFonts w:ascii="Century Gothic" w:hAnsi="Century Gothic"/>
          <w:sz w:val="20"/>
          <w:szCs w:val="20"/>
        </w:rPr>
        <w:instrText xml:space="preserve"> REF _Ref203751203 \h  \* MERGEFORMAT </w:instrText>
      </w:r>
      <w:r w:rsidR="00683C57" w:rsidRPr="009901FA">
        <w:rPr>
          <w:rFonts w:ascii="Century Gothic" w:hAnsi="Century Gothic"/>
          <w:sz w:val="20"/>
          <w:szCs w:val="20"/>
        </w:rPr>
      </w:r>
      <w:r w:rsidR="00683C57" w:rsidRPr="009901FA">
        <w:rPr>
          <w:rFonts w:ascii="Century Gothic" w:hAnsi="Century Gothic"/>
          <w:sz w:val="20"/>
          <w:szCs w:val="20"/>
        </w:rPr>
        <w:fldChar w:fldCharType="separate"/>
      </w:r>
      <w:r w:rsidR="00DE378F" w:rsidRPr="009901FA">
        <w:rPr>
          <w:rFonts w:ascii="Century Gothic" w:hAnsi="Century Gothic"/>
          <w:sz w:val="20"/>
          <w:szCs w:val="20"/>
        </w:rPr>
        <w:t xml:space="preserve">Exhibit </w:t>
      </w:r>
      <w:r w:rsidR="00327B07">
        <w:rPr>
          <w:rFonts w:ascii="Century Gothic" w:hAnsi="Century Gothic"/>
          <w:noProof/>
          <w:sz w:val="20"/>
          <w:szCs w:val="20"/>
        </w:rPr>
        <w:t>4</w:t>
      </w:r>
      <w:r w:rsidR="00DE378F" w:rsidRPr="009901FA">
        <w:rPr>
          <w:rFonts w:ascii="Century Gothic" w:hAnsi="Century Gothic"/>
          <w:noProof/>
          <w:sz w:val="20"/>
          <w:szCs w:val="20"/>
        </w:rPr>
        <w:t>.26</w:t>
      </w:r>
      <w:r w:rsidR="00683C57" w:rsidRPr="009901FA">
        <w:rPr>
          <w:rFonts w:ascii="Century Gothic" w:hAnsi="Century Gothic"/>
          <w:sz w:val="20"/>
          <w:szCs w:val="20"/>
        </w:rPr>
        <w:fldChar w:fldCharType="end"/>
      </w:r>
      <w:r w:rsidRPr="009901FA">
        <w:rPr>
          <w:rFonts w:ascii="Century Gothic" w:hAnsi="Century Gothic"/>
          <w:sz w:val="20"/>
          <w:szCs w:val="20"/>
        </w:rPr>
        <w:t>) are therefore essential.</w:t>
      </w:r>
    </w:p>
    <w:p w14:paraId="3BD7E8BD" w14:textId="23F8654E" w:rsidR="005250EC" w:rsidRPr="009901FA" w:rsidRDefault="005250EC" w:rsidP="005250EC">
      <w:pPr>
        <w:pStyle w:val="Caption"/>
        <w:keepNext/>
      </w:pPr>
      <w:bookmarkStart w:id="168" w:name="_Ref205391489"/>
      <w:bookmarkEnd w:id="167"/>
      <w:r w:rsidRPr="009901FA">
        <w:lastRenderedPageBreak/>
        <w:t xml:space="preserve">Exhibit </w:t>
      </w:r>
      <w:r w:rsidR="00327B07">
        <w:t>6</w:t>
      </w:r>
      <w:r w:rsidR="008725B4" w:rsidRPr="009901FA">
        <w:t>.</w:t>
      </w:r>
      <w:fldSimple w:instr=" SEQ Exhibit \* ARABIC \s 2 ">
        <w:r w:rsidR="00DE378F" w:rsidRPr="009901FA">
          <w:rPr>
            <w:noProof/>
          </w:rPr>
          <w:t>1</w:t>
        </w:r>
      </w:fldSimple>
      <w:bookmarkEnd w:id="168"/>
    </w:p>
    <w:p w14:paraId="7C4CC59C" w14:textId="4E703F6D" w:rsidR="005A7AB3" w:rsidRPr="009901FA" w:rsidRDefault="00F87C25" w:rsidP="009901FA">
      <w:r>
        <w:rPr>
          <w:noProof/>
        </w:rPr>
        <w:drawing>
          <wp:inline distT="0" distB="0" distL="0" distR="0" wp14:anchorId="433E12E3" wp14:editId="31B838CB">
            <wp:extent cx="6263640" cy="7576820"/>
            <wp:effectExtent l="0" t="0" r="0" b="5080"/>
            <wp:docPr id="9468514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85146" name=""/>
                    <pic:cNvPicPr/>
                  </pic:nvPicPr>
                  <pic:blipFill>
                    <a:blip r:embed="rId151">
                      <a:extLst>
                        <a:ext uri="{96DAC541-7B7A-43D3-8B79-37D633B846F1}">
                          <asvg:svgBlip xmlns:asvg="http://schemas.microsoft.com/office/drawing/2016/SVG/main" r:embed="rId152"/>
                        </a:ext>
                      </a:extLst>
                    </a:blip>
                    <a:stretch>
                      <a:fillRect/>
                    </a:stretch>
                  </pic:blipFill>
                  <pic:spPr>
                    <a:xfrm>
                      <a:off x="0" y="0"/>
                      <a:ext cx="6263640" cy="7576820"/>
                    </a:xfrm>
                    <a:prstGeom prst="rect">
                      <a:avLst/>
                    </a:prstGeom>
                  </pic:spPr>
                </pic:pic>
              </a:graphicData>
            </a:graphic>
          </wp:inline>
        </w:drawing>
      </w:r>
    </w:p>
    <w:p w14:paraId="1B1387A9" w14:textId="7891E8B4" w:rsidR="00A46B4F" w:rsidRPr="009901FA" w:rsidRDefault="00A46B4F" w:rsidP="00FB6FC4">
      <w:pPr>
        <w:keepNext/>
        <w:keepLines/>
        <w:spacing w:before="40" w:after="0" w:line="259" w:lineRule="auto"/>
        <w:outlineLvl w:val="4"/>
      </w:pPr>
    </w:p>
    <w:p w14:paraId="5269F5B2" w14:textId="34435741" w:rsidR="005250EC" w:rsidRPr="009901FA" w:rsidRDefault="005250EC" w:rsidP="00CD6E9A">
      <w:pPr>
        <w:jc w:val="center"/>
      </w:pPr>
    </w:p>
    <w:p w14:paraId="5EA9E77C" w14:textId="10C1D9AA" w:rsidR="005250EC" w:rsidRPr="009901FA" w:rsidRDefault="005250EC" w:rsidP="005250EC">
      <w:pPr>
        <w:pStyle w:val="Caption"/>
        <w:keepNext/>
      </w:pPr>
      <w:bookmarkStart w:id="169" w:name="_Ref203751543"/>
      <w:r w:rsidRPr="009901FA">
        <w:lastRenderedPageBreak/>
        <w:t xml:space="preserve">Exhibit </w:t>
      </w:r>
      <w:r w:rsidR="00327B07">
        <w:t>6</w:t>
      </w:r>
      <w:r w:rsidR="008725B4" w:rsidRPr="009901FA">
        <w:t>.</w:t>
      </w:r>
      <w:fldSimple w:instr=" SEQ Exhibit \* ARABIC \s 2 ">
        <w:r w:rsidR="00DE378F" w:rsidRPr="009901FA">
          <w:rPr>
            <w:noProof/>
          </w:rPr>
          <w:t>2</w:t>
        </w:r>
      </w:fldSimple>
      <w:bookmarkEnd w:id="169"/>
    </w:p>
    <w:p w14:paraId="3AFFEB6E" w14:textId="2DB23D1A" w:rsidR="005A7AB3" w:rsidRPr="009901FA" w:rsidRDefault="00477299" w:rsidP="005A7AB3">
      <w:r w:rsidRPr="009901FA">
        <w:rPr>
          <w:noProof/>
        </w:rPr>
        <w:drawing>
          <wp:inline distT="0" distB="0" distL="0" distR="0" wp14:anchorId="3FE74167" wp14:editId="74FA8D8D">
            <wp:extent cx="6263640" cy="7576820"/>
            <wp:effectExtent l="0" t="0" r="3810" b="5080"/>
            <wp:docPr id="69446124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461241" name=""/>
                    <pic:cNvPicPr/>
                  </pic:nvPicPr>
                  <pic:blipFill>
                    <a:blip r:embed="rId153">
                      <a:extLst>
                        <a:ext uri="{96DAC541-7B7A-43D3-8B79-37D633B846F1}">
                          <asvg:svgBlip xmlns:asvg="http://schemas.microsoft.com/office/drawing/2016/SVG/main" r:embed="rId154"/>
                        </a:ext>
                      </a:extLst>
                    </a:blip>
                    <a:stretch>
                      <a:fillRect/>
                    </a:stretch>
                  </pic:blipFill>
                  <pic:spPr>
                    <a:xfrm>
                      <a:off x="0" y="0"/>
                      <a:ext cx="6263640" cy="7576820"/>
                    </a:xfrm>
                    <a:prstGeom prst="rect">
                      <a:avLst/>
                    </a:prstGeom>
                  </pic:spPr>
                </pic:pic>
              </a:graphicData>
            </a:graphic>
          </wp:inline>
        </w:drawing>
      </w:r>
    </w:p>
    <w:p w14:paraId="68D88265" w14:textId="44C8F6AE" w:rsidR="00CD6E9A" w:rsidRPr="009901FA" w:rsidRDefault="00CD6E9A" w:rsidP="005250EC">
      <w:pPr>
        <w:keepNext/>
        <w:spacing w:after="200"/>
      </w:pPr>
    </w:p>
    <w:p w14:paraId="478B8476" w14:textId="77777777" w:rsidR="00CD6E9A" w:rsidRPr="009901FA" w:rsidRDefault="00CD6E9A" w:rsidP="005250EC">
      <w:pPr>
        <w:keepNext/>
        <w:spacing w:after="200"/>
      </w:pPr>
    </w:p>
    <w:p w14:paraId="30E8FFBA" w14:textId="77777777" w:rsidR="005250EC" w:rsidRPr="009901FA" w:rsidRDefault="005250EC" w:rsidP="00D4291D">
      <w:pPr>
        <w:spacing w:after="200"/>
      </w:pPr>
    </w:p>
    <w:p w14:paraId="0086032B" w14:textId="732C558F" w:rsidR="00F374F2" w:rsidRPr="000E0EB1" w:rsidRDefault="005C4C40" w:rsidP="009901FA">
      <w:pPr>
        <w:pStyle w:val="Heading2"/>
        <w:numPr>
          <w:ilvl w:val="0"/>
          <w:numId w:val="6"/>
        </w:numPr>
        <w:spacing w:before="60" w:after="120" w:line="264" w:lineRule="auto"/>
        <w:rPr>
          <w:b/>
          <w:bCs/>
          <w:smallCaps/>
          <w:color w:val="00146D" w:themeColor="text2"/>
          <w:szCs w:val="40"/>
        </w:rPr>
      </w:pPr>
      <w:bookmarkStart w:id="170" w:name="_Toc205554249"/>
      <w:r w:rsidRPr="000E0EB1">
        <w:rPr>
          <w:b/>
          <w:bCs/>
          <w:smallCaps/>
          <w:color w:val="00146D" w:themeColor="text2"/>
          <w:szCs w:val="40"/>
        </w:rPr>
        <w:lastRenderedPageBreak/>
        <w:t>t</w:t>
      </w:r>
      <w:r w:rsidR="00FA0BD1" w:rsidRPr="000E0EB1">
        <w:rPr>
          <w:b/>
          <w:bCs/>
          <w:smallCaps/>
          <w:color w:val="00146D" w:themeColor="text2"/>
          <w:szCs w:val="40"/>
        </w:rPr>
        <w:t xml:space="preserve">echnology </w:t>
      </w:r>
      <w:r w:rsidRPr="000E0EB1">
        <w:rPr>
          <w:b/>
          <w:bCs/>
          <w:smallCaps/>
          <w:color w:val="00146D" w:themeColor="text2"/>
          <w:szCs w:val="40"/>
        </w:rPr>
        <w:t>s</w:t>
      </w:r>
      <w:r w:rsidR="00CF75CD" w:rsidRPr="000E0EB1">
        <w:rPr>
          <w:b/>
          <w:bCs/>
          <w:smallCaps/>
          <w:color w:val="00146D" w:themeColor="text2"/>
          <w:szCs w:val="40"/>
        </w:rPr>
        <w:t>cenario</w:t>
      </w:r>
      <w:r w:rsidRPr="000E0EB1">
        <w:rPr>
          <w:b/>
          <w:bCs/>
          <w:smallCaps/>
          <w:color w:val="00146D" w:themeColor="text2"/>
          <w:szCs w:val="40"/>
        </w:rPr>
        <w:t>s 2050</w:t>
      </w:r>
      <w:bookmarkEnd w:id="170"/>
      <w:r w:rsidR="009667FF" w:rsidRPr="000E0EB1">
        <w:rPr>
          <w:b/>
          <w:bCs/>
          <w:smallCaps/>
          <w:color w:val="00146D" w:themeColor="text2"/>
          <w:szCs w:val="40"/>
        </w:rPr>
        <w:t xml:space="preserve"> </w:t>
      </w:r>
      <w:r w:rsidR="00091EFB" w:rsidRPr="000E0EB1">
        <w:rPr>
          <w:b/>
          <w:bCs/>
          <w:smallCaps/>
          <w:color w:val="00146D" w:themeColor="text2"/>
          <w:szCs w:val="40"/>
        </w:rPr>
        <w:t xml:space="preserve"> </w:t>
      </w:r>
    </w:p>
    <w:bookmarkStart w:id="171" w:name="_Ref203751618"/>
    <w:bookmarkStart w:id="172" w:name="_Ref203751595"/>
    <w:p w14:paraId="5ADCA8DD" w14:textId="730F135E" w:rsidR="008D255D" w:rsidRPr="009901FA" w:rsidRDefault="00683C57" w:rsidP="00693A45">
      <w:r w:rsidRPr="009901FA">
        <w:fldChar w:fldCharType="begin"/>
      </w:r>
      <w:r w:rsidRPr="009901FA">
        <w:instrText xml:space="preserve"> REF _Ref205388436 \h </w:instrText>
      </w:r>
      <w:r w:rsidR="00477299" w:rsidRPr="009901FA">
        <w:instrText xml:space="preserve"> \* MERGEFORMAT </w:instrText>
      </w:r>
      <w:r w:rsidRPr="009901FA">
        <w:fldChar w:fldCharType="separate"/>
      </w:r>
      <w:r w:rsidR="00DE378F" w:rsidRPr="009901FA">
        <w:t xml:space="preserve">Exhibit </w:t>
      </w:r>
      <w:r w:rsidR="004A0EA7">
        <w:rPr>
          <w:noProof/>
        </w:rPr>
        <w:t>0</w:t>
      </w:r>
      <w:r w:rsidR="00DE378F" w:rsidRPr="009901FA">
        <w:t>.</w:t>
      </w:r>
      <w:r w:rsidR="00DE378F" w:rsidRPr="009901FA">
        <w:rPr>
          <w:noProof/>
        </w:rPr>
        <w:t>1</w:t>
      </w:r>
      <w:r w:rsidRPr="009901FA">
        <w:fldChar w:fldCharType="end"/>
      </w:r>
      <w:r w:rsidR="008D255D" w:rsidRPr="009901FA">
        <w:t xml:space="preserve"> in </w:t>
      </w:r>
      <w:r w:rsidR="004A0EA7">
        <w:t>the introduction</w:t>
      </w:r>
      <w:r w:rsidR="008D255D" w:rsidRPr="009901FA">
        <w:t xml:space="preserve"> set out the current pattern of carbon supply, use and end destination in today’s energy and material system. In this system, total carbon usage amounts to 11.</w:t>
      </w:r>
      <w:r w:rsidR="00477299" w:rsidRPr="009901FA">
        <w:t>5</w:t>
      </w:r>
      <w:r w:rsidR="008D255D" w:rsidRPr="009901FA">
        <w:t xml:space="preserve"> Gt C: 85% of this is derived from the ground, and 8</w:t>
      </w:r>
      <w:r w:rsidR="00EA41CD" w:rsidRPr="009901FA">
        <w:t>8</w:t>
      </w:r>
      <w:r w:rsidR="008D255D" w:rsidRPr="009901FA">
        <w:t>% results in emissions to the atmosphere.</w:t>
      </w:r>
    </w:p>
    <w:p w14:paraId="65949505" w14:textId="3BBF088E" w:rsidR="008D255D" w:rsidRPr="009901FA" w:rsidRDefault="008D255D" w:rsidP="00693A45">
      <w:r w:rsidRPr="009901FA">
        <w:t xml:space="preserve">The technologies discussed in this report could be combined in multiple different ways to deliver net zero emissions to the atmosphere. We have therefore developed four scenarios which represent different ways in which this objective could be achieved. </w:t>
      </w:r>
      <w:r w:rsidR="000B5247" w:rsidRPr="009901FA">
        <w:fldChar w:fldCharType="begin"/>
      </w:r>
      <w:r w:rsidR="000B5247" w:rsidRPr="009901FA">
        <w:instrText xml:space="preserve"> REF _Ref205392411 \h </w:instrText>
      </w:r>
      <w:r w:rsidR="00A247A6">
        <w:instrText xml:space="preserve"> \* MERGEFORMAT </w:instrText>
      </w:r>
      <w:r w:rsidR="000B5247" w:rsidRPr="009901FA">
        <w:fldChar w:fldCharType="separate"/>
      </w:r>
      <w:r w:rsidR="00DE378F" w:rsidRPr="009901FA">
        <w:t xml:space="preserve">Table </w:t>
      </w:r>
      <w:r w:rsidR="00DE378F" w:rsidRPr="009901FA">
        <w:rPr>
          <w:noProof/>
        </w:rPr>
        <w:t>3</w:t>
      </w:r>
      <w:r w:rsidR="000B5247" w:rsidRPr="009901FA">
        <w:fldChar w:fldCharType="end"/>
      </w:r>
      <w:r w:rsidRPr="009901FA">
        <w:t xml:space="preserve"> explains key features of each scenario, Exhibit</w:t>
      </w:r>
      <w:r w:rsidR="00171768">
        <w:t>s</w:t>
      </w:r>
      <w:r w:rsidRPr="009901FA">
        <w:t xml:space="preserve"> </w:t>
      </w:r>
      <w:r w:rsidR="008E1C35">
        <w:t>7.1-</w:t>
      </w:r>
      <w:r w:rsidR="00171768">
        <w:t>7.4</w:t>
      </w:r>
      <w:r w:rsidRPr="009901FA">
        <w:t xml:space="preserve"> show the resulting pattern of supply, use and demand; and </w:t>
      </w:r>
      <w:r w:rsidR="000B5247" w:rsidRPr="009901FA">
        <w:fldChar w:fldCharType="begin"/>
      </w:r>
      <w:r w:rsidR="000B5247" w:rsidRPr="009901FA">
        <w:instrText xml:space="preserve"> REF _Ref205392419 \h </w:instrText>
      </w:r>
      <w:r w:rsidR="00A247A6">
        <w:instrText xml:space="preserve"> \* MERGEFORMAT </w:instrText>
      </w:r>
      <w:r w:rsidR="000B5247" w:rsidRPr="009901FA">
        <w:fldChar w:fldCharType="separate"/>
      </w:r>
      <w:r w:rsidR="00DE378F" w:rsidRPr="009901FA">
        <w:t xml:space="preserve">Table </w:t>
      </w:r>
      <w:r w:rsidR="00DE378F" w:rsidRPr="009901FA">
        <w:rPr>
          <w:noProof/>
        </w:rPr>
        <w:t>4</w:t>
      </w:r>
      <w:r w:rsidR="000B5247" w:rsidRPr="009901FA">
        <w:fldChar w:fldCharType="end"/>
      </w:r>
      <w:r w:rsidRPr="009901FA">
        <w:t xml:space="preserve"> shows the quantities of carbon usage and end destination in millions of tons. </w:t>
      </w:r>
    </w:p>
    <w:p w14:paraId="1025BF01" w14:textId="64BC8D69" w:rsidR="008D255D" w:rsidRPr="009901FA" w:rsidRDefault="008D255D" w:rsidP="00693A45">
      <w:r w:rsidRPr="009901FA">
        <w:t>In all four cases the total quantity of carbon used in the global energy and material system is dramatically reduced from today 11.</w:t>
      </w:r>
      <w:r w:rsidR="00971E8D" w:rsidRPr="009901FA">
        <w:t>5</w:t>
      </w:r>
      <w:r w:rsidRPr="009901FA">
        <w:t xml:space="preserve"> Gt to between 3.2 Gt to 4.7 Gt depending on scenario. This reflects the impact of electrification which, as </w:t>
      </w:r>
      <w:r w:rsidR="000B5247" w:rsidRPr="009901FA">
        <w:fldChar w:fldCharType="begin"/>
      </w:r>
      <w:r w:rsidR="000B5247" w:rsidRPr="009901FA">
        <w:instrText xml:space="preserve"> REF _Ref205392437 \h </w:instrText>
      </w:r>
      <w:r w:rsidR="00A247A6">
        <w:instrText xml:space="preserve"> \* MERGEFORMAT </w:instrText>
      </w:r>
      <w:r w:rsidR="000B5247" w:rsidRPr="009901FA">
        <w:fldChar w:fldCharType="separate"/>
      </w:r>
      <w:r w:rsidR="00DE378F" w:rsidRPr="009901FA">
        <w:t xml:space="preserve">Exhibit </w:t>
      </w:r>
      <w:r w:rsidR="00327B07">
        <w:rPr>
          <w:noProof/>
        </w:rPr>
        <w:t>0</w:t>
      </w:r>
      <w:r w:rsidR="00DE378F" w:rsidRPr="009901FA">
        <w:t>.</w:t>
      </w:r>
      <w:r w:rsidR="00DE378F" w:rsidRPr="009901FA">
        <w:rPr>
          <w:noProof/>
        </w:rPr>
        <w:t>2</w:t>
      </w:r>
      <w:r w:rsidR="000B5247" w:rsidRPr="009901FA">
        <w:fldChar w:fldCharType="end"/>
      </w:r>
      <w:r w:rsidRPr="009901FA">
        <w:t xml:space="preserve"> showed, is certain to produce a major reduction in the use of carbon based molecules even before considering the options for increased electrification which were considered in Chapter </w:t>
      </w:r>
      <w:r w:rsidR="00361B56">
        <w:t>1</w:t>
      </w:r>
      <w:r w:rsidR="00CD06C5" w:rsidRPr="009901FA">
        <w:t>.</w:t>
      </w:r>
    </w:p>
    <w:p w14:paraId="131D4935" w14:textId="744BA5BC" w:rsidR="008D255D" w:rsidRPr="009901FA" w:rsidRDefault="008D255D" w:rsidP="00693A45">
      <w:r w:rsidRPr="009901FA">
        <w:t>But</w:t>
      </w:r>
      <w:r w:rsidR="00816C2F" w:rsidRPr="009901FA">
        <w:t xml:space="preserve"> </w:t>
      </w:r>
      <w:r w:rsidRPr="009901FA">
        <w:t>the</w:t>
      </w:r>
      <w:r w:rsidR="00816C2F" w:rsidRPr="009901FA">
        <w:t xml:space="preserve"> </w:t>
      </w:r>
      <w:r w:rsidRPr="009901FA">
        <w:t>balance between different sources and destinations for carbon differs significantly between the four scenarios.</w:t>
      </w:r>
    </w:p>
    <w:p w14:paraId="658E2070" w14:textId="3E768E48" w:rsidR="008D255D" w:rsidRPr="009901FA" w:rsidRDefault="008D255D" w:rsidP="00693A45">
      <w:pPr>
        <w:pStyle w:val="ListParagraph"/>
        <w:numPr>
          <w:ilvl w:val="0"/>
          <w:numId w:val="64"/>
        </w:numPr>
      </w:pPr>
      <w:r w:rsidRPr="009901FA">
        <w:t xml:space="preserve">In our </w:t>
      </w:r>
      <w:r w:rsidRPr="009901FA">
        <w:rPr>
          <w:b/>
          <w:bCs/>
        </w:rPr>
        <w:t xml:space="preserve">Base case </w:t>
      </w:r>
      <w:r w:rsidRPr="009901FA">
        <w:t>scenario (</w:t>
      </w:r>
      <w:r w:rsidR="00853D28" w:rsidRPr="009901FA">
        <w:fldChar w:fldCharType="begin"/>
      </w:r>
      <w:r w:rsidR="00853D28" w:rsidRPr="009901FA">
        <w:instrText xml:space="preserve"> REF _Ref205392527 \h </w:instrText>
      </w:r>
      <w:r w:rsidR="00A247A6">
        <w:instrText xml:space="preserve"> \* MERGEFORMAT </w:instrText>
      </w:r>
      <w:r w:rsidR="00853D28" w:rsidRPr="009901FA">
        <w:fldChar w:fldCharType="separate"/>
      </w:r>
      <w:r w:rsidR="00DE378F" w:rsidRPr="009901FA">
        <w:t xml:space="preserve">Exhibit </w:t>
      </w:r>
      <w:r w:rsidR="004A0EA7">
        <w:rPr>
          <w:noProof/>
        </w:rPr>
        <w:t>7</w:t>
      </w:r>
      <w:r w:rsidR="00DE378F" w:rsidRPr="009901FA">
        <w:t>.</w:t>
      </w:r>
      <w:r w:rsidR="00DE378F" w:rsidRPr="009901FA">
        <w:rPr>
          <w:noProof/>
        </w:rPr>
        <w:t>1</w:t>
      </w:r>
      <w:r w:rsidR="00853D28" w:rsidRPr="009901FA">
        <w:fldChar w:fldCharType="end"/>
      </w:r>
      <w:r w:rsidRPr="009901FA">
        <w:t xml:space="preserve">) which broadly reflects the ETC‘s Accelerated but clearly feasible (ACF) scenario from our </w:t>
      </w:r>
      <w:r w:rsidRPr="009901FA">
        <w:rPr>
          <w:i/>
          <w:iCs/>
        </w:rPr>
        <w:t>Fossil Fuels in Transition</w:t>
      </w:r>
      <w:r w:rsidRPr="009901FA">
        <w:t xml:space="preserve"> report</w:t>
      </w:r>
      <w:r w:rsidR="00CD06C5" w:rsidRPr="009901FA">
        <w:t xml:space="preserve">, </w:t>
      </w:r>
      <w:r w:rsidRPr="009901FA">
        <w:t>recycling and reuse has grown from today’s 2% of carbon supply to 13% by 2050: but 5</w:t>
      </w:r>
      <w:r w:rsidR="00EA3B95">
        <w:t>7</w:t>
      </w:r>
      <w:r w:rsidRPr="009901FA">
        <w:t>% of carbon supply still derives from fossil fuels extracted from the ground, with 30% deriving from bio resource. Meanwhile at the end of life, 21% of carbon inputs remain in use, 5</w:t>
      </w:r>
      <w:r w:rsidR="0052099F">
        <w:t>5</w:t>
      </w:r>
      <w:r w:rsidRPr="009901FA">
        <w:t>% of end of life carbon is stored in gaseous or solid form, while 10% is still emitted to the atmosphere. This residual atmospheric emission is however compatible with net zero because of the offsetting impact of CO2 sequestration via photosynthesis in the production of biomass.</w:t>
      </w:r>
    </w:p>
    <w:p w14:paraId="187F4CA5" w14:textId="77777777" w:rsidR="008D255D" w:rsidRPr="009901FA" w:rsidRDefault="008D255D" w:rsidP="00693A45">
      <w:pPr>
        <w:pStyle w:val="ListParagraph"/>
      </w:pPr>
    </w:p>
    <w:p w14:paraId="0F2F82CE" w14:textId="6EE5020B" w:rsidR="008D255D" w:rsidRPr="009901FA" w:rsidRDefault="008D255D" w:rsidP="00BD4315">
      <w:pPr>
        <w:pStyle w:val="ListParagraph"/>
        <w:numPr>
          <w:ilvl w:val="0"/>
          <w:numId w:val="64"/>
        </w:numPr>
      </w:pPr>
      <w:r w:rsidRPr="009901FA">
        <w:t xml:space="preserve">The </w:t>
      </w:r>
      <w:r w:rsidRPr="009901FA">
        <w:rPr>
          <w:b/>
          <w:bCs/>
        </w:rPr>
        <w:t xml:space="preserve">Minimum primary carbon </w:t>
      </w:r>
      <w:r w:rsidRPr="009901FA">
        <w:t>scenario (</w:t>
      </w:r>
      <w:r w:rsidR="00853D28" w:rsidRPr="009901FA">
        <w:fldChar w:fldCharType="begin"/>
      </w:r>
      <w:r w:rsidR="00853D28" w:rsidRPr="009901FA">
        <w:instrText xml:space="preserve"> REF _Ref205392537 \h </w:instrText>
      </w:r>
      <w:r w:rsidR="00A247A6">
        <w:instrText xml:space="preserve"> \* MERGEFORMAT </w:instrText>
      </w:r>
      <w:r w:rsidR="00853D28" w:rsidRPr="009901FA">
        <w:fldChar w:fldCharType="separate"/>
      </w:r>
      <w:r w:rsidR="00DE378F" w:rsidRPr="009901FA">
        <w:t xml:space="preserve">Exhibit </w:t>
      </w:r>
      <w:r w:rsidR="004A0EA7">
        <w:rPr>
          <w:noProof/>
        </w:rPr>
        <w:t>7</w:t>
      </w:r>
      <w:r w:rsidR="00DE378F" w:rsidRPr="009901FA">
        <w:t>.</w:t>
      </w:r>
      <w:r w:rsidR="00DE378F" w:rsidRPr="009901FA">
        <w:rPr>
          <w:noProof/>
        </w:rPr>
        <w:t>2</w:t>
      </w:r>
      <w:r w:rsidR="00853D28" w:rsidRPr="009901FA">
        <w:fldChar w:fldCharType="end"/>
      </w:r>
      <w:r w:rsidRPr="009901FA">
        <w:t>)</w:t>
      </w:r>
      <w:r w:rsidR="007B3248" w:rsidRPr="009901FA">
        <w:t xml:space="preserve"> </w:t>
      </w:r>
      <w:r w:rsidRPr="009901FA">
        <w:t xml:space="preserve">explores the potential impact of maximum progress towards the electrification options considered in Chapter </w:t>
      </w:r>
      <w:r w:rsidR="00D4635D">
        <w:t>1</w:t>
      </w:r>
      <w:r w:rsidRPr="009901FA">
        <w:t xml:space="preserve">, and the reuse/recycling options examined in Chapter </w:t>
      </w:r>
      <w:r w:rsidR="00361B56">
        <w:t>3</w:t>
      </w:r>
      <w:r w:rsidRPr="009901FA">
        <w:t>. In this scenario total demand for carbon is reduced to 3.2 Gt of which a greatly increased 29% is provided via recycling or reuse. Bio resource supply falls to 1.</w:t>
      </w:r>
      <w:r w:rsidR="00D011B6">
        <w:t>4</w:t>
      </w:r>
      <w:r w:rsidRPr="009901FA">
        <w:t xml:space="preserve"> Gt versus 1.</w:t>
      </w:r>
      <w:r w:rsidR="00C82ADE" w:rsidRPr="009901FA">
        <w:t>5</w:t>
      </w:r>
      <w:r w:rsidRPr="009901FA">
        <w:t xml:space="preserve"> Gt in the Base Case, while fossil carbon supply falls dramatically from 2.7 Gt to 1G</w:t>
      </w:r>
      <w:r w:rsidR="00705FED" w:rsidRPr="009901FA">
        <w:t xml:space="preserve">t. </w:t>
      </w:r>
      <w:r w:rsidRPr="009901FA">
        <w:t xml:space="preserve">Meanwhile at end of life, </w:t>
      </w:r>
      <w:r w:rsidR="00541AF1" w:rsidRPr="009901FA">
        <w:t>60</w:t>
      </w:r>
      <w:r w:rsidR="00BE768D" w:rsidRPr="009901FA">
        <w:t xml:space="preserve">% </w:t>
      </w:r>
      <w:r w:rsidRPr="009901FA">
        <w:t xml:space="preserve">of all carbon used is reused, recycled or stays in use, while the need for gaseous storage falls from </w:t>
      </w:r>
      <w:r w:rsidR="00E419A6" w:rsidRPr="009901FA">
        <w:t>2.2</w:t>
      </w:r>
      <w:r w:rsidR="0058006F" w:rsidRPr="009901FA">
        <w:t>Gt</w:t>
      </w:r>
      <w:r w:rsidRPr="009901FA">
        <w:t xml:space="preserve">  to </w:t>
      </w:r>
      <w:r w:rsidR="00AB3C10" w:rsidRPr="009901FA">
        <w:t>0.</w:t>
      </w:r>
      <w:r w:rsidR="00E419A6" w:rsidRPr="009901FA">
        <w:t>8</w:t>
      </w:r>
      <w:r w:rsidR="00AB3C10" w:rsidRPr="009901FA">
        <w:t xml:space="preserve"> Gt</w:t>
      </w:r>
      <w:r w:rsidRPr="009901FA">
        <w:t xml:space="preserve"> of carbon (or from </w:t>
      </w:r>
      <w:r w:rsidR="00201DCA">
        <w:t xml:space="preserve">8.0 </w:t>
      </w:r>
      <w:r w:rsidR="00BD7671" w:rsidRPr="009901FA">
        <w:t>Gt</w:t>
      </w:r>
      <w:r w:rsidRPr="009901FA">
        <w:t xml:space="preserve"> to </w:t>
      </w:r>
      <w:r w:rsidR="00201DCA">
        <w:t xml:space="preserve">2.9 </w:t>
      </w:r>
      <w:r w:rsidR="00BD7671" w:rsidRPr="009901FA">
        <w:t>Gt</w:t>
      </w:r>
      <w:r w:rsidRPr="009901FA">
        <w:t xml:space="preserve"> of CO2).The feasibility of this scenario depends on the abundant supply of low-cost green power,</w:t>
      </w:r>
      <w:r w:rsidR="00705FED" w:rsidRPr="009901FA">
        <w:t xml:space="preserve"> </w:t>
      </w:r>
      <w:r w:rsidRPr="009901FA">
        <w:t xml:space="preserve">faster market </w:t>
      </w:r>
      <w:r w:rsidRPr="009901FA">
        <w:lastRenderedPageBreak/>
        <w:t>penetration of electric technologies, and large investments in collection, recycling and carbon utilisation systems.</w:t>
      </w:r>
    </w:p>
    <w:p w14:paraId="2CB9D83A" w14:textId="77777777" w:rsidR="008D255D" w:rsidRPr="009901FA" w:rsidRDefault="008D255D" w:rsidP="00693A45">
      <w:pPr>
        <w:pStyle w:val="ListParagraph"/>
      </w:pPr>
    </w:p>
    <w:p w14:paraId="1CF8CC4E" w14:textId="4C740947" w:rsidR="008D255D" w:rsidRPr="009901FA" w:rsidRDefault="008D255D" w:rsidP="00EF2E93">
      <w:pPr>
        <w:pStyle w:val="ListParagraph"/>
        <w:numPr>
          <w:ilvl w:val="0"/>
          <w:numId w:val="64"/>
        </w:numPr>
      </w:pPr>
      <w:r w:rsidRPr="009901FA">
        <w:t xml:space="preserve">The </w:t>
      </w:r>
      <w:r w:rsidRPr="009901FA">
        <w:rPr>
          <w:b/>
          <w:bCs/>
        </w:rPr>
        <w:t>Minimum Fossil Carbon</w:t>
      </w:r>
      <w:r w:rsidRPr="009901FA">
        <w:t xml:space="preserve"> scenario (</w:t>
      </w:r>
      <w:r w:rsidR="00853D28" w:rsidRPr="009901FA">
        <w:fldChar w:fldCharType="begin"/>
      </w:r>
      <w:r w:rsidR="00853D28" w:rsidRPr="009901FA">
        <w:instrText xml:space="preserve"> REF _Ref205392545 \h </w:instrText>
      </w:r>
      <w:r w:rsidR="00853D28" w:rsidRPr="009901FA">
        <w:fldChar w:fldCharType="separate"/>
      </w:r>
      <w:r w:rsidR="00DE378F" w:rsidRPr="009901FA">
        <w:t xml:space="preserve">Exhibit </w:t>
      </w:r>
      <w:r w:rsidR="004A0EA7">
        <w:rPr>
          <w:noProof/>
        </w:rPr>
        <w:t>7</w:t>
      </w:r>
      <w:r w:rsidR="00DE378F" w:rsidRPr="009901FA">
        <w:t>.</w:t>
      </w:r>
      <w:r w:rsidR="00DE378F" w:rsidRPr="009901FA">
        <w:rPr>
          <w:noProof/>
        </w:rPr>
        <w:t>3</w:t>
      </w:r>
      <w:r w:rsidR="00853D28" w:rsidRPr="009901FA">
        <w:fldChar w:fldCharType="end"/>
      </w:r>
      <w:r w:rsidRPr="009901FA">
        <w:t>) maintains the ambitious electrification assumption, and therefore also has a low total</w:t>
      </w:r>
      <w:r w:rsidR="00EB39DC" w:rsidRPr="009901FA">
        <w:t xml:space="preserve"> </w:t>
      </w:r>
      <w:r w:rsidRPr="009901FA">
        <w:t>carbon demand at 3.5 Gt. But it illustrates how far fossil fuel demand could be reduced if</w:t>
      </w:r>
      <w:r w:rsidR="00EB39DC" w:rsidRPr="009901FA">
        <w:t xml:space="preserve"> </w:t>
      </w:r>
      <w:r w:rsidRPr="009901FA">
        <w:t>total sustainable biomass supply reached 90EJ which is half of the absolute maximum discussed in section 5.3 (</w:t>
      </w:r>
      <w:r w:rsidR="001F1125" w:rsidRPr="009901FA">
        <w:fldChar w:fldCharType="begin"/>
      </w:r>
      <w:r w:rsidR="001F1125" w:rsidRPr="009901FA">
        <w:instrText xml:space="preserve"> REF _Ref203751432 \h </w:instrText>
      </w:r>
      <w:r w:rsidR="001F1125" w:rsidRPr="009901FA">
        <w:fldChar w:fldCharType="separate"/>
      </w:r>
      <w:r w:rsidR="00DE378F" w:rsidRPr="009901FA">
        <w:t xml:space="preserve">Exhibit </w:t>
      </w:r>
      <w:r w:rsidR="004A0EA7">
        <w:rPr>
          <w:noProof/>
        </w:rPr>
        <w:t>4</w:t>
      </w:r>
      <w:r w:rsidR="00DE378F" w:rsidRPr="009901FA">
        <w:t>.</w:t>
      </w:r>
      <w:r w:rsidR="00DE378F" w:rsidRPr="009901FA">
        <w:rPr>
          <w:noProof/>
        </w:rPr>
        <w:t>38</w:t>
      </w:r>
      <w:r w:rsidR="001F1125" w:rsidRPr="009901FA">
        <w:fldChar w:fldCharType="end"/>
      </w:r>
      <w:r w:rsidRPr="009901FA">
        <w:t>). Under this assumption, total carbon supply from fossil sources would be reduced to just 560 million tons, 16% of the 2050 total, and a 94% reduction from today’s 9.7 Gt.</w:t>
      </w:r>
      <w:r w:rsidR="00EF2E93" w:rsidRPr="009901FA">
        <w:t xml:space="preserve"> </w:t>
      </w:r>
      <w:r w:rsidRPr="009901FA">
        <w:t xml:space="preserve">In this scenario the need for end of life gaseous would be dramatically reduced to around </w:t>
      </w:r>
      <w:r w:rsidR="009500B8">
        <w:t>410</w:t>
      </w:r>
      <w:r w:rsidR="007E69BD" w:rsidRPr="009901FA">
        <w:t xml:space="preserve"> million</w:t>
      </w:r>
      <w:r w:rsidRPr="009901FA">
        <w:t xml:space="preserve"> ton</w:t>
      </w:r>
      <w:r w:rsidR="007E69BD" w:rsidRPr="009901FA">
        <w:t>nes</w:t>
      </w:r>
      <w:r w:rsidRPr="009901FA">
        <w:t xml:space="preserve"> (about 2</w:t>
      </w:r>
      <w:r w:rsidR="007E69BD" w:rsidRPr="009901FA">
        <w:t>Gt</w:t>
      </w:r>
      <w:r w:rsidRPr="009901FA">
        <w:t xml:space="preserve"> of CO2) since bio energy can be a zero carbon energy source even if CCS is not deployed.</w:t>
      </w:r>
    </w:p>
    <w:p w14:paraId="0FC28968" w14:textId="77777777" w:rsidR="008D255D" w:rsidRPr="009901FA" w:rsidRDefault="008D255D" w:rsidP="00693A45">
      <w:pPr>
        <w:pStyle w:val="ListParagraph"/>
      </w:pPr>
    </w:p>
    <w:p w14:paraId="351E0FAE" w14:textId="55C068BF" w:rsidR="008D255D" w:rsidRPr="009901FA" w:rsidRDefault="008D255D" w:rsidP="00693A45">
      <w:pPr>
        <w:pStyle w:val="ListParagraph"/>
        <w:numPr>
          <w:ilvl w:val="0"/>
          <w:numId w:val="64"/>
        </w:numPr>
      </w:pPr>
      <w:r w:rsidRPr="009901FA">
        <w:t xml:space="preserve">Finally in the </w:t>
      </w:r>
      <w:r w:rsidRPr="009901FA">
        <w:rPr>
          <w:b/>
          <w:bCs/>
        </w:rPr>
        <w:t xml:space="preserve">Fossil fuel in Perpetuity </w:t>
      </w:r>
      <w:r w:rsidRPr="009901FA">
        <w:t>scenario,</w:t>
      </w:r>
      <w:r w:rsidR="00DF03A6" w:rsidRPr="009901FA">
        <w:t xml:space="preserve"> </w:t>
      </w:r>
      <w:r w:rsidRPr="009901FA">
        <w:t>(</w:t>
      </w:r>
      <w:r w:rsidR="001F1125" w:rsidRPr="009901FA">
        <w:fldChar w:fldCharType="begin"/>
      </w:r>
      <w:r w:rsidR="001F1125" w:rsidRPr="009901FA">
        <w:instrText xml:space="preserve"> REF _Ref205392776 \h </w:instrText>
      </w:r>
      <w:r w:rsidR="001F1125" w:rsidRPr="009901FA">
        <w:fldChar w:fldCharType="separate"/>
      </w:r>
      <w:r w:rsidR="00DE378F" w:rsidRPr="009901FA">
        <w:t xml:space="preserve">Exhibit </w:t>
      </w:r>
      <w:r w:rsidR="004A0EA7">
        <w:rPr>
          <w:noProof/>
        </w:rPr>
        <w:t>7</w:t>
      </w:r>
      <w:r w:rsidR="00DE378F" w:rsidRPr="009901FA">
        <w:t>.</w:t>
      </w:r>
      <w:r w:rsidR="00DE378F" w:rsidRPr="009901FA">
        <w:rPr>
          <w:noProof/>
        </w:rPr>
        <w:t>4</w:t>
      </w:r>
      <w:r w:rsidR="001F1125" w:rsidRPr="009901FA">
        <w:fldChar w:fldCharType="end"/>
      </w:r>
      <w:r w:rsidRPr="009901FA">
        <w:t xml:space="preserve">) we explore the implications of accepting a large continuing role for fossil fuels – though one still much reduced from today, with total fossil fuel use of 3.4 Gt C versus 9.7 Gt C today. This scenario inevitably maximises the need for carbon storage, with a gaseous storage need at about </w:t>
      </w:r>
      <w:r w:rsidR="00D33CD7">
        <w:t xml:space="preserve">2.6 </w:t>
      </w:r>
      <w:r w:rsidR="00786144" w:rsidRPr="009901FA">
        <w:t>Gt</w:t>
      </w:r>
      <w:r w:rsidRPr="009901FA">
        <w:t xml:space="preserve"> of carbon or 1</w:t>
      </w:r>
      <w:r w:rsidR="00461F43">
        <w:t>0</w:t>
      </w:r>
      <w:r w:rsidR="00786144" w:rsidRPr="009901FA">
        <w:t>Gt</w:t>
      </w:r>
      <w:r w:rsidRPr="009901FA">
        <w:t xml:space="preserve"> of CO2. This would require a massive and rapid buildup from today’s minimal level of CCS deployment.</w:t>
      </w:r>
    </w:p>
    <w:p w14:paraId="04E83E21" w14:textId="77777777" w:rsidR="006019BA" w:rsidRPr="009901FA" w:rsidRDefault="006019BA" w:rsidP="006019BA">
      <w:pPr>
        <w:pStyle w:val="ListParagraph"/>
      </w:pPr>
    </w:p>
    <w:p w14:paraId="70CF024D" w14:textId="6BC2C201" w:rsidR="006019BA" w:rsidRPr="009901FA" w:rsidRDefault="006019BA" w:rsidP="006019BA">
      <w:pPr>
        <w:spacing w:after="200"/>
      </w:pPr>
      <w:r w:rsidRPr="009901FA">
        <w:t xml:space="preserve">Across all scenarios, deep dependency on different technologies shapes both risks and opportunities. The </w:t>
      </w:r>
      <w:r w:rsidRPr="009901FA">
        <w:rPr>
          <w:b/>
          <w:bCs/>
        </w:rPr>
        <w:t>Fossil-in-Perpetuity</w:t>
      </w:r>
      <w:r w:rsidRPr="009901FA">
        <w:t xml:space="preserve"> pathway, where roughly 70% of carbon is stored underground, hinges on large-scale deployment of carbon capture and storage (CCS) and direct air capture (DACC)—technologies that remain expensive and largely unscaled. In contrast, the </w:t>
      </w:r>
      <w:r w:rsidRPr="009901FA">
        <w:rPr>
          <w:b/>
          <w:bCs/>
        </w:rPr>
        <w:t>Minimise-Fossil-Carbon</w:t>
      </w:r>
      <w:r w:rsidRPr="009901FA">
        <w:t xml:space="preserve"> scenario leans on abundant biomass, supported by complementary levers such as biotechnology-driven dietary shifts, high-yield energy crops, and utilisation of agricultural and forestry residues. Yet biomass-based strategies face critical constraints, from land availability to competing demands for food production and biodiversity. Meanwhile, </w:t>
      </w:r>
      <w:r w:rsidRPr="009901FA">
        <w:rPr>
          <w:b/>
          <w:bCs/>
        </w:rPr>
        <w:t>electrification</w:t>
      </w:r>
      <w:r w:rsidRPr="009901FA">
        <w:t xml:space="preserve"> consistently offers the steepest near-term reduction in fossil demand across all scenarios, but cannot fully displace the need for carbon-based molecules. Successfully balancing those molecules with net zero targets requires active monitoring of technology progress and strategic, diversified investment—avoiding over-reliance on any single pathway and ensuring flexibility to adapt as conditions change</w:t>
      </w:r>
    </w:p>
    <w:p w14:paraId="5ED0A21E" w14:textId="77777777" w:rsidR="006019BA" w:rsidRPr="009901FA" w:rsidRDefault="006019BA" w:rsidP="006019BA"/>
    <w:p w14:paraId="35EA9ABD" w14:textId="75A0D9A9" w:rsidR="006A3054" w:rsidRPr="009901FA" w:rsidRDefault="006A3054" w:rsidP="006A3054">
      <w:pPr>
        <w:pStyle w:val="Caption"/>
        <w:keepNext/>
      </w:pPr>
      <w:bookmarkStart w:id="173" w:name="_Ref205392411"/>
      <w:r w:rsidRPr="009901FA">
        <w:lastRenderedPageBreak/>
        <w:t xml:space="preserve">Table </w:t>
      </w:r>
      <w:fldSimple w:instr=" SEQ Table \* ARABIC ">
        <w:r w:rsidR="00DE378F" w:rsidRPr="009901FA">
          <w:rPr>
            <w:noProof/>
          </w:rPr>
          <w:t>3</w:t>
        </w:r>
      </w:fldSimple>
      <w:bookmarkEnd w:id="171"/>
      <w:bookmarkEnd w:id="173"/>
      <w:r w:rsidRPr="009901FA">
        <w:t xml:space="preserve"> Description of Scenarios developed for carbon flows for materials and energy, 2050</w:t>
      </w:r>
      <w:bookmarkEnd w:id="172"/>
    </w:p>
    <w:p w14:paraId="78955DED" w14:textId="1647500B" w:rsidR="000D47FE" w:rsidRPr="009901FA" w:rsidRDefault="0097289F" w:rsidP="00DD4402">
      <w:pPr>
        <w:keepNext/>
      </w:pPr>
      <w:r w:rsidRPr="009901FA">
        <w:rPr>
          <w:noProof/>
        </w:rPr>
        <w:drawing>
          <wp:inline distT="0" distB="0" distL="0" distR="0" wp14:anchorId="0A980C4D" wp14:editId="1874D4A5">
            <wp:extent cx="6263640" cy="7576820"/>
            <wp:effectExtent l="0" t="0" r="0" b="0"/>
            <wp:docPr id="85218052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180524" name=""/>
                    <pic:cNvPicPr/>
                  </pic:nvPicPr>
                  <pic:blipFill>
                    <a:blip r:embed="rId155">
                      <a:extLst>
                        <a:ext uri="{96DAC541-7B7A-43D3-8B79-37D633B846F1}">
                          <asvg:svgBlip xmlns:asvg="http://schemas.microsoft.com/office/drawing/2016/SVG/main" r:embed="rId156"/>
                        </a:ext>
                      </a:extLst>
                    </a:blip>
                    <a:stretch>
                      <a:fillRect/>
                    </a:stretch>
                  </pic:blipFill>
                  <pic:spPr>
                    <a:xfrm>
                      <a:off x="0" y="0"/>
                      <a:ext cx="6263640" cy="7576820"/>
                    </a:xfrm>
                    <a:prstGeom prst="rect">
                      <a:avLst/>
                    </a:prstGeom>
                  </pic:spPr>
                </pic:pic>
              </a:graphicData>
            </a:graphic>
          </wp:inline>
        </w:drawing>
      </w:r>
    </w:p>
    <w:p w14:paraId="2AF01A16" w14:textId="77777777" w:rsidR="00DD4402" w:rsidRPr="009901FA" w:rsidRDefault="00DD4402" w:rsidP="00E525B8">
      <w:pPr>
        <w:keepNext/>
        <w:keepLines/>
        <w:spacing w:before="40" w:after="0" w:line="259" w:lineRule="auto"/>
        <w:outlineLvl w:val="4"/>
        <w:rPr>
          <w:b/>
          <w:bCs/>
          <w:color w:val="00146D" w:themeColor="text2"/>
        </w:rPr>
      </w:pPr>
    </w:p>
    <w:p w14:paraId="30A89DEE" w14:textId="77777777" w:rsidR="00DD4402" w:rsidRPr="009901FA" w:rsidRDefault="00DD4402" w:rsidP="00E525B8">
      <w:pPr>
        <w:keepNext/>
        <w:keepLines/>
        <w:spacing w:before="40" w:after="0" w:line="259" w:lineRule="auto"/>
        <w:outlineLvl w:val="4"/>
        <w:rPr>
          <w:b/>
          <w:bCs/>
          <w:color w:val="00146D" w:themeColor="text2"/>
        </w:rPr>
      </w:pPr>
    </w:p>
    <w:p w14:paraId="08770B16" w14:textId="77777777" w:rsidR="006A3054" w:rsidRPr="009901FA" w:rsidRDefault="006A3054" w:rsidP="00E525B8">
      <w:pPr>
        <w:keepNext/>
        <w:keepLines/>
        <w:spacing w:before="40" w:after="0" w:line="259" w:lineRule="auto"/>
        <w:outlineLvl w:val="4"/>
        <w:rPr>
          <w:b/>
          <w:bCs/>
          <w:color w:val="00146D" w:themeColor="text2"/>
        </w:rPr>
      </w:pPr>
    </w:p>
    <w:p w14:paraId="4734C1C2" w14:textId="583692D4" w:rsidR="0056606D" w:rsidRPr="009901FA" w:rsidRDefault="0056606D" w:rsidP="0056606D">
      <w:pPr>
        <w:pStyle w:val="Caption"/>
        <w:keepNext/>
      </w:pPr>
      <w:bookmarkStart w:id="174" w:name="_Ref205392527"/>
      <w:r w:rsidRPr="009901FA">
        <w:lastRenderedPageBreak/>
        <w:t xml:space="preserve">Exhibit </w:t>
      </w:r>
      <w:r w:rsidR="004A0EA7">
        <w:t>7</w:t>
      </w:r>
      <w:r w:rsidR="008725B4" w:rsidRPr="009901FA">
        <w:t>.</w:t>
      </w:r>
      <w:fldSimple w:instr=" SEQ Exhibit \* ARABIC \s 2 ">
        <w:r w:rsidR="00DE378F" w:rsidRPr="009901FA">
          <w:rPr>
            <w:noProof/>
          </w:rPr>
          <w:t>1</w:t>
        </w:r>
      </w:fldSimple>
      <w:bookmarkEnd w:id="174"/>
      <w:r w:rsidRPr="009901FA">
        <w:t xml:space="preserve"> ACF mid-century, Carbon Source and destination for the energy and materials sectors, Mt C</w:t>
      </w:r>
    </w:p>
    <w:p w14:paraId="5CE8D9A0" w14:textId="73A25574" w:rsidR="0056606D" w:rsidRPr="009901FA" w:rsidRDefault="000E5E60" w:rsidP="0056606D">
      <w:r w:rsidRPr="009901FA">
        <w:rPr>
          <w:noProof/>
        </w:rPr>
        <w:drawing>
          <wp:inline distT="0" distB="0" distL="0" distR="0" wp14:anchorId="35B54A89" wp14:editId="07AD2115">
            <wp:extent cx="6263640" cy="3400156"/>
            <wp:effectExtent l="0" t="0" r="3810" b="0"/>
            <wp:docPr id="462921990" name="Picture 1" descr="A diagram of a person's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15988" name="Picture 1" descr="A diagram of a person's hand&#10;&#10;Description automatically generated"/>
                    <pic:cNvPicPr/>
                  </pic:nvPicPr>
                  <pic:blipFill>
                    <a:blip r:embed="rId19"/>
                    <a:stretch>
                      <a:fillRect/>
                    </a:stretch>
                  </pic:blipFill>
                  <pic:spPr>
                    <a:xfrm>
                      <a:off x="0" y="0"/>
                      <a:ext cx="6263640" cy="3400156"/>
                    </a:xfrm>
                    <a:prstGeom prst="rect">
                      <a:avLst/>
                    </a:prstGeom>
                  </pic:spPr>
                </pic:pic>
              </a:graphicData>
            </a:graphic>
          </wp:inline>
        </w:drawing>
      </w:r>
    </w:p>
    <w:p w14:paraId="6BF1A9F0" w14:textId="56AE521D" w:rsidR="0056606D" w:rsidRPr="009901FA" w:rsidRDefault="0056606D" w:rsidP="0056606D">
      <w:pPr>
        <w:pStyle w:val="Caption"/>
        <w:keepNext/>
      </w:pPr>
      <w:bookmarkStart w:id="175" w:name="_Ref205392537"/>
      <w:r w:rsidRPr="009901FA">
        <w:t>Exhibit</w:t>
      </w:r>
      <w:r w:rsidR="004A0EA7">
        <w:t xml:space="preserve"> 7</w:t>
      </w:r>
      <w:r w:rsidR="008725B4" w:rsidRPr="009901FA">
        <w:t>.</w:t>
      </w:r>
      <w:fldSimple w:instr=" SEQ Exhibit \* ARABIC \s 2 ">
        <w:r w:rsidR="00DE378F" w:rsidRPr="009901FA">
          <w:rPr>
            <w:noProof/>
          </w:rPr>
          <w:t>2</w:t>
        </w:r>
      </w:fldSimple>
      <w:bookmarkEnd w:id="175"/>
      <w:r w:rsidRPr="009901FA">
        <w:t xml:space="preserve"> Minimize primary carbon use, Carbon Source and destination for the energy and materials sectors, Mt C</w:t>
      </w:r>
    </w:p>
    <w:p w14:paraId="50D2B0E5" w14:textId="67715456" w:rsidR="00206554" w:rsidRPr="009901FA" w:rsidRDefault="003A2EB1" w:rsidP="004E39F4">
      <w:pPr>
        <w:spacing w:after="200"/>
        <w:rPr>
          <w:b/>
          <w:bCs/>
        </w:rPr>
      </w:pPr>
      <w:r>
        <w:rPr>
          <w:noProof/>
        </w:rPr>
        <w:drawing>
          <wp:inline distT="0" distB="0" distL="0" distR="0" wp14:anchorId="01BD4C40" wp14:editId="6C817442">
            <wp:extent cx="6263640" cy="3008630"/>
            <wp:effectExtent l="0" t="0" r="3810" b="1270"/>
            <wp:docPr id="118845904"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45904" name="Picture 1" descr="A diagram of a diagram&#10;&#10;Description automatically generated with medium confidence"/>
                    <pic:cNvPicPr/>
                  </pic:nvPicPr>
                  <pic:blipFill>
                    <a:blip r:embed="rId157"/>
                    <a:stretch>
                      <a:fillRect/>
                    </a:stretch>
                  </pic:blipFill>
                  <pic:spPr>
                    <a:xfrm>
                      <a:off x="0" y="0"/>
                      <a:ext cx="6263640" cy="3008630"/>
                    </a:xfrm>
                    <a:prstGeom prst="rect">
                      <a:avLst/>
                    </a:prstGeom>
                  </pic:spPr>
                </pic:pic>
              </a:graphicData>
            </a:graphic>
          </wp:inline>
        </w:drawing>
      </w:r>
    </w:p>
    <w:p w14:paraId="1633AB08" w14:textId="6CE403E8" w:rsidR="0056606D" w:rsidRPr="009901FA" w:rsidRDefault="0056606D" w:rsidP="0056606D">
      <w:pPr>
        <w:pStyle w:val="Caption"/>
        <w:keepNext/>
      </w:pPr>
      <w:bookmarkStart w:id="176" w:name="_Ref205392545"/>
      <w:r w:rsidRPr="009901FA">
        <w:lastRenderedPageBreak/>
        <w:t xml:space="preserve">Exhibit </w:t>
      </w:r>
      <w:r w:rsidR="004A0EA7">
        <w:t>7</w:t>
      </w:r>
      <w:r w:rsidR="008725B4" w:rsidRPr="009901FA">
        <w:t>.</w:t>
      </w:r>
      <w:fldSimple w:instr=" SEQ Exhibit \* ARABIC \s 2 ">
        <w:r w:rsidR="00DE378F" w:rsidRPr="009901FA">
          <w:rPr>
            <w:noProof/>
          </w:rPr>
          <w:t>3</w:t>
        </w:r>
      </w:fldSimple>
      <w:bookmarkEnd w:id="176"/>
      <w:r w:rsidRPr="009901FA">
        <w:t xml:space="preserve"> Minimize fossil carbon use, Carbon Source and destination for the energy and materials, Mt C</w:t>
      </w:r>
    </w:p>
    <w:p w14:paraId="3B8DCCBE" w14:textId="21DC5F78" w:rsidR="005B3F8C" w:rsidRPr="009901FA" w:rsidRDefault="00FD5954" w:rsidP="00B336AF">
      <w:pPr>
        <w:spacing w:after="200"/>
        <w:rPr>
          <w:b/>
          <w:bCs/>
        </w:rPr>
      </w:pPr>
      <w:r>
        <w:rPr>
          <w:noProof/>
        </w:rPr>
        <w:drawing>
          <wp:inline distT="0" distB="0" distL="0" distR="0" wp14:anchorId="7D41BCB7" wp14:editId="24A399A3">
            <wp:extent cx="6263640" cy="2919730"/>
            <wp:effectExtent l="0" t="0" r="3810" b="0"/>
            <wp:docPr id="356486124" name="Picture 1"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486124" name="Picture 1" descr="A diagram of a diagram&#10;&#10;Description automatically generated with medium confidence"/>
                    <pic:cNvPicPr/>
                  </pic:nvPicPr>
                  <pic:blipFill>
                    <a:blip r:embed="rId158"/>
                    <a:stretch>
                      <a:fillRect/>
                    </a:stretch>
                  </pic:blipFill>
                  <pic:spPr>
                    <a:xfrm>
                      <a:off x="0" y="0"/>
                      <a:ext cx="6263640" cy="2919730"/>
                    </a:xfrm>
                    <a:prstGeom prst="rect">
                      <a:avLst/>
                    </a:prstGeom>
                  </pic:spPr>
                </pic:pic>
              </a:graphicData>
            </a:graphic>
          </wp:inline>
        </w:drawing>
      </w:r>
    </w:p>
    <w:p w14:paraId="3701C855" w14:textId="238D0448" w:rsidR="005B3F8C" w:rsidRPr="009901FA" w:rsidRDefault="005B3F8C" w:rsidP="005B3F8C">
      <w:pPr>
        <w:pStyle w:val="Caption"/>
        <w:keepNext/>
      </w:pPr>
      <w:bookmarkStart w:id="177" w:name="_Ref205392776"/>
      <w:r w:rsidRPr="009901FA">
        <w:t xml:space="preserve">Exhibit </w:t>
      </w:r>
      <w:r w:rsidR="004A0EA7">
        <w:t>7</w:t>
      </w:r>
      <w:r w:rsidR="008725B4" w:rsidRPr="009901FA">
        <w:t>.</w:t>
      </w:r>
      <w:fldSimple w:instr=" SEQ Exhibit \* ARABIC \s 2 ">
        <w:r w:rsidR="00DE378F" w:rsidRPr="009901FA">
          <w:rPr>
            <w:noProof/>
          </w:rPr>
          <w:t>4</w:t>
        </w:r>
      </w:fldSimple>
      <w:bookmarkEnd w:id="177"/>
      <w:r w:rsidRPr="009901FA">
        <w:t xml:space="preserve"> Fossil in perpetuity, Carbon Source and destination for the energy and materials sectors, Mt C</w:t>
      </w:r>
    </w:p>
    <w:p w14:paraId="1297DE7E" w14:textId="39AE51C4" w:rsidR="0067291C" w:rsidRPr="009901FA" w:rsidRDefault="003A2EB1" w:rsidP="00B336AF">
      <w:pPr>
        <w:spacing w:after="200"/>
        <w:rPr>
          <w:b/>
          <w:bCs/>
        </w:rPr>
      </w:pPr>
      <w:r>
        <w:rPr>
          <w:noProof/>
        </w:rPr>
        <w:drawing>
          <wp:inline distT="0" distB="0" distL="0" distR="0" wp14:anchorId="6F83A178" wp14:editId="5B6A51B3">
            <wp:extent cx="6263640" cy="3144520"/>
            <wp:effectExtent l="0" t="0" r="3810" b="0"/>
            <wp:docPr id="1275743104" name="Picture 1" descr="A diagram of a hand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743104" name="Picture 1" descr="A diagram of a hand with different colored lines&#10;&#10;Description automatically generated with medium confidence"/>
                    <pic:cNvPicPr/>
                  </pic:nvPicPr>
                  <pic:blipFill>
                    <a:blip r:embed="rId159"/>
                    <a:stretch>
                      <a:fillRect/>
                    </a:stretch>
                  </pic:blipFill>
                  <pic:spPr>
                    <a:xfrm>
                      <a:off x="0" y="0"/>
                      <a:ext cx="6263640" cy="3144520"/>
                    </a:xfrm>
                    <a:prstGeom prst="rect">
                      <a:avLst/>
                    </a:prstGeom>
                  </pic:spPr>
                </pic:pic>
              </a:graphicData>
            </a:graphic>
          </wp:inline>
        </w:drawing>
      </w:r>
    </w:p>
    <w:p w14:paraId="3732DE4D" w14:textId="77777777" w:rsidR="00335E22" w:rsidRPr="009901FA" w:rsidRDefault="00335E22" w:rsidP="00B336AF">
      <w:pPr>
        <w:spacing w:after="200"/>
        <w:rPr>
          <w:u w:val="single"/>
        </w:rPr>
      </w:pPr>
    </w:p>
    <w:p w14:paraId="37628ADE" w14:textId="0E5BC511" w:rsidR="005B3F8C" w:rsidRPr="009901FA" w:rsidRDefault="005B3F8C" w:rsidP="005B3F8C">
      <w:pPr>
        <w:pStyle w:val="Caption"/>
        <w:keepNext/>
      </w:pPr>
      <w:bookmarkStart w:id="178" w:name="_Ref205392419"/>
      <w:r w:rsidRPr="009901FA">
        <w:lastRenderedPageBreak/>
        <w:t xml:space="preserve">Table </w:t>
      </w:r>
      <w:fldSimple w:instr=" SEQ Table \* ARABIC ">
        <w:r w:rsidR="00DE378F" w:rsidRPr="009901FA">
          <w:rPr>
            <w:noProof/>
          </w:rPr>
          <w:t>4</w:t>
        </w:r>
      </w:fldSimple>
      <w:bookmarkEnd w:id="178"/>
      <w:r w:rsidRPr="009901FA">
        <w:t xml:space="preserve"> Volume and share of source per scenario</w:t>
      </w:r>
    </w:p>
    <w:p w14:paraId="175A7D9B" w14:textId="1DCA78A8" w:rsidR="00EE1ED6" w:rsidRPr="009901FA" w:rsidRDefault="002C2E2A" w:rsidP="00B336AF">
      <w:pPr>
        <w:spacing w:after="200"/>
        <w:rPr>
          <w:u w:val="single"/>
        </w:rPr>
      </w:pPr>
      <w:r w:rsidRPr="009901FA">
        <w:rPr>
          <w:i/>
          <w:iCs/>
          <w:sz w:val="16"/>
          <w:szCs w:val="16"/>
        </w:rPr>
        <w:t xml:space="preserve"> </w:t>
      </w:r>
      <w:r w:rsidR="007D1B15" w:rsidRPr="009901FA">
        <w:rPr>
          <w:i/>
          <w:iCs/>
          <w:sz w:val="16"/>
          <w:szCs w:val="16"/>
        </w:rPr>
        <w:t xml:space="preserve"> </w:t>
      </w:r>
      <w:r w:rsidR="00C73259" w:rsidRPr="00C73259">
        <w:rPr>
          <w:noProof/>
          <w:sz w:val="16"/>
          <w:szCs w:val="16"/>
        </w:rPr>
        <w:drawing>
          <wp:inline distT="0" distB="0" distL="0" distR="0" wp14:anchorId="66D6BC2A" wp14:editId="14248871">
            <wp:extent cx="6175728" cy="3408683"/>
            <wp:effectExtent l="0" t="0" r="0" b="1270"/>
            <wp:docPr id="109940774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212528" cy="3428995"/>
                    </a:xfrm>
                    <a:prstGeom prst="rect">
                      <a:avLst/>
                    </a:prstGeom>
                    <a:noFill/>
                  </pic:spPr>
                </pic:pic>
              </a:graphicData>
            </a:graphic>
          </wp:inline>
        </w:drawing>
      </w:r>
    </w:p>
    <w:p w14:paraId="548BED82" w14:textId="0B2B7D32" w:rsidR="005B3F8C" w:rsidRPr="009901FA" w:rsidRDefault="005B3F8C" w:rsidP="005B3F8C">
      <w:pPr>
        <w:pStyle w:val="Caption"/>
        <w:keepNext/>
      </w:pPr>
      <w:r w:rsidRPr="009901FA">
        <w:t xml:space="preserve">Table </w:t>
      </w:r>
      <w:fldSimple w:instr=" SEQ Table \* ARABIC ">
        <w:r w:rsidR="00DE378F" w:rsidRPr="009901FA">
          <w:rPr>
            <w:noProof/>
          </w:rPr>
          <w:t>5</w:t>
        </w:r>
      </w:fldSimple>
      <w:r w:rsidRPr="009901FA">
        <w:t xml:space="preserve"> Change in carbon volume flows from today's system</w:t>
      </w:r>
    </w:p>
    <w:p w14:paraId="53CD28C8" w14:textId="68B8D83A" w:rsidR="00E35500" w:rsidRPr="009901FA" w:rsidRDefault="006A653B" w:rsidP="00B336AF">
      <w:pPr>
        <w:spacing w:after="200"/>
        <w:rPr>
          <w:u w:val="single"/>
        </w:rPr>
      </w:pPr>
      <w:r w:rsidRPr="006A653B">
        <w:rPr>
          <w:noProof/>
        </w:rPr>
        <w:drawing>
          <wp:inline distT="0" distB="0" distL="0" distR="0" wp14:anchorId="164C1798" wp14:editId="07A31418">
            <wp:extent cx="6263640" cy="1924050"/>
            <wp:effectExtent l="0" t="0" r="3810" b="0"/>
            <wp:docPr id="1000439402" name="Imagem 1" descr="Tabe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39402" name="Imagem 1" descr="Tabela&#10;&#10;O conteúdo gerado por IA pode estar incorreto."/>
                    <pic:cNvPicPr/>
                  </pic:nvPicPr>
                  <pic:blipFill>
                    <a:blip r:embed="rId161"/>
                    <a:stretch>
                      <a:fillRect/>
                    </a:stretch>
                  </pic:blipFill>
                  <pic:spPr>
                    <a:xfrm>
                      <a:off x="0" y="0"/>
                      <a:ext cx="6263640" cy="1924050"/>
                    </a:xfrm>
                    <a:prstGeom prst="rect">
                      <a:avLst/>
                    </a:prstGeom>
                  </pic:spPr>
                </pic:pic>
              </a:graphicData>
            </a:graphic>
          </wp:inline>
        </w:drawing>
      </w:r>
    </w:p>
    <w:p w14:paraId="08413008" w14:textId="23987E06" w:rsidR="00B52958" w:rsidRPr="000E0EB1" w:rsidRDefault="005C4C40" w:rsidP="00E05CCD">
      <w:pPr>
        <w:pStyle w:val="Heading2"/>
        <w:numPr>
          <w:ilvl w:val="0"/>
          <w:numId w:val="6"/>
        </w:numPr>
        <w:spacing w:before="60" w:line="259" w:lineRule="auto"/>
        <w:ind w:left="907" w:hanging="510"/>
        <w:rPr>
          <w:b/>
          <w:bCs/>
          <w:smallCaps/>
          <w:color w:val="00146D" w:themeColor="text2"/>
          <w:szCs w:val="40"/>
        </w:rPr>
      </w:pPr>
      <w:bookmarkStart w:id="179" w:name="_Toc205554250"/>
      <w:r w:rsidRPr="000E0EB1">
        <w:rPr>
          <w:b/>
          <w:bCs/>
          <w:smallCaps/>
          <w:color w:val="00146D" w:themeColor="text2"/>
          <w:szCs w:val="40"/>
        </w:rPr>
        <w:t>k</w:t>
      </w:r>
      <w:r w:rsidR="00930630" w:rsidRPr="000E0EB1">
        <w:rPr>
          <w:b/>
          <w:bCs/>
          <w:smallCaps/>
          <w:color w:val="00146D" w:themeColor="text2"/>
          <w:szCs w:val="40"/>
        </w:rPr>
        <w:t>ey conclusions</w:t>
      </w:r>
      <w:r w:rsidR="00601F20" w:rsidRPr="000E0EB1">
        <w:rPr>
          <w:b/>
          <w:bCs/>
          <w:smallCaps/>
          <w:color w:val="00146D" w:themeColor="text2"/>
          <w:szCs w:val="40"/>
        </w:rPr>
        <w:t xml:space="preserve"> and recommendation</w:t>
      </w:r>
      <w:r w:rsidR="00BF0588" w:rsidRPr="000E0EB1">
        <w:rPr>
          <w:b/>
          <w:bCs/>
          <w:smallCaps/>
          <w:color w:val="00146D" w:themeColor="text2"/>
          <w:szCs w:val="40"/>
        </w:rPr>
        <w:t>s</w:t>
      </w:r>
      <w:bookmarkEnd w:id="179"/>
    </w:p>
    <w:p w14:paraId="36B6539F" w14:textId="0B454F44" w:rsidR="00345FAD" w:rsidRPr="009901FA" w:rsidRDefault="00345FAD" w:rsidP="00345FAD">
      <w:pPr>
        <w:tabs>
          <w:tab w:val="num" w:pos="720"/>
        </w:tabs>
        <w:spacing w:after="200"/>
      </w:pPr>
      <w:r w:rsidRPr="009901FA">
        <w:t>A net-zero world will still be a carbon world. Even in the most ambitious decarbonisation scenarios, carbon molecules remain essential</w:t>
      </w:r>
      <w:r w:rsidR="00CE5DEE">
        <w:t xml:space="preserve">, </w:t>
      </w:r>
      <w:r w:rsidRPr="009901FA">
        <w:t xml:space="preserve">embedded in the fuels that power long-haul aviation, the feedstocks that underpin chemical production, and </w:t>
      </w:r>
      <w:r w:rsidR="0038741B" w:rsidRPr="009901FA">
        <w:t>other</w:t>
      </w:r>
      <w:r w:rsidRPr="009901FA">
        <w:t xml:space="preserve"> materials. The challenge is no longer just about reducing carbon use, but about managing the carbon that remains: where it comes from, how it circulates through the economy, and what happens to it at end-of-life.</w:t>
      </w:r>
    </w:p>
    <w:p w14:paraId="0BB2C744" w14:textId="272B9A9C" w:rsidR="00345FAD" w:rsidRPr="009901FA" w:rsidRDefault="00345FAD" w:rsidP="00345FAD">
      <w:pPr>
        <w:tabs>
          <w:tab w:val="num" w:pos="720"/>
        </w:tabs>
        <w:spacing w:after="200"/>
        <w:rPr>
          <w:b/>
          <w:bCs/>
        </w:rPr>
      </w:pPr>
      <w:r w:rsidRPr="009901FA">
        <w:rPr>
          <w:b/>
          <w:bCs/>
        </w:rPr>
        <w:t>1. Carbon demand will persist</w:t>
      </w:r>
      <w:r w:rsidR="00D11033" w:rsidRPr="009901FA">
        <w:rPr>
          <w:b/>
          <w:bCs/>
        </w:rPr>
        <w:t xml:space="preserve"> even to mid-century</w:t>
      </w:r>
      <w:r w:rsidRPr="009901FA">
        <w:rPr>
          <w:b/>
          <w:bCs/>
        </w:rPr>
        <w:t>—</w:t>
      </w:r>
      <w:r w:rsidR="00D11033" w:rsidRPr="009901FA">
        <w:rPr>
          <w:b/>
          <w:bCs/>
        </w:rPr>
        <w:t xml:space="preserve">it </w:t>
      </w:r>
      <w:r w:rsidRPr="009901FA">
        <w:rPr>
          <w:b/>
          <w:bCs/>
        </w:rPr>
        <w:t xml:space="preserve">must be actively </w:t>
      </w:r>
      <w:r w:rsidR="00D11033" w:rsidRPr="009901FA">
        <w:rPr>
          <w:b/>
          <w:bCs/>
        </w:rPr>
        <w:t xml:space="preserve">planned for and </w:t>
      </w:r>
      <w:r w:rsidRPr="009901FA">
        <w:rPr>
          <w:b/>
          <w:bCs/>
        </w:rPr>
        <w:t>managed</w:t>
      </w:r>
    </w:p>
    <w:p w14:paraId="325E6562" w14:textId="4245E7F1" w:rsidR="008429FA" w:rsidRPr="009901FA" w:rsidRDefault="008429FA" w:rsidP="004F5E91">
      <w:pPr>
        <w:tabs>
          <w:tab w:val="num" w:pos="720"/>
        </w:tabs>
        <w:spacing w:after="200"/>
      </w:pPr>
      <w:r w:rsidRPr="009901FA">
        <w:t xml:space="preserve">The transition to net-zero is not a journey to zero carbon use, but to zero carbon emissions. In sectors like aviation, steel, and chemicals, carbon is difficult to substitute </w:t>
      </w:r>
      <w:r w:rsidRPr="009901FA">
        <w:lastRenderedPageBreak/>
        <w:t>due to fundamental constraints like energy density and process chemistry. Planning must therefore focus not only on reducing emissions, but also on building a sustainabl</w:t>
      </w:r>
      <w:r w:rsidR="003B5374" w:rsidRPr="009901FA">
        <w:t>e</w:t>
      </w:r>
      <w:r w:rsidRPr="009901FA">
        <w:t xml:space="preserve"> system for the carbon that stays.</w:t>
      </w:r>
    </w:p>
    <w:p w14:paraId="00238B41" w14:textId="12EF5425" w:rsidR="00345FAD" w:rsidRPr="009901FA" w:rsidRDefault="00345FAD" w:rsidP="00345FAD">
      <w:pPr>
        <w:tabs>
          <w:tab w:val="num" w:pos="720"/>
        </w:tabs>
        <w:spacing w:after="200"/>
        <w:rPr>
          <w:b/>
          <w:bCs/>
        </w:rPr>
      </w:pPr>
      <w:r w:rsidRPr="009901FA">
        <w:rPr>
          <w:b/>
          <w:bCs/>
        </w:rPr>
        <w:t xml:space="preserve">2. Electrification and </w:t>
      </w:r>
      <w:r w:rsidR="00EB6D00" w:rsidRPr="009901FA">
        <w:rPr>
          <w:b/>
          <w:bCs/>
        </w:rPr>
        <w:t>re-use</w:t>
      </w:r>
      <w:r w:rsidR="004F5E91" w:rsidRPr="009901FA">
        <w:rPr>
          <w:b/>
          <w:bCs/>
        </w:rPr>
        <w:t xml:space="preserve"> are </w:t>
      </w:r>
      <w:r w:rsidRPr="009901FA">
        <w:rPr>
          <w:b/>
          <w:bCs/>
        </w:rPr>
        <w:t xml:space="preserve">the most effective tools for reducing carbon </w:t>
      </w:r>
      <w:r w:rsidR="004F5E91" w:rsidRPr="009901FA">
        <w:rPr>
          <w:b/>
          <w:bCs/>
        </w:rPr>
        <w:t>usage in the energy and materials sectors</w:t>
      </w:r>
    </w:p>
    <w:p w14:paraId="39394369" w14:textId="08CD7C6B" w:rsidR="000F0C77" w:rsidRPr="009901FA" w:rsidRDefault="000F0C77" w:rsidP="00345FAD">
      <w:pPr>
        <w:tabs>
          <w:tab w:val="num" w:pos="720"/>
        </w:tabs>
        <w:spacing w:after="200"/>
      </w:pPr>
      <w:r w:rsidRPr="009901FA">
        <w:t xml:space="preserve">Direct electrification, powered by clean, firm electricity, is the most efficient decarbonisation route in many sectors. Technologies such as high-temperature electric heating, molten oxide electrolysis, and advanced battery chemistries are already displacing fossil carbon and could go further if scaled. Reuse </w:t>
      </w:r>
      <w:r w:rsidR="008667D3" w:rsidRPr="009901FA">
        <w:t xml:space="preserve">also offers a relatively mature and cost-effective </w:t>
      </w:r>
      <w:r w:rsidR="00EB6D00" w:rsidRPr="009901FA">
        <w:t>upstream measure to reduce carbon use.</w:t>
      </w:r>
      <w:r w:rsidR="008667D3" w:rsidRPr="009901FA">
        <w:t xml:space="preserve"> </w:t>
      </w:r>
      <w:r w:rsidR="007A26AD" w:rsidRPr="009901FA">
        <w:t>Together, these technologies are on the frontier of carbon displacement.</w:t>
      </w:r>
    </w:p>
    <w:p w14:paraId="554816BE" w14:textId="60B92124" w:rsidR="00345FAD" w:rsidRPr="009901FA" w:rsidRDefault="00345FAD" w:rsidP="00345FAD">
      <w:pPr>
        <w:tabs>
          <w:tab w:val="num" w:pos="720"/>
        </w:tabs>
        <w:spacing w:after="200"/>
        <w:rPr>
          <w:b/>
          <w:bCs/>
        </w:rPr>
      </w:pPr>
      <w:r w:rsidRPr="009901FA">
        <w:rPr>
          <w:b/>
          <w:bCs/>
        </w:rPr>
        <w:t xml:space="preserve">3. Circularity offers </w:t>
      </w:r>
      <w:r w:rsidR="007066B8" w:rsidRPr="009901FA">
        <w:rPr>
          <w:b/>
          <w:bCs/>
        </w:rPr>
        <w:t>a</w:t>
      </w:r>
      <w:r w:rsidRPr="009901FA">
        <w:rPr>
          <w:b/>
          <w:bCs/>
        </w:rPr>
        <w:t xml:space="preserve"> path to reducing primary carbon demand</w:t>
      </w:r>
      <w:r w:rsidR="007066B8" w:rsidRPr="009901FA">
        <w:rPr>
          <w:b/>
          <w:bCs/>
        </w:rPr>
        <w:t xml:space="preserve">, but </w:t>
      </w:r>
      <w:r w:rsidR="00F650BA" w:rsidRPr="009901FA">
        <w:rPr>
          <w:b/>
          <w:bCs/>
        </w:rPr>
        <w:t>would require significant intervention</w:t>
      </w:r>
      <w:r w:rsidRPr="009901FA">
        <w:rPr>
          <w:b/>
          <w:bCs/>
        </w:rPr>
        <w:t>.</w:t>
      </w:r>
    </w:p>
    <w:p w14:paraId="499D68B0" w14:textId="1FFC88D6" w:rsidR="00345FAD" w:rsidRPr="009901FA" w:rsidRDefault="00345FAD" w:rsidP="00345FAD">
      <w:pPr>
        <w:tabs>
          <w:tab w:val="num" w:pos="720"/>
        </w:tabs>
        <w:spacing w:after="200"/>
      </w:pPr>
      <w:r w:rsidRPr="009901FA">
        <w:t>Upstream interventions</w:t>
      </w:r>
      <w:r w:rsidR="00094AD5">
        <w:t xml:space="preserve">, </w:t>
      </w:r>
      <w:r w:rsidRPr="009901FA">
        <w:t>elimination, reuse, and substitution</w:t>
      </w:r>
      <w:r w:rsidR="00094AD5">
        <w:t xml:space="preserve">, </w:t>
      </w:r>
      <w:r w:rsidRPr="009901FA">
        <w:t xml:space="preserve">can reduce demand before materials </w:t>
      </w:r>
      <w:r w:rsidR="009B255E" w:rsidRPr="009901FA">
        <w:t>requiring carbon are developed</w:t>
      </w:r>
      <w:r w:rsidRPr="009901FA">
        <w:t xml:space="preserve">. Mechanical recycling, particularly in sectors like pulp, paper, and rigid plastics, is already proven and scalable. </w:t>
      </w:r>
      <w:r w:rsidR="0076590F" w:rsidRPr="009901FA">
        <w:t>However,</w:t>
      </w:r>
      <w:r w:rsidRPr="009901FA">
        <w:t xml:space="preserve"> circularity is not </w:t>
      </w:r>
      <w:r w:rsidR="0076590F" w:rsidRPr="009901FA">
        <w:t xml:space="preserve">a silver bullet: </w:t>
      </w:r>
      <w:r w:rsidR="00A500AB" w:rsidRPr="009901FA">
        <w:t>even in the most circular scenario only</w:t>
      </w:r>
      <w:r w:rsidRPr="009901FA">
        <w:t xml:space="preserve"> about </w:t>
      </w:r>
      <w:r w:rsidR="00A500AB" w:rsidRPr="009901FA">
        <w:t xml:space="preserve">a third of carbon can be made circular. </w:t>
      </w:r>
      <w:r w:rsidR="00717265" w:rsidRPr="009901FA">
        <w:t>Just over half</w:t>
      </w:r>
      <w:r w:rsidR="00A500AB" w:rsidRPr="009901FA">
        <w:t xml:space="preserve"> of this circular carbon can come from materials, the </w:t>
      </w:r>
      <w:r w:rsidR="00717265" w:rsidRPr="009901FA">
        <w:t>remaining</w:t>
      </w:r>
      <w:r w:rsidR="00A500AB" w:rsidRPr="009901FA">
        <w:t xml:space="preserve"> from waste carbon utilisation</w:t>
      </w:r>
      <w:r w:rsidR="0076590F" w:rsidRPr="009901FA">
        <w:t>. Achieving meaningful impact requires</w:t>
      </w:r>
      <w:r w:rsidRPr="009901FA">
        <w:t xml:space="preserve"> coordination</w:t>
      </w:r>
      <w:r w:rsidR="0076590F" w:rsidRPr="009901FA">
        <w:t xml:space="preserve"> across</w:t>
      </w:r>
      <w:r w:rsidRPr="009901FA">
        <w:t xml:space="preserve"> product design</w:t>
      </w:r>
      <w:r w:rsidR="0076590F" w:rsidRPr="009901FA">
        <w:t>,</w:t>
      </w:r>
      <w:r w:rsidRPr="009901FA">
        <w:t xml:space="preserve"> policy</w:t>
      </w:r>
      <w:r w:rsidR="0076590F" w:rsidRPr="009901FA">
        <w:t>, and</w:t>
      </w:r>
      <w:r w:rsidRPr="009901FA">
        <w:t xml:space="preserve"> consumer behaviour. Without </w:t>
      </w:r>
      <w:r w:rsidR="0076590F" w:rsidRPr="009901FA">
        <w:t>this</w:t>
      </w:r>
      <w:r w:rsidRPr="009901FA">
        <w:t xml:space="preserve">, even the best technologies will </w:t>
      </w:r>
      <w:r w:rsidR="0076590F" w:rsidRPr="009901FA">
        <w:t>fall short</w:t>
      </w:r>
      <w:r w:rsidRPr="009901FA">
        <w:t>.</w:t>
      </w:r>
    </w:p>
    <w:p w14:paraId="4342DDC2" w14:textId="4EC8FBE6" w:rsidR="003D44D8" w:rsidRPr="009901FA" w:rsidRDefault="003D44D8" w:rsidP="003D44D8">
      <w:pPr>
        <w:tabs>
          <w:tab w:val="num" w:pos="720"/>
        </w:tabs>
        <w:spacing w:after="200"/>
        <w:rPr>
          <w:b/>
          <w:bCs/>
        </w:rPr>
      </w:pPr>
      <w:r w:rsidRPr="009901FA">
        <w:rPr>
          <w:b/>
          <w:bCs/>
        </w:rPr>
        <w:t>4. Linear end-of-life solutions will play a role</w:t>
      </w:r>
      <w:r w:rsidR="00094AD5">
        <w:rPr>
          <w:b/>
          <w:bCs/>
        </w:rPr>
        <w:t xml:space="preserve">, </w:t>
      </w:r>
      <w:r w:rsidRPr="009901FA">
        <w:rPr>
          <w:b/>
          <w:bCs/>
        </w:rPr>
        <w:t xml:space="preserve">especially where circularity </w:t>
      </w:r>
      <w:r w:rsidR="004F5E91" w:rsidRPr="009901FA">
        <w:rPr>
          <w:b/>
          <w:bCs/>
        </w:rPr>
        <w:t>solutions are challenged</w:t>
      </w:r>
    </w:p>
    <w:p w14:paraId="74DC5201" w14:textId="027CFF3B" w:rsidR="003D44D8" w:rsidRPr="009901FA" w:rsidRDefault="003D44D8" w:rsidP="00345FAD">
      <w:pPr>
        <w:tabs>
          <w:tab w:val="num" w:pos="720"/>
        </w:tabs>
        <w:spacing w:after="200"/>
      </w:pPr>
      <w:r w:rsidRPr="009901FA">
        <w:t>Not all carbon can be reused or recycled. In these cases, linear solutions like geological storage and advanced landfilling provide necessary backstops. Technologies such as in-situ CO</w:t>
      </w:r>
      <w:r w:rsidRPr="00A247A6">
        <w:rPr>
          <w:rFonts w:ascii="Cambria Math" w:hAnsi="Cambria Math" w:cs="Cambria Math"/>
        </w:rPr>
        <w:t>₂</w:t>
      </w:r>
      <w:r w:rsidRPr="009901FA">
        <w:t xml:space="preserve"> mineralisation offer high permanence with fewer leakage risks, while methane-stabilising landfill systems can reduce emissions from residual waste. These are not ideal outcomes</w:t>
      </w:r>
      <w:r w:rsidR="00094AD5">
        <w:rPr>
          <w:rFonts w:cs="Arial Nova"/>
        </w:rPr>
        <w:t xml:space="preserve"> </w:t>
      </w:r>
      <w:r w:rsidRPr="009901FA">
        <w:t>but they are pragmatic ones, especially in the near term.</w:t>
      </w:r>
    </w:p>
    <w:p w14:paraId="210C9762" w14:textId="0DD95069" w:rsidR="008136B5" w:rsidRPr="009901FA" w:rsidRDefault="003D44D8" w:rsidP="008136B5">
      <w:pPr>
        <w:spacing w:after="200"/>
        <w:rPr>
          <w:b/>
          <w:bCs/>
        </w:rPr>
      </w:pPr>
      <w:r w:rsidRPr="009901FA">
        <w:rPr>
          <w:b/>
          <w:bCs/>
        </w:rPr>
        <w:t>5</w:t>
      </w:r>
      <w:r w:rsidR="00345FAD" w:rsidRPr="009901FA">
        <w:rPr>
          <w:b/>
          <w:bCs/>
        </w:rPr>
        <w:t xml:space="preserve">. </w:t>
      </w:r>
      <w:r w:rsidR="008136B5" w:rsidRPr="009901FA">
        <w:rPr>
          <w:b/>
          <w:bCs/>
        </w:rPr>
        <w:t xml:space="preserve">Sustainable primary carbon is constrained (biomass) or sourcing </w:t>
      </w:r>
      <w:r w:rsidR="00D87EB2" w:rsidRPr="009901FA">
        <w:rPr>
          <w:b/>
          <w:bCs/>
        </w:rPr>
        <w:t>technology</w:t>
      </w:r>
      <w:r w:rsidR="008136B5" w:rsidRPr="009901FA">
        <w:rPr>
          <w:b/>
          <w:bCs/>
        </w:rPr>
        <w:t xml:space="preserve"> is still emerging (DAC, oCDR), while fossil is abundant</w:t>
      </w:r>
      <w:r w:rsidR="00717DF2">
        <w:rPr>
          <w:b/>
          <w:bCs/>
        </w:rPr>
        <w:t>. I</w:t>
      </w:r>
      <w:r w:rsidR="008136B5" w:rsidRPr="009901FA">
        <w:rPr>
          <w:b/>
          <w:bCs/>
        </w:rPr>
        <w:t>f ways of sourcing our sustainable biomass do no</w:t>
      </w:r>
      <w:r w:rsidR="00D87EB2" w:rsidRPr="009901FA">
        <w:rPr>
          <w:b/>
          <w:bCs/>
        </w:rPr>
        <w:t>t</w:t>
      </w:r>
      <w:r w:rsidR="008136B5" w:rsidRPr="009901FA">
        <w:rPr>
          <w:b/>
          <w:bCs/>
        </w:rPr>
        <w:t xml:space="preserve"> scale, we need to be strategic about fossil usage and offsets</w:t>
      </w:r>
    </w:p>
    <w:p w14:paraId="6866BC9F" w14:textId="6E810C80" w:rsidR="00345FAD" w:rsidRPr="009901FA" w:rsidRDefault="00345FAD" w:rsidP="00345FAD">
      <w:pPr>
        <w:tabs>
          <w:tab w:val="num" w:pos="720"/>
        </w:tabs>
        <w:spacing w:after="200"/>
      </w:pPr>
      <w:r w:rsidRPr="009901FA">
        <w:t>Biomass, DAC, and ocean-based carbon removal represent the most viable sources of sustainable primary carbon. Each comes with trade-offs. Biomass is land-constrained and must be carefully governed to avoid food security and biodiversity risks. DAC is scalable but expensive, while ocean-based removal offers promise at lower cost but remains early-stage. These sources must be prioritised based on availability, permanence, and system fit—not just marginal cost.</w:t>
      </w:r>
      <w:r w:rsidR="00AB7961" w:rsidRPr="009901FA">
        <w:t xml:space="preserve"> Fossil carbon is </w:t>
      </w:r>
      <w:r w:rsidR="00AB7961" w:rsidRPr="009901FA">
        <w:lastRenderedPageBreak/>
        <w:t>abundant and cheap, but incompatible with long-term climate goals unless paired with durable removals. Strategic planning is needed to balance availability, permanence, and system fit.</w:t>
      </w:r>
    </w:p>
    <w:p w14:paraId="29996A33" w14:textId="543FEAB8" w:rsidR="00841860" w:rsidRPr="009901FA" w:rsidRDefault="00345FAD" w:rsidP="00841860">
      <w:pPr>
        <w:spacing w:after="200"/>
        <w:rPr>
          <w:b/>
          <w:bCs/>
        </w:rPr>
      </w:pPr>
      <w:r w:rsidRPr="009901FA">
        <w:rPr>
          <w:b/>
          <w:bCs/>
        </w:rPr>
        <w:t xml:space="preserve">6. </w:t>
      </w:r>
      <w:r w:rsidR="00841860" w:rsidRPr="009901FA">
        <w:rPr>
          <w:b/>
          <w:bCs/>
        </w:rPr>
        <w:t>Deep technology innovation is essential to close the gap</w:t>
      </w:r>
      <w:r w:rsidR="00717DF2" w:rsidRPr="009901FA">
        <w:rPr>
          <w:b/>
          <w:bCs/>
        </w:rPr>
        <w:t>—</w:t>
      </w:r>
      <w:r w:rsidR="00841860" w:rsidRPr="009901FA">
        <w:rPr>
          <w:b/>
          <w:bCs/>
        </w:rPr>
        <w:t xml:space="preserve">promising technologies are still at early stage and </w:t>
      </w:r>
      <w:r w:rsidR="005E6328">
        <w:rPr>
          <w:b/>
          <w:bCs/>
        </w:rPr>
        <w:t xml:space="preserve">there is </w:t>
      </w:r>
      <w:r w:rsidR="00841860" w:rsidRPr="009901FA">
        <w:rPr>
          <w:b/>
          <w:bCs/>
        </w:rPr>
        <w:t>uncertainty around costs</w:t>
      </w:r>
    </w:p>
    <w:p w14:paraId="0B34F6DF" w14:textId="65E8B44B" w:rsidR="00447131" w:rsidRPr="009901FA" w:rsidRDefault="00447131" w:rsidP="00841860">
      <w:pPr>
        <w:spacing w:after="200"/>
      </w:pPr>
      <w:r w:rsidRPr="009901FA">
        <w:t>Many of the most promising technologies</w:t>
      </w:r>
      <w:r w:rsidR="00717DF2">
        <w:t xml:space="preserve"> </w:t>
      </w:r>
      <w:r w:rsidRPr="009901FA">
        <w:t>such as high-temperature industrial heat, CO</w:t>
      </w:r>
      <w:r w:rsidRPr="00A247A6">
        <w:rPr>
          <w:rFonts w:ascii="Cambria Math" w:hAnsi="Cambria Math" w:cs="Cambria Math"/>
        </w:rPr>
        <w:t>₂</w:t>
      </w:r>
      <w:r w:rsidRPr="009901FA">
        <w:t xml:space="preserve"> conversion, and ocean-based carbon removal</w:t>
      </w:r>
      <w:r w:rsidR="00717DF2">
        <w:rPr>
          <w:rFonts w:cs="Arial Nova"/>
        </w:rPr>
        <w:t xml:space="preserve">, </w:t>
      </w:r>
      <w:r w:rsidRPr="009901FA">
        <w:t>are still early-stage or costly. Yet they offer potential solutions to the most challenging parts of the carbon problem. Their success will depend on access to clean energy, supportive policy, and a willingness to invest in long-term system value over short-term efficiency. In areas like chemical recycling, where current business cases are weak and GHG performance is critical, breakthrough innovation is needed to enable end-to-end disruption.</w:t>
      </w:r>
    </w:p>
    <w:p w14:paraId="4BE00B1E" w14:textId="2999A0B8" w:rsidR="00841860" w:rsidRPr="009901FA" w:rsidRDefault="00345FAD" w:rsidP="00841860">
      <w:pPr>
        <w:spacing w:after="200"/>
        <w:rPr>
          <w:b/>
          <w:bCs/>
        </w:rPr>
      </w:pPr>
      <w:r w:rsidRPr="009901FA">
        <w:rPr>
          <w:b/>
          <w:bCs/>
        </w:rPr>
        <w:t xml:space="preserve">7. </w:t>
      </w:r>
      <w:r w:rsidR="00841860" w:rsidRPr="009901FA">
        <w:rPr>
          <w:b/>
          <w:bCs/>
        </w:rPr>
        <w:t>We need to be open minded about the full set of solutions. There are trade-offs across the different technologies and the likely ‘optimal’ mix will vary by geography, sector and time horizon.</w:t>
      </w:r>
    </w:p>
    <w:p w14:paraId="2C1AC3CC" w14:textId="77777777" w:rsidR="009216DE" w:rsidRPr="009901FA" w:rsidRDefault="009216DE" w:rsidP="009216DE">
      <w:pPr>
        <w:spacing w:after="200"/>
      </w:pPr>
      <w:r w:rsidRPr="009901FA">
        <w:t>No single technology solves the carbon challenge. Mechanical recycling is cost-effective today but limited by feedstock quality and system integration. DACCS offers scalable, durable carbon removal but is energy-intensive and expensive. E-methanol via CCU can decarbonise hard-to-electrify sectors like aviation, yet hinges on access to cheap green hydrogen. Electrification methods such as molten oxide electrolysis show promise for industry but face infrastructure and deployment barriers.</w:t>
      </w:r>
    </w:p>
    <w:p w14:paraId="19D6438D" w14:textId="109D1477" w:rsidR="009216DE" w:rsidRPr="009901FA" w:rsidRDefault="009216DE" w:rsidP="009216DE">
      <w:pPr>
        <w:spacing w:after="200"/>
      </w:pPr>
      <w:r w:rsidRPr="009901FA">
        <w:t>These differences reflect not just technical maturity, but varying dependencies on energy, land, and materials. While a spectrum of viable technologies exists, their high costs create a gap between theoretical solutions and market willingness to pay. This leaves room for breakthrough deep</w:t>
      </w:r>
      <w:r w:rsidR="00E86E26">
        <w:t xml:space="preserve"> </w:t>
      </w:r>
      <w:r w:rsidRPr="009901FA">
        <w:t>tech innovation to accelerate the transition. Market forces will help determine which technologies scale, but this must occur within robust regulatory, standardisation, and certification frameworks to protect natural and social capital</w:t>
      </w:r>
      <w:r w:rsidR="00E86E26">
        <w:t xml:space="preserve">, </w:t>
      </w:r>
      <w:r w:rsidRPr="009901FA">
        <w:t>not just commercial returns.</w:t>
      </w:r>
    </w:p>
    <w:p w14:paraId="4BEA34EA" w14:textId="544528C5" w:rsidR="009216DE" w:rsidRPr="009901FA" w:rsidRDefault="009216DE" w:rsidP="009216DE">
      <w:pPr>
        <w:spacing w:after="200"/>
      </w:pPr>
      <w:r w:rsidRPr="009901FA">
        <w:t>The optimal technology mix will vary by region, shaped by energy access, land use, industrial structure, and policy. What works in one context may not in another. Rather than chasing a single best solution, decision-makers should build diverse, adaptive portfolios that balance cost, readiness, and resource efficiency</w:t>
      </w:r>
      <w:r w:rsidR="006B14D2">
        <w:t xml:space="preserve">, </w:t>
      </w:r>
      <w:r w:rsidRPr="009901FA">
        <w:t>while staying responsive to evolving constraints and opportunities. This demands openness to both near-term deployment and long-term innovation.</w:t>
      </w:r>
    </w:p>
    <w:p w14:paraId="6B4F228A" w14:textId="6F83B2B7" w:rsidR="00C45BFE" w:rsidRPr="009901FA" w:rsidRDefault="00345FAD" w:rsidP="00C45BFE">
      <w:pPr>
        <w:spacing w:after="200"/>
        <w:rPr>
          <w:b/>
          <w:bCs/>
        </w:rPr>
      </w:pPr>
      <w:r w:rsidRPr="009901FA">
        <w:rPr>
          <w:b/>
          <w:bCs/>
        </w:rPr>
        <w:t xml:space="preserve">8. </w:t>
      </w:r>
      <w:r w:rsidR="00C45BFE" w:rsidRPr="009901FA">
        <w:rPr>
          <w:b/>
          <w:bCs/>
        </w:rPr>
        <w:t>For a majority of technologies, policy</w:t>
      </w:r>
      <w:r w:rsidRPr="009901FA">
        <w:rPr>
          <w:b/>
          <w:bCs/>
        </w:rPr>
        <w:t xml:space="preserve"> will determine what scales</w:t>
      </w:r>
      <w:r w:rsidR="00C45BFE" w:rsidRPr="009901FA">
        <w:rPr>
          <w:b/>
          <w:bCs/>
        </w:rPr>
        <w:t xml:space="preserve"> </w:t>
      </w:r>
      <w:r w:rsidRPr="009901FA">
        <w:rPr>
          <w:b/>
          <w:bCs/>
        </w:rPr>
        <w:t>and how fast.</w:t>
      </w:r>
      <w:r w:rsidR="00C45BFE" w:rsidRPr="009901FA">
        <w:rPr>
          <w:b/>
          <w:bCs/>
        </w:rPr>
        <w:t xml:space="preserve"> Carbon pricing a critical lever but part of a broader architecture</w:t>
      </w:r>
    </w:p>
    <w:p w14:paraId="7677639E" w14:textId="77777777" w:rsidR="00432BA3" w:rsidRPr="009901FA" w:rsidRDefault="00B019E9" w:rsidP="00432BA3">
      <w:pPr>
        <w:tabs>
          <w:tab w:val="num" w:pos="720"/>
        </w:tabs>
        <w:spacing w:after="200"/>
      </w:pPr>
      <w:r w:rsidRPr="009901FA">
        <w:lastRenderedPageBreak/>
        <w:t xml:space="preserve">Carbon pricing is a critical lever, but it must be part of a broader policy architecture. </w:t>
      </w:r>
      <w:r w:rsidR="00432BA3" w:rsidRPr="009901FA">
        <w:t>Mandates, extended producer responsibility, design standards, and public procurement can stimulate demand for low-carbon fuels and materials. Infrastructure investment, tax incentives, and certification systems are essential to support emerging technologies and safeguard environmental integrity. Without agile, responsive policy, even the most promising innovations risk stalling at pilot scale.</w:t>
      </w:r>
    </w:p>
    <w:p w14:paraId="5D3596AA" w14:textId="1CB5E383" w:rsidR="00432BA3" w:rsidRPr="009901FA" w:rsidRDefault="00432BA3" w:rsidP="00432BA3">
      <w:pPr>
        <w:tabs>
          <w:tab w:val="num" w:pos="720"/>
        </w:tabs>
        <w:spacing w:after="200"/>
      </w:pPr>
      <w:r w:rsidRPr="009901FA">
        <w:t>Some technologies have breakthrough potential and viable business models independent of policy. Others do not</w:t>
      </w:r>
      <w:r w:rsidR="00E544BE">
        <w:t xml:space="preserve">, </w:t>
      </w:r>
      <w:r w:rsidRPr="009901FA">
        <w:t>and for these, we must be pragmatic, deploying lower-performing but available solutions now, especially given the urgency of scaling. Policy must help identify:</w:t>
      </w:r>
    </w:p>
    <w:p w14:paraId="6BE1D1BF" w14:textId="2E8CB5CF" w:rsidR="00432BA3" w:rsidRPr="009901FA" w:rsidRDefault="00432BA3" w:rsidP="00432BA3">
      <w:pPr>
        <w:tabs>
          <w:tab w:val="num" w:pos="720"/>
        </w:tabs>
        <w:spacing w:after="200"/>
      </w:pPr>
      <w:r w:rsidRPr="009901FA">
        <w:rPr>
          <w:b/>
          <w:bCs/>
        </w:rPr>
        <w:t>i)</w:t>
      </w:r>
      <w:r w:rsidRPr="009901FA">
        <w:t xml:space="preserve"> Technologies with the highest abatement potential</w:t>
      </w:r>
      <w:r w:rsidR="00E544BE" w:rsidRPr="009901FA">
        <w:t>—</w:t>
      </w:r>
      <w:r w:rsidRPr="009901FA">
        <w:t>both direct and through cross-sector halo effects—and the greatest likelihood of cost reduction to parity</w:t>
      </w:r>
    </w:p>
    <w:p w14:paraId="51386BFF" w14:textId="77777777" w:rsidR="00432BA3" w:rsidRPr="009901FA" w:rsidRDefault="00432BA3" w:rsidP="00432BA3">
      <w:pPr>
        <w:tabs>
          <w:tab w:val="num" w:pos="720"/>
        </w:tabs>
        <w:spacing w:after="200"/>
      </w:pPr>
      <w:r w:rsidRPr="009901FA">
        <w:rPr>
          <w:b/>
          <w:bCs/>
        </w:rPr>
        <w:t>ii)</w:t>
      </w:r>
      <w:r w:rsidRPr="009901FA">
        <w:t xml:space="preserve"> Technologies facing systemic inertia that require early incentives to begin moving along the transition curve</w:t>
      </w:r>
    </w:p>
    <w:p w14:paraId="5DBDF5E6" w14:textId="21F1115E" w:rsidR="00D00EB6" w:rsidRPr="009901FA" w:rsidRDefault="00432BA3" w:rsidP="00432BA3">
      <w:pPr>
        <w:tabs>
          <w:tab w:val="num" w:pos="720"/>
        </w:tabs>
        <w:spacing w:after="200"/>
      </w:pPr>
      <w:r w:rsidRPr="009901FA">
        <w:t>Ultimately, policy must not only enable innovation but also guide strategic deployment, balancing ambition with realism to accelerate the path to net zero.</w:t>
      </w:r>
    </w:p>
    <w:sectPr w:rsidR="00D00EB6" w:rsidRPr="009901FA" w:rsidSect="002F3AEC">
      <w:headerReference w:type="default" r:id="rId162"/>
      <w:footerReference w:type="default" r:id="rId163"/>
      <w:headerReference w:type="first" r:id="rId164"/>
      <w:footerReference w:type="first" r:id="rId165"/>
      <w:pgSz w:w="11906" w:h="16838"/>
      <w:pgMar w:top="1701" w:right="1021" w:bottom="1021" w:left="102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8E8086" w14:textId="77777777" w:rsidR="000C388E" w:rsidRDefault="000C388E" w:rsidP="00632D04">
      <w:pPr>
        <w:spacing w:after="0" w:line="240" w:lineRule="auto"/>
      </w:pPr>
      <w:r>
        <w:separator/>
      </w:r>
    </w:p>
    <w:p w14:paraId="20E55D10" w14:textId="77777777" w:rsidR="000C388E" w:rsidRDefault="000C388E"/>
  </w:endnote>
  <w:endnote w:type="continuationSeparator" w:id="0">
    <w:p w14:paraId="3CB523C7" w14:textId="77777777" w:rsidR="000C388E" w:rsidRDefault="000C388E" w:rsidP="00632D04">
      <w:pPr>
        <w:spacing w:after="0" w:line="240" w:lineRule="auto"/>
      </w:pPr>
      <w:r>
        <w:continuationSeparator/>
      </w:r>
    </w:p>
    <w:p w14:paraId="0C2A4CF5" w14:textId="77777777" w:rsidR="000C388E" w:rsidRDefault="000C388E"/>
  </w:endnote>
  <w:endnote w:type="continuationNotice" w:id="1">
    <w:p w14:paraId="4D400CEF" w14:textId="77777777" w:rsidR="000C388E" w:rsidRDefault="000C388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Nova">
    <w:charset w:val="00"/>
    <w:family w:val="swiss"/>
    <w:pitch w:val="variable"/>
    <w:sig w:usb0="0000028F" w:usb1="00000002"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Yu Gothic UI Light">
    <w:charset w:val="80"/>
    <w:family w:val="swiss"/>
    <w:pitch w:val="variable"/>
    <w:sig w:usb0="E00002FF" w:usb1="2AC7FDFF" w:usb2="00000016" w:usb3="00000000" w:csb0="0002009F" w:csb1="00000000"/>
  </w:font>
  <w:font w:name="Bahnschrift SemiBold">
    <w:panose1 w:val="020B0502040204020203"/>
    <w:charset w:val="00"/>
    <w:family w:val="swiss"/>
    <w:pitch w:val="variable"/>
    <w:sig w:usb0="A00002C7" w:usb1="00000002" w:usb2="00000000" w:usb3="00000000" w:csb0="000001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Plain"/>
      <w:tblW w:w="5000" w:type="pct"/>
      <w:tblLook w:val="04A0" w:firstRow="1" w:lastRow="0" w:firstColumn="1" w:lastColumn="0" w:noHBand="0" w:noVBand="1"/>
    </w:tblPr>
    <w:tblGrid>
      <w:gridCol w:w="6964"/>
      <w:gridCol w:w="2900"/>
    </w:tblGrid>
    <w:tr w:rsidR="00520415" w:rsidRPr="0099621A" w14:paraId="157E4181" w14:textId="77777777" w:rsidTr="00F17DF9">
      <w:tc>
        <w:tcPr>
          <w:tcW w:w="3530" w:type="pct"/>
        </w:tcPr>
        <w:p w14:paraId="18C071AF" w14:textId="77777777" w:rsidR="00520415" w:rsidRPr="0099621A" w:rsidRDefault="00520415">
          <w:pPr>
            <w:pStyle w:val="Footer"/>
            <w:rPr>
              <w:szCs w:val="18"/>
            </w:rPr>
          </w:pPr>
        </w:p>
      </w:tc>
      <w:tc>
        <w:tcPr>
          <w:tcW w:w="1470" w:type="pct"/>
        </w:tcPr>
        <w:p w14:paraId="29D618B3" w14:textId="77777777" w:rsidR="00520415" w:rsidRPr="0099621A" w:rsidRDefault="00625BD8" w:rsidP="000A0FF0">
          <w:pPr>
            <w:pStyle w:val="Footer"/>
            <w:jc w:val="right"/>
            <w:rPr>
              <w:szCs w:val="18"/>
            </w:rPr>
          </w:pPr>
          <w:r w:rsidRPr="00625BD8">
            <w:rPr>
              <w:color w:val="00146D" w:themeColor="text2"/>
              <w:szCs w:val="18"/>
            </w:rPr>
            <w:fldChar w:fldCharType="begin"/>
          </w:r>
          <w:r w:rsidRPr="00625BD8">
            <w:rPr>
              <w:color w:val="00146D" w:themeColor="text2"/>
              <w:szCs w:val="18"/>
            </w:rPr>
            <w:instrText xml:space="preserve"> PAGE   \* MERGEFORMAT </w:instrText>
          </w:r>
          <w:r w:rsidRPr="00625BD8">
            <w:rPr>
              <w:color w:val="00146D" w:themeColor="text2"/>
              <w:szCs w:val="18"/>
            </w:rPr>
            <w:fldChar w:fldCharType="separate"/>
          </w:r>
          <w:r w:rsidRPr="00625BD8">
            <w:rPr>
              <w:noProof/>
              <w:color w:val="00146D" w:themeColor="text2"/>
              <w:szCs w:val="18"/>
            </w:rPr>
            <w:t>1</w:t>
          </w:r>
          <w:r w:rsidRPr="00625BD8">
            <w:rPr>
              <w:noProof/>
              <w:color w:val="00146D" w:themeColor="text2"/>
              <w:szCs w:val="18"/>
            </w:rPr>
            <w:fldChar w:fldCharType="end"/>
          </w:r>
        </w:p>
      </w:tc>
    </w:tr>
  </w:tbl>
  <w:p w14:paraId="27A3A75D" w14:textId="77777777" w:rsidR="00520415" w:rsidRPr="00316537" w:rsidRDefault="00520415" w:rsidP="00747A76">
    <w:pPr>
      <w:pStyle w:val="Foote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Plain"/>
      <w:tblW w:w="5000" w:type="pct"/>
      <w:tblLook w:val="04A0" w:firstRow="1" w:lastRow="0" w:firstColumn="1" w:lastColumn="0" w:noHBand="0" w:noVBand="1"/>
    </w:tblPr>
    <w:tblGrid>
      <w:gridCol w:w="6964"/>
      <w:gridCol w:w="2900"/>
    </w:tblGrid>
    <w:tr w:rsidR="00520415" w:rsidRPr="0099621A" w14:paraId="24CE8BCE" w14:textId="77777777" w:rsidTr="0025385A">
      <w:tc>
        <w:tcPr>
          <w:tcW w:w="3530" w:type="pct"/>
        </w:tcPr>
        <w:p w14:paraId="05CB02C4" w14:textId="77777777" w:rsidR="00520415" w:rsidRPr="0099621A" w:rsidRDefault="00520415" w:rsidP="00520415">
          <w:pPr>
            <w:pStyle w:val="Footer"/>
            <w:rPr>
              <w:szCs w:val="18"/>
            </w:rPr>
          </w:pPr>
        </w:p>
      </w:tc>
      <w:tc>
        <w:tcPr>
          <w:tcW w:w="1470" w:type="pct"/>
        </w:tcPr>
        <w:p w14:paraId="5835D8E4" w14:textId="77777777" w:rsidR="00520415" w:rsidRPr="0099621A" w:rsidRDefault="00520415" w:rsidP="00520415">
          <w:pPr>
            <w:pStyle w:val="Footer"/>
            <w:jc w:val="right"/>
            <w:rPr>
              <w:szCs w:val="18"/>
            </w:rPr>
          </w:pPr>
        </w:p>
      </w:tc>
    </w:tr>
  </w:tbl>
  <w:p w14:paraId="22D623AC" w14:textId="77777777" w:rsidR="00520415" w:rsidRPr="00520415" w:rsidRDefault="00520415" w:rsidP="0052041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573ABC" w14:textId="77777777" w:rsidR="000C388E" w:rsidRDefault="000C388E" w:rsidP="00632D04">
      <w:pPr>
        <w:spacing w:after="0" w:line="240" w:lineRule="auto"/>
      </w:pPr>
      <w:r>
        <w:separator/>
      </w:r>
    </w:p>
    <w:p w14:paraId="69753E0C" w14:textId="77777777" w:rsidR="000C388E" w:rsidRDefault="000C388E"/>
  </w:footnote>
  <w:footnote w:type="continuationSeparator" w:id="0">
    <w:p w14:paraId="3DE383E7" w14:textId="77777777" w:rsidR="000C388E" w:rsidRDefault="000C388E" w:rsidP="00632D04">
      <w:pPr>
        <w:spacing w:after="0" w:line="240" w:lineRule="auto"/>
      </w:pPr>
      <w:r>
        <w:continuationSeparator/>
      </w:r>
    </w:p>
    <w:p w14:paraId="5C47FCC6" w14:textId="77777777" w:rsidR="000C388E" w:rsidRDefault="000C388E"/>
  </w:footnote>
  <w:footnote w:type="continuationNotice" w:id="1">
    <w:p w14:paraId="6808176F" w14:textId="77777777" w:rsidR="000C388E" w:rsidRDefault="000C388E">
      <w:pPr>
        <w:spacing w:after="0" w:line="240" w:lineRule="auto"/>
      </w:pPr>
    </w:p>
  </w:footnote>
  <w:footnote w:id="2">
    <w:p w14:paraId="061644C1" w14:textId="049D80DF" w:rsidR="0056716F" w:rsidRPr="000E0EB1" w:rsidRDefault="0056716F">
      <w:pPr>
        <w:pStyle w:val="FootnoteText"/>
        <w:rPr>
          <w:sz w:val="20"/>
        </w:rPr>
      </w:pPr>
      <w:r w:rsidRPr="000E0EB1">
        <w:rPr>
          <w:rStyle w:val="FootnoteReference"/>
          <w:sz w:val="20"/>
        </w:rPr>
        <w:footnoteRef/>
      </w:r>
      <w:r w:rsidRPr="000E0EB1">
        <w:rPr>
          <w:sz w:val="20"/>
        </w:rPr>
        <w:t xml:space="preserve"> </w:t>
      </w:r>
      <w:r w:rsidR="00BF5AC4" w:rsidRPr="000E0EB1">
        <w:rPr>
          <w:sz w:val="20"/>
        </w:rPr>
        <w:t>Future Cleantech architects (2024) Decarbonizing High-Temperature Heat in Industry</w:t>
      </w:r>
    </w:p>
  </w:footnote>
  <w:footnote w:id="3">
    <w:p w14:paraId="371324AF" w14:textId="77777777" w:rsidR="003A7BD4" w:rsidRPr="000E0EB1" w:rsidRDefault="003A7BD4" w:rsidP="003A7BD4">
      <w:pPr>
        <w:pStyle w:val="FootnoteText"/>
        <w:rPr>
          <w:sz w:val="20"/>
        </w:rPr>
      </w:pPr>
      <w:r w:rsidRPr="000E0EB1">
        <w:rPr>
          <w:rStyle w:val="FootnoteReference"/>
          <w:sz w:val="20"/>
        </w:rPr>
        <w:footnoteRef/>
      </w:r>
      <w:r w:rsidRPr="000E0EB1">
        <w:rPr>
          <w:sz w:val="20"/>
        </w:rPr>
        <w:t xml:space="preserve"> Some energy is lost to surrounding materials, equipment, or the environment via radiation and convection.</w:t>
      </w:r>
    </w:p>
  </w:footnote>
  <w:footnote w:id="4">
    <w:p w14:paraId="6871339B" w14:textId="77777777" w:rsidR="00323296" w:rsidRPr="000E0EB1" w:rsidRDefault="00323296" w:rsidP="00323296">
      <w:pPr>
        <w:pStyle w:val="FootnoteText"/>
        <w:rPr>
          <w:sz w:val="20"/>
        </w:rPr>
      </w:pPr>
      <w:r w:rsidRPr="000E0EB1">
        <w:rPr>
          <w:rStyle w:val="FootnoteReference"/>
          <w:sz w:val="20"/>
        </w:rPr>
        <w:footnoteRef/>
      </w:r>
      <w:r w:rsidRPr="000E0EB1">
        <w:rPr>
          <w:sz w:val="20"/>
        </w:rPr>
        <w:t xml:space="preserve"> Based on shockwave technology compared against conventional gas burners for e-crackers BloombergNEF (2022), </w:t>
      </w:r>
      <w:r w:rsidRPr="000E0EB1">
        <w:rPr>
          <w:i/>
          <w:iCs/>
          <w:sz w:val="20"/>
        </w:rPr>
        <w:t xml:space="preserve">Decarbonising petrochemicals. </w:t>
      </w:r>
      <w:hyperlink r:id="rId1" w:history="1">
        <w:r w:rsidRPr="000E0EB1">
          <w:rPr>
            <w:rStyle w:val="Hyperlink"/>
            <w:sz w:val="20"/>
          </w:rPr>
          <w:t xml:space="preserve">Center for Global Commons &amp; Systemiq </w:t>
        </w:r>
      </w:hyperlink>
      <w:r w:rsidRPr="000E0EB1">
        <w:rPr>
          <w:sz w:val="20"/>
        </w:rPr>
        <w:t xml:space="preserve">(2022), </w:t>
      </w:r>
      <w:r w:rsidRPr="000E0EB1">
        <w:rPr>
          <w:i/>
          <w:iCs/>
          <w:sz w:val="20"/>
        </w:rPr>
        <w:t>Planet Positive Chemicals.</w:t>
      </w:r>
    </w:p>
  </w:footnote>
  <w:footnote w:id="5">
    <w:p w14:paraId="72624CAB" w14:textId="748A4F14" w:rsidR="00D6646A" w:rsidRPr="000E0EB1" w:rsidRDefault="00D6646A">
      <w:pPr>
        <w:pStyle w:val="FootnoteText"/>
        <w:rPr>
          <w:i/>
          <w:iCs/>
          <w:sz w:val="20"/>
        </w:rPr>
      </w:pPr>
      <w:r w:rsidRPr="000E0EB1">
        <w:rPr>
          <w:rStyle w:val="FootnoteReference"/>
          <w:sz w:val="20"/>
        </w:rPr>
        <w:footnoteRef/>
      </w:r>
      <w:r w:rsidRPr="000E0EB1">
        <w:rPr>
          <w:sz w:val="20"/>
        </w:rPr>
        <w:t xml:space="preserve"> Future Clean Architects (2024) </w:t>
      </w:r>
      <w:r w:rsidR="00AB3638" w:rsidRPr="000E0EB1">
        <w:rPr>
          <w:sz w:val="20"/>
        </w:rPr>
        <w:t>Decarbonizing high-temperature heat in industry</w:t>
      </w:r>
    </w:p>
  </w:footnote>
  <w:footnote w:id="6">
    <w:p w14:paraId="38EDE47E" w14:textId="4A342707" w:rsidR="00625876" w:rsidRPr="000E0EB1" w:rsidRDefault="00625876">
      <w:pPr>
        <w:pStyle w:val="FootnoteText"/>
        <w:rPr>
          <w:sz w:val="20"/>
        </w:rPr>
      </w:pPr>
      <w:r w:rsidRPr="000E0EB1">
        <w:rPr>
          <w:rStyle w:val="FootnoteReference"/>
          <w:sz w:val="20"/>
        </w:rPr>
        <w:footnoteRef/>
      </w:r>
      <w:r w:rsidRPr="000E0EB1">
        <w:rPr>
          <w:sz w:val="20"/>
        </w:rPr>
        <w:t xml:space="preserve"> Burman T and Engvall J (2021) Evaluation of usage of plasma torches in cement production</w:t>
      </w:r>
    </w:p>
  </w:footnote>
  <w:footnote w:id="7">
    <w:p w14:paraId="257AC5C3" w14:textId="3EA73031" w:rsidR="007D416B" w:rsidRPr="000E0EB1" w:rsidRDefault="007D416B">
      <w:pPr>
        <w:pStyle w:val="FootnoteText"/>
        <w:rPr>
          <w:sz w:val="20"/>
        </w:rPr>
      </w:pPr>
      <w:r w:rsidRPr="000E0EB1">
        <w:rPr>
          <w:rStyle w:val="FootnoteReference"/>
          <w:sz w:val="20"/>
        </w:rPr>
        <w:footnoteRef/>
      </w:r>
      <w:r w:rsidRPr="000E0EB1">
        <w:rPr>
          <w:sz w:val="20"/>
        </w:rPr>
        <w:t xml:space="preserve"> </w:t>
      </w:r>
      <w:r w:rsidR="005C6364" w:rsidRPr="000E0EB1">
        <w:rPr>
          <w:sz w:val="20"/>
        </w:rPr>
        <w:t>Tatič Miroslav, Lukáč Ladislav, Kizek Ján: New Generation of Refractories for Rotary Cement Kiln, Advance in Thermal Processes and Energy Transformation Volume 5, No.4 (2022), p. 69-77, ISSN 2585-9102.</w:t>
      </w:r>
    </w:p>
  </w:footnote>
  <w:footnote w:id="8">
    <w:p w14:paraId="31F10DCB" w14:textId="201DF3BF" w:rsidR="00293805" w:rsidRPr="000E0EB1" w:rsidRDefault="00293805">
      <w:pPr>
        <w:pStyle w:val="FootnoteText"/>
        <w:rPr>
          <w:sz w:val="20"/>
        </w:rPr>
      </w:pPr>
      <w:r w:rsidRPr="000E0EB1">
        <w:rPr>
          <w:rStyle w:val="FootnoteReference"/>
          <w:sz w:val="20"/>
        </w:rPr>
        <w:footnoteRef/>
      </w:r>
      <w:r w:rsidRPr="000E0EB1">
        <w:rPr>
          <w:sz w:val="20"/>
        </w:rPr>
        <w:t xml:space="preserve"> Wiencke, J. et al., </w:t>
      </w:r>
      <w:r w:rsidRPr="000E0EB1">
        <w:rPr>
          <w:i/>
          <w:iCs/>
          <w:sz w:val="20"/>
        </w:rPr>
        <w:t>Electrolysis of iron in a molten oxide electrolyte</w:t>
      </w:r>
      <w:r w:rsidRPr="000E0EB1">
        <w:rPr>
          <w:sz w:val="20"/>
        </w:rPr>
        <w:t>, </w:t>
      </w:r>
      <w:r w:rsidRPr="000E0EB1">
        <w:rPr>
          <w:i/>
          <w:iCs/>
          <w:sz w:val="20"/>
        </w:rPr>
        <w:t>Journal of Applied Electrochemistry</w:t>
      </w:r>
      <w:r w:rsidRPr="000E0EB1">
        <w:rPr>
          <w:sz w:val="20"/>
        </w:rPr>
        <w:t>, 2018 </w:t>
      </w:r>
    </w:p>
  </w:footnote>
  <w:footnote w:id="9">
    <w:p w14:paraId="3DA82B47" w14:textId="096E8CE1" w:rsidR="000B116D" w:rsidRPr="000E0EB1" w:rsidRDefault="000B116D" w:rsidP="00AA05CF">
      <w:pPr>
        <w:pStyle w:val="FootnoteText"/>
        <w:rPr>
          <w:sz w:val="20"/>
        </w:rPr>
      </w:pPr>
      <w:r w:rsidRPr="000E0EB1">
        <w:rPr>
          <w:rStyle w:val="FootnoteReference"/>
          <w:sz w:val="20"/>
        </w:rPr>
        <w:footnoteRef/>
      </w:r>
      <w:r w:rsidRPr="000E0EB1">
        <w:rPr>
          <w:sz w:val="20"/>
        </w:rPr>
        <w:t xml:space="preserve"> </w:t>
      </w:r>
      <w:r w:rsidR="00AA05CF" w:rsidRPr="000E0EB1">
        <w:rPr>
          <w:sz w:val="20"/>
        </w:rPr>
        <w:t>ETC analysis based on IEA (2024), Global EV Outlook 2024, and BNEF (2024) China Already Makes as Many Batteries as the  Entire World Wants.</w:t>
      </w:r>
    </w:p>
  </w:footnote>
  <w:footnote w:id="10">
    <w:p w14:paraId="1EF696CA" w14:textId="5D3FAF9B" w:rsidR="00364010" w:rsidRPr="000E0EB1" w:rsidRDefault="00364010" w:rsidP="00364010">
      <w:pPr>
        <w:pStyle w:val="FootnoteText"/>
        <w:rPr>
          <w:sz w:val="20"/>
        </w:rPr>
      </w:pPr>
      <w:r w:rsidRPr="000E0EB1">
        <w:rPr>
          <w:rStyle w:val="FootnoteReference"/>
          <w:sz w:val="20"/>
        </w:rPr>
        <w:footnoteRef/>
      </w:r>
      <w:r w:rsidRPr="000E0EB1">
        <w:rPr>
          <w:sz w:val="20"/>
        </w:rPr>
        <w:t xml:space="preserve"> </w:t>
      </w:r>
      <w:r w:rsidR="009777FE" w:rsidRPr="000E0EB1">
        <w:rPr>
          <w:sz w:val="20"/>
        </w:rPr>
        <w:fldChar w:fldCharType="begin"/>
      </w:r>
      <w:r w:rsidR="009777FE" w:rsidRPr="000E0EB1">
        <w:rPr>
          <w:sz w:val="20"/>
        </w:rPr>
        <w:instrText xml:space="preserve"> REF _Ref203747782 \h  \* MERGEFORMAT </w:instrText>
      </w:r>
      <w:r w:rsidR="009777FE" w:rsidRPr="000E0EB1">
        <w:rPr>
          <w:sz w:val="20"/>
        </w:rPr>
      </w:r>
      <w:r w:rsidR="009777FE" w:rsidRPr="000E0EB1">
        <w:rPr>
          <w:sz w:val="20"/>
        </w:rPr>
        <w:fldChar w:fldCharType="separate"/>
      </w:r>
      <w:r w:rsidR="009777FE" w:rsidRPr="000E0EB1">
        <w:rPr>
          <w:sz w:val="20"/>
        </w:rPr>
        <w:t xml:space="preserve">Exhibit </w:t>
      </w:r>
      <w:r w:rsidR="009777FE" w:rsidRPr="000E0EB1">
        <w:rPr>
          <w:noProof/>
          <w:sz w:val="20"/>
        </w:rPr>
        <w:t>2</w:t>
      </w:r>
      <w:r w:rsidR="009777FE" w:rsidRPr="000E0EB1">
        <w:rPr>
          <w:sz w:val="20"/>
        </w:rPr>
        <w:t>.</w:t>
      </w:r>
      <w:r w:rsidR="009777FE" w:rsidRPr="000E0EB1">
        <w:rPr>
          <w:noProof/>
          <w:sz w:val="20"/>
        </w:rPr>
        <w:t>5</w:t>
      </w:r>
      <w:r w:rsidR="009777FE" w:rsidRPr="000E0EB1">
        <w:rPr>
          <w:sz w:val="20"/>
        </w:rPr>
        <w:fldChar w:fldCharType="end"/>
      </w:r>
      <w:r w:rsidR="009777FE" w:rsidRPr="000E0EB1">
        <w:rPr>
          <w:sz w:val="20"/>
        </w:rPr>
        <w:t xml:space="preserve"> </w:t>
      </w:r>
      <w:r w:rsidRPr="000E0EB1">
        <w:rPr>
          <w:sz w:val="20"/>
        </w:rPr>
        <w:t xml:space="preserve">based on RMI. (2023). X-Change: Batteries. The Battery Domino Effect. Available online. </w:t>
      </w:r>
    </w:p>
  </w:footnote>
  <w:footnote w:id="11">
    <w:p w14:paraId="750395BA" w14:textId="77777777" w:rsidR="00364010" w:rsidRPr="000E0EB1" w:rsidRDefault="00364010" w:rsidP="00364010">
      <w:pPr>
        <w:pStyle w:val="FootnoteText"/>
        <w:rPr>
          <w:sz w:val="20"/>
        </w:rPr>
      </w:pPr>
      <w:r w:rsidRPr="000E0EB1">
        <w:rPr>
          <w:rStyle w:val="FootnoteReference"/>
          <w:sz w:val="20"/>
        </w:rPr>
        <w:footnoteRef/>
      </w:r>
      <w:r w:rsidRPr="000E0EB1">
        <w:rPr>
          <w:sz w:val="20"/>
        </w:rPr>
        <w:t xml:space="preserve"> Wang et al. (2023) Advances in solid-state batteries: Materials, interfaces, characterizations, and devices. MRS Bulletin 48. </w:t>
      </w:r>
    </w:p>
  </w:footnote>
  <w:footnote w:id="12">
    <w:p w14:paraId="6EFE3A38" w14:textId="7B38184D" w:rsidR="00036A98" w:rsidRPr="000E0EB1" w:rsidRDefault="00036A98">
      <w:pPr>
        <w:pStyle w:val="FootnoteText"/>
        <w:rPr>
          <w:sz w:val="20"/>
        </w:rPr>
      </w:pPr>
      <w:r w:rsidRPr="000E0EB1">
        <w:rPr>
          <w:rStyle w:val="FootnoteReference"/>
          <w:sz w:val="20"/>
        </w:rPr>
        <w:footnoteRef/>
      </w:r>
      <w:r w:rsidRPr="000E0EB1">
        <w:rPr>
          <w:sz w:val="20"/>
        </w:rPr>
        <w:t xml:space="preserve"> </w:t>
      </w:r>
      <w:r w:rsidR="00C03BFD" w:rsidRPr="000E0EB1">
        <w:rPr>
          <w:sz w:val="20"/>
        </w:rPr>
        <w:t>Based on historical learning rates</w:t>
      </w:r>
    </w:p>
  </w:footnote>
  <w:footnote w:id="13">
    <w:p w14:paraId="16D0060F" w14:textId="77777777" w:rsidR="009C6BB6" w:rsidRPr="000E0EB1" w:rsidRDefault="009C6BB6" w:rsidP="009C6BB6">
      <w:pPr>
        <w:pStyle w:val="FootnoteText"/>
        <w:rPr>
          <w:sz w:val="20"/>
        </w:rPr>
      </w:pPr>
      <w:r w:rsidRPr="000E0EB1">
        <w:rPr>
          <w:rStyle w:val="FootnoteReference"/>
          <w:sz w:val="20"/>
        </w:rPr>
        <w:footnoteRef/>
      </w:r>
      <w:r w:rsidRPr="000E0EB1">
        <w:rPr>
          <w:sz w:val="20"/>
        </w:rPr>
        <w:t xml:space="preserve"> Goldman Sachs (2024) Electric vehicle battery prices are expected to fall almost 50% by 2026, based on company data, Wood Mackenzie, SNE Research, Goldman Sachs; BNEF (2024) 2023 Lithium-Ion Battery Price survey,  BNEF (2024) New Energy Outlook; Fraunhofer ISI (2024) Solid-state batteries roadmap 2035+, Alkahidli et al. (2024) Solid-state batteries, their future in the energy storage and electric vehicles market</w:t>
      </w:r>
    </w:p>
  </w:footnote>
  <w:footnote w:id="14">
    <w:p w14:paraId="20D9A3ED" w14:textId="77777777" w:rsidR="009C6BB6" w:rsidRPr="000E0EB1" w:rsidRDefault="009C6BB6" w:rsidP="009C6BB6">
      <w:pPr>
        <w:pStyle w:val="FootnoteText"/>
        <w:rPr>
          <w:sz w:val="20"/>
        </w:rPr>
      </w:pPr>
      <w:r w:rsidRPr="000E0EB1">
        <w:rPr>
          <w:rStyle w:val="FootnoteReference"/>
          <w:sz w:val="20"/>
        </w:rPr>
        <w:footnoteRef/>
      </w:r>
      <w:r w:rsidRPr="000E0EB1">
        <w:rPr>
          <w:sz w:val="20"/>
        </w:rPr>
        <w:t xml:space="preserve"> Kersey et al. (2022) </w:t>
      </w:r>
    </w:p>
  </w:footnote>
  <w:footnote w:id="15">
    <w:p w14:paraId="5086B8FE" w14:textId="06C12849" w:rsidR="003A0E41" w:rsidRPr="000E0EB1" w:rsidRDefault="003A0E41">
      <w:pPr>
        <w:pStyle w:val="FootnoteText"/>
        <w:rPr>
          <w:sz w:val="20"/>
        </w:rPr>
      </w:pPr>
      <w:r w:rsidRPr="000E0EB1">
        <w:rPr>
          <w:rStyle w:val="FootnoteReference"/>
          <w:sz w:val="20"/>
        </w:rPr>
        <w:footnoteRef/>
      </w:r>
      <w:r w:rsidRPr="000E0EB1">
        <w:rPr>
          <w:sz w:val="20"/>
        </w:rPr>
        <w:t xml:space="preserve"> </w:t>
      </w:r>
      <w:r w:rsidR="00D26EC6" w:rsidRPr="000E0EB1">
        <w:rPr>
          <w:sz w:val="20"/>
        </w:rPr>
        <w:t>Segal, S (2021) The viability of electric aircraft</w:t>
      </w:r>
    </w:p>
  </w:footnote>
  <w:footnote w:id="16">
    <w:p w14:paraId="2237B4D9" w14:textId="77777777" w:rsidR="00AE6708" w:rsidRPr="000E0EB1" w:rsidRDefault="00263D3C" w:rsidP="00AE6708">
      <w:pPr>
        <w:pStyle w:val="FootnoteText"/>
        <w:rPr>
          <w:sz w:val="20"/>
        </w:rPr>
      </w:pPr>
      <w:r w:rsidRPr="000E0EB1">
        <w:rPr>
          <w:rStyle w:val="FootnoteReference"/>
          <w:sz w:val="20"/>
        </w:rPr>
        <w:footnoteRef/>
      </w:r>
      <w:r w:rsidRPr="000E0EB1">
        <w:rPr>
          <w:sz w:val="20"/>
        </w:rPr>
        <w:t xml:space="preserve"> </w:t>
      </w:r>
      <w:r w:rsidR="009F6881" w:rsidRPr="000E0EB1">
        <w:rPr>
          <w:sz w:val="20"/>
        </w:rPr>
        <w:t>Clements K</w:t>
      </w:r>
      <w:r w:rsidR="008C3D7C" w:rsidRPr="000E0EB1">
        <w:rPr>
          <w:sz w:val="20"/>
        </w:rPr>
        <w:t xml:space="preserve"> (</w:t>
      </w:r>
      <w:r w:rsidR="009F6881" w:rsidRPr="000E0EB1">
        <w:rPr>
          <w:sz w:val="20"/>
        </w:rPr>
        <w:t>2025</w:t>
      </w:r>
      <w:r w:rsidR="008C3D7C" w:rsidRPr="000E0EB1">
        <w:rPr>
          <w:sz w:val="20"/>
        </w:rPr>
        <w:t>)</w:t>
      </w:r>
      <w:r w:rsidR="009F6881" w:rsidRPr="000E0EB1">
        <w:rPr>
          <w:sz w:val="20"/>
        </w:rPr>
        <w:t xml:space="preserve"> </w:t>
      </w:r>
      <w:r w:rsidR="008C3D7C" w:rsidRPr="000E0EB1">
        <w:rPr>
          <w:sz w:val="20"/>
        </w:rPr>
        <w:t xml:space="preserve">Electrifying Flight: Electric Aircraft Technology Takes Off—And Lands, and </w:t>
      </w:r>
      <w:r w:rsidR="00AE6708" w:rsidRPr="000E0EB1">
        <w:rPr>
          <w:sz w:val="20"/>
        </w:rPr>
        <w:t>Garay, E (2022) Electric Planes Are Coming Sooner Than You Think</w:t>
      </w:r>
    </w:p>
    <w:p w14:paraId="163A53B2" w14:textId="4E21A812" w:rsidR="008C3D7C" w:rsidRPr="000E0EB1" w:rsidRDefault="008C3D7C" w:rsidP="008C3D7C">
      <w:pPr>
        <w:pStyle w:val="FootnoteText"/>
        <w:rPr>
          <w:sz w:val="20"/>
        </w:rPr>
      </w:pPr>
    </w:p>
    <w:p w14:paraId="704B3C24" w14:textId="56A99DEB" w:rsidR="00263D3C" w:rsidRPr="000E0EB1" w:rsidRDefault="00263D3C">
      <w:pPr>
        <w:pStyle w:val="FootnoteText"/>
        <w:rPr>
          <w:sz w:val="20"/>
        </w:rPr>
      </w:pPr>
    </w:p>
  </w:footnote>
  <w:footnote w:id="17">
    <w:p w14:paraId="59C46321" w14:textId="1FAB48A3" w:rsidR="00610557" w:rsidRPr="000E0EB1" w:rsidRDefault="00610557">
      <w:pPr>
        <w:pStyle w:val="FootnoteText"/>
        <w:rPr>
          <w:sz w:val="20"/>
        </w:rPr>
      </w:pPr>
      <w:r w:rsidRPr="000E0EB1">
        <w:rPr>
          <w:rStyle w:val="FootnoteReference"/>
          <w:sz w:val="20"/>
        </w:rPr>
        <w:footnoteRef/>
      </w:r>
      <w:r w:rsidRPr="000E0EB1">
        <w:rPr>
          <w:sz w:val="20"/>
        </w:rPr>
        <w:t xml:space="preserve"> </w:t>
      </w:r>
      <w:r w:rsidR="000A24D9" w:rsidRPr="000E0EB1">
        <w:rPr>
          <w:sz w:val="20"/>
        </w:rPr>
        <w:t>Patel, P (2024) Sodium-Ion Batteries Poised to Pick Off Large-Scale Lithium-Ion Applications</w:t>
      </w:r>
    </w:p>
  </w:footnote>
  <w:footnote w:id="18">
    <w:p w14:paraId="2F921AE6" w14:textId="2AAC5451" w:rsidR="00A51D90" w:rsidRPr="000E0EB1" w:rsidRDefault="00A51D90">
      <w:pPr>
        <w:pStyle w:val="FootnoteText"/>
        <w:rPr>
          <w:sz w:val="20"/>
        </w:rPr>
      </w:pPr>
      <w:r w:rsidRPr="000E0EB1">
        <w:rPr>
          <w:rStyle w:val="FootnoteReference"/>
          <w:sz w:val="20"/>
        </w:rPr>
        <w:footnoteRef/>
      </w:r>
      <w:r w:rsidRPr="000E0EB1">
        <w:rPr>
          <w:sz w:val="20"/>
        </w:rPr>
        <w:t xml:space="preserve"> </w:t>
      </w:r>
      <w:r w:rsidR="00C03B60" w:rsidRPr="000E0EB1">
        <w:rPr>
          <w:sz w:val="20"/>
        </w:rPr>
        <w:t xml:space="preserve">CATL (2025) </w:t>
      </w:r>
      <w:r w:rsidR="00821A12" w:rsidRPr="000E0EB1">
        <w:rPr>
          <w:sz w:val="20"/>
        </w:rPr>
        <w:t>Naxtra Battery Breakthrough &amp; Dual-Power Architecture: CATL Pioneers the Multi-Power Era</w:t>
      </w:r>
    </w:p>
  </w:footnote>
  <w:footnote w:id="19">
    <w:p w14:paraId="61251228" w14:textId="7EBC6A78" w:rsidR="00A51D90" w:rsidRPr="000E0EB1" w:rsidRDefault="00A51D90">
      <w:pPr>
        <w:pStyle w:val="FootnoteText"/>
        <w:rPr>
          <w:sz w:val="20"/>
        </w:rPr>
      </w:pPr>
      <w:r w:rsidRPr="000E0EB1">
        <w:rPr>
          <w:rStyle w:val="FootnoteReference"/>
          <w:sz w:val="20"/>
        </w:rPr>
        <w:footnoteRef/>
      </w:r>
      <w:r w:rsidRPr="000E0EB1">
        <w:rPr>
          <w:rStyle w:val="FootnoteReference"/>
          <w:sz w:val="20"/>
        </w:rPr>
        <w:t xml:space="preserve"> </w:t>
      </w:r>
      <w:r w:rsidR="00EE7455" w:rsidRPr="000E0EB1">
        <w:rPr>
          <w:sz w:val="20"/>
        </w:rPr>
        <w:t xml:space="preserve"> Vaalma, C., et al (2018) </w:t>
      </w:r>
      <w:r w:rsidR="000D223A" w:rsidRPr="000E0EB1">
        <w:rPr>
          <w:sz w:val="20"/>
        </w:rPr>
        <w:t>A cost and resource analysis of sodium-ion batteries</w:t>
      </w:r>
    </w:p>
  </w:footnote>
  <w:footnote w:id="20">
    <w:p w14:paraId="041303DA" w14:textId="54403BF0" w:rsidR="00264BFD" w:rsidRPr="000E0EB1" w:rsidRDefault="00264BFD">
      <w:pPr>
        <w:pStyle w:val="FootnoteText"/>
        <w:rPr>
          <w:sz w:val="20"/>
        </w:rPr>
      </w:pPr>
      <w:r w:rsidRPr="000E0EB1">
        <w:rPr>
          <w:rStyle w:val="FootnoteReference"/>
          <w:sz w:val="20"/>
        </w:rPr>
        <w:footnoteRef/>
      </w:r>
      <w:r w:rsidRPr="000E0EB1">
        <w:rPr>
          <w:sz w:val="20"/>
        </w:rPr>
        <w:t xml:space="preserve"> </w:t>
      </w:r>
      <w:r w:rsidR="00D82167" w:rsidRPr="000E0EB1">
        <w:rPr>
          <w:sz w:val="20"/>
        </w:rPr>
        <w:t>Yao</w:t>
      </w:r>
      <w:r w:rsidR="00470BEA" w:rsidRPr="000E0EB1">
        <w:rPr>
          <w:sz w:val="20"/>
        </w:rPr>
        <w:t>,</w:t>
      </w:r>
      <w:r w:rsidR="00D82167" w:rsidRPr="000E0EB1">
        <w:rPr>
          <w:sz w:val="20"/>
        </w:rPr>
        <w:t xml:space="preserve"> A</w:t>
      </w:r>
      <w:r w:rsidR="00470BEA" w:rsidRPr="000E0EB1">
        <w:rPr>
          <w:sz w:val="20"/>
        </w:rPr>
        <w:t>,</w:t>
      </w:r>
      <w:r w:rsidR="00D82167" w:rsidRPr="000E0EB1">
        <w:rPr>
          <w:sz w:val="20"/>
        </w:rPr>
        <w:t xml:space="preserve"> et, al (2024) </w:t>
      </w:r>
      <w:r w:rsidR="00470BEA" w:rsidRPr="000E0EB1">
        <w:rPr>
          <w:sz w:val="20"/>
        </w:rPr>
        <w:t>Critically assessing sodium-ion technology roadmaps and scenarios for techno-economic competitiveness against lithium-ion batteries</w:t>
      </w:r>
    </w:p>
  </w:footnote>
  <w:footnote w:id="21">
    <w:p w14:paraId="0C0297AF" w14:textId="77777777" w:rsidR="00FB383C" w:rsidRPr="000E0EB1" w:rsidRDefault="00FB383C" w:rsidP="00FB383C">
      <w:pPr>
        <w:pStyle w:val="FootnoteText"/>
        <w:rPr>
          <w:sz w:val="20"/>
        </w:rPr>
      </w:pPr>
      <w:r w:rsidRPr="000E0EB1">
        <w:rPr>
          <w:rStyle w:val="FootnoteReference"/>
          <w:sz w:val="20"/>
        </w:rPr>
        <w:footnoteRef/>
      </w:r>
      <w:r w:rsidRPr="000E0EB1">
        <w:rPr>
          <w:sz w:val="20"/>
        </w:rPr>
        <w:t xml:space="preserve"> IEA (2024) World Energy Investment 2024. </w:t>
      </w:r>
    </w:p>
  </w:footnote>
  <w:footnote w:id="22">
    <w:p w14:paraId="71F79FE5" w14:textId="77777777" w:rsidR="00626EC6" w:rsidRPr="000E0EB1" w:rsidRDefault="00626EC6" w:rsidP="00626EC6">
      <w:pPr>
        <w:pStyle w:val="FootnoteText"/>
        <w:rPr>
          <w:sz w:val="20"/>
        </w:rPr>
      </w:pPr>
      <w:r w:rsidRPr="000E0EB1">
        <w:rPr>
          <w:rStyle w:val="FootnoteReference"/>
          <w:sz w:val="20"/>
        </w:rPr>
        <w:footnoteRef/>
      </w:r>
      <w:r w:rsidRPr="000E0EB1">
        <w:rPr>
          <w:sz w:val="20"/>
        </w:rPr>
        <w:t xml:space="preserve"> Black, G. A., et al., (2019) Economic Viability of Light Water Small Modular Nuclear Reactors: General Methodology and Vendor Data</w:t>
      </w:r>
    </w:p>
  </w:footnote>
  <w:footnote w:id="23">
    <w:p w14:paraId="6CBCEB0B" w14:textId="77777777" w:rsidR="00AF3149" w:rsidRPr="000E0EB1" w:rsidRDefault="00AF3149" w:rsidP="00AF3149">
      <w:pPr>
        <w:pStyle w:val="FootnoteText"/>
        <w:rPr>
          <w:sz w:val="20"/>
        </w:rPr>
      </w:pPr>
      <w:r w:rsidRPr="000E0EB1">
        <w:rPr>
          <w:rStyle w:val="FootnoteReference"/>
          <w:sz w:val="20"/>
        </w:rPr>
        <w:footnoteRef/>
      </w:r>
      <w:r w:rsidRPr="000E0EB1">
        <w:rPr>
          <w:sz w:val="20"/>
        </w:rPr>
        <w:t xml:space="preserve"> Future Power Technology (2023) The future of nuclear: France’s nuclear dreams or nightmares?</w:t>
      </w:r>
    </w:p>
  </w:footnote>
  <w:footnote w:id="24">
    <w:p w14:paraId="7854C57B" w14:textId="77777777" w:rsidR="00426201" w:rsidRPr="000E0EB1" w:rsidRDefault="00426201" w:rsidP="00426201">
      <w:pPr>
        <w:pStyle w:val="FootnoteText"/>
        <w:rPr>
          <w:sz w:val="20"/>
        </w:rPr>
      </w:pPr>
      <w:r w:rsidRPr="000E0EB1">
        <w:rPr>
          <w:rStyle w:val="FootnoteReference"/>
          <w:sz w:val="20"/>
        </w:rPr>
        <w:footnoteRef/>
      </w:r>
      <w:r w:rsidRPr="000E0EB1">
        <w:rPr>
          <w:sz w:val="20"/>
        </w:rPr>
        <w:t xml:space="preserve"> IES (2023) Literature Review of Advanced Reactor Costs Estimates</w:t>
      </w:r>
    </w:p>
  </w:footnote>
  <w:footnote w:id="25">
    <w:p w14:paraId="04D139A1" w14:textId="78F300D2" w:rsidR="0075479F" w:rsidRPr="000E0EB1" w:rsidRDefault="0075479F">
      <w:pPr>
        <w:pStyle w:val="FootnoteText"/>
        <w:rPr>
          <w:sz w:val="20"/>
        </w:rPr>
      </w:pPr>
      <w:r w:rsidRPr="000E0EB1">
        <w:rPr>
          <w:rStyle w:val="FootnoteReference"/>
          <w:sz w:val="20"/>
        </w:rPr>
        <w:footnoteRef/>
      </w:r>
      <w:r w:rsidRPr="000E0EB1">
        <w:rPr>
          <w:sz w:val="20"/>
        </w:rPr>
        <w:t xml:space="preserve"> </w:t>
      </w:r>
      <w:r w:rsidR="003F75A9" w:rsidRPr="000E0EB1">
        <w:rPr>
          <w:sz w:val="20"/>
        </w:rPr>
        <w:t>IEA (2023), World Energy Outlook 2023; IEA (2021), World Energy Outlook 2021; Hydrogen insights (2024), 'Getting to net zero will need nearly a quarter less clean hydrogen than we initially predicted': BNEF; Hydrogen insights (2023), Half of all clean hydrogen produced globally could be transported long-distance by 2030, says Hydrogen Council</w:t>
      </w:r>
    </w:p>
  </w:footnote>
  <w:footnote w:id="26">
    <w:p w14:paraId="7BD07D85" w14:textId="77777777" w:rsidR="00BF624E" w:rsidRPr="005D055A" w:rsidRDefault="00BF624E" w:rsidP="00BF624E">
      <w:pPr>
        <w:pStyle w:val="FootnoteText"/>
        <w:rPr>
          <w:i/>
          <w:iCs/>
        </w:rPr>
      </w:pPr>
      <w:r>
        <w:rPr>
          <w:rStyle w:val="FootnoteReference"/>
        </w:rPr>
        <w:footnoteRef/>
      </w:r>
      <w:r w:rsidRPr="005D055A">
        <w:t xml:space="preserve"> </w:t>
      </w:r>
      <w:hyperlink r:id="rId2" w:history="1">
        <w:r w:rsidRPr="005D055A">
          <w:rPr>
            <w:rStyle w:val="Hyperlink"/>
          </w:rPr>
          <w:t>https://www.science.org/doi/10.1126/sciadv.ado0955</w:t>
        </w:r>
      </w:hyperlink>
      <w:r w:rsidRPr="005D055A">
        <w:t xml:space="preserve"> Geoffrey Ellis and</w:t>
      </w:r>
      <w:r>
        <w:t xml:space="preserve"> Sarah Gelman , </w:t>
      </w:r>
      <w:r w:rsidRPr="005D055A">
        <w:rPr>
          <w:i/>
          <w:iCs/>
        </w:rPr>
        <w:t xml:space="preserve">Model predictions of global geological hydrogen resources </w:t>
      </w:r>
    </w:p>
  </w:footnote>
  <w:footnote w:id="27">
    <w:p w14:paraId="7A4F4566" w14:textId="00A71025" w:rsidR="002A0B44" w:rsidRPr="000E0EB1" w:rsidRDefault="002A0B44">
      <w:pPr>
        <w:pStyle w:val="FootnoteText"/>
        <w:rPr>
          <w:b/>
          <w:bCs/>
          <w:sz w:val="20"/>
        </w:rPr>
      </w:pPr>
      <w:r w:rsidRPr="000E0EB1">
        <w:rPr>
          <w:rStyle w:val="FootnoteReference"/>
          <w:sz w:val="20"/>
        </w:rPr>
        <w:footnoteRef/>
      </w:r>
      <w:r w:rsidRPr="000E0EB1">
        <w:rPr>
          <w:sz w:val="20"/>
        </w:rPr>
        <w:t xml:space="preserve"> Hydrogen insight (2023) US offers $20m in funding for technology to improve natural-hydrogen exploration and extraction</w:t>
      </w:r>
    </w:p>
  </w:footnote>
  <w:footnote w:id="28">
    <w:p w14:paraId="5A3032CA" w14:textId="6A25EDF5" w:rsidR="00964E02" w:rsidRPr="000E0EB1" w:rsidRDefault="00964E02" w:rsidP="00964E02">
      <w:pPr>
        <w:pStyle w:val="FootnoteText"/>
        <w:rPr>
          <w:sz w:val="20"/>
        </w:rPr>
      </w:pPr>
      <w:r w:rsidRPr="000E0EB1">
        <w:rPr>
          <w:rStyle w:val="FootnoteReference"/>
          <w:sz w:val="20"/>
        </w:rPr>
        <w:footnoteRef/>
      </w:r>
      <w:r w:rsidRPr="000E0EB1">
        <w:rPr>
          <w:sz w:val="20"/>
        </w:rPr>
        <w:t xml:space="preserve"> Hydrogen insight (</w:t>
      </w:r>
      <w:r w:rsidR="005E3C18" w:rsidRPr="000E0EB1">
        <w:rPr>
          <w:sz w:val="20"/>
        </w:rPr>
        <w:t>2024) A new gold rush | There are now 40 companies searching for natural hydrogen deposits — up from ten in 2020</w:t>
      </w:r>
    </w:p>
  </w:footnote>
  <w:footnote w:id="29">
    <w:p w14:paraId="56087FE6" w14:textId="77777777" w:rsidR="00940FCC" w:rsidRPr="000E0EB1" w:rsidRDefault="00940FCC" w:rsidP="00940FCC">
      <w:pPr>
        <w:pStyle w:val="FootnoteText"/>
        <w:rPr>
          <w:sz w:val="20"/>
        </w:rPr>
      </w:pPr>
      <w:r w:rsidRPr="000E0EB1">
        <w:rPr>
          <w:rStyle w:val="FootnoteReference"/>
          <w:sz w:val="20"/>
        </w:rPr>
        <w:footnoteRef/>
      </w:r>
      <w:r w:rsidRPr="000E0EB1">
        <w:rPr>
          <w:sz w:val="20"/>
        </w:rPr>
        <w:t xml:space="preserve"> IEA (2024) ETP Clean Energy Technology Guide</w:t>
      </w:r>
    </w:p>
  </w:footnote>
  <w:footnote w:id="30">
    <w:p w14:paraId="6438BFC6" w14:textId="77777777" w:rsidR="00663E85" w:rsidRPr="000E0EB1" w:rsidRDefault="00663E85" w:rsidP="00663E85">
      <w:pPr>
        <w:pStyle w:val="FootnoteText"/>
        <w:rPr>
          <w:sz w:val="20"/>
        </w:rPr>
      </w:pPr>
      <w:r w:rsidRPr="000E0EB1">
        <w:rPr>
          <w:rStyle w:val="FootnoteReference"/>
          <w:sz w:val="20"/>
        </w:rPr>
        <w:footnoteRef/>
      </w:r>
      <w:r w:rsidRPr="000E0EB1">
        <w:rPr>
          <w:sz w:val="20"/>
        </w:rPr>
        <w:t xml:space="preserve"> Hydrogen Council (2023) Hydrogen Insights December 2023</w:t>
      </w:r>
    </w:p>
  </w:footnote>
  <w:footnote w:id="31">
    <w:p w14:paraId="7762248A" w14:textId="430191F7" w:rsidR="00E83FCD" w:rsidRPr="000E0EB1" w:rsidRDefault="00E83FCD" w:rsidP="00E83FCD">
      <w:pPr>
        <w:pStyle w:val="FootnoteText"/>
        <w:rPr>
          <w:sz w:val="20"/>
        </w:rPr>
      </w:pPr>
      <w:r w:rsidRPr="000E0EB1">
        <w:rPr>
          <w:rStyle w:val="FootnoteReference"/>
          <w:sz w:val="20"/>
        </w:rPr>
        <w:footnoteRef/>
      </w:r>
      <w:r w:rsidRPr="000E0EB1">
        <w:rPr>
          <w:sz w:val="20"/>
          <w:vertAlign w:val="superscript"/>
        </w:rPr>
        <w:t xml:space="preserve">, </w:t>
      </w:r>
      <w:r w:rsidRPr="000E0EB1">
        <w:rPr>
          <w:rStyle w:val="FootnoteReference"/>
          <w:sz w:val="20"/>
        </w:rPr>
        <w:t>27</w:t>
      </w:r>
      <w:r w:rsidRPr="000E0EB1">
        <w:rPr>
          <w:sz w:val="20"/>
        </w:rPr>
        <w:t xml:space="preserve"> Clean Air Task Force (2023) Solide Oxide Electrolysis: A Technology Status Assessment</w:t>
      </w:r>
    </w:p>
  </w:footnote>
  <w:footnote w:id="32">
    <w:p w14:paraId="0B20C2F0" w14:textId="58BFD8E8" w:rsidR="00E83FCD" w:rsidRPr="000E0EB1" w:rsidRDefault="00E83FCD" w:rsidP="00E83FCD">
      <w:pPr>
        <w:pStyle w:val="FootnoteText"/>
        <w:rPr>
          <w:sz w:val="20"/>
        </w:rPr>
      </w:pPr>
    </w:p>
  </w:footnote>
  <w:footnote w:id="33">
    <w:p w14:paraId="0AEDAA65" w14:textId="77777777" w:rsidR="00FA5D66" w:rsidRPr="000E0EB1" w:rsidRDefault="00FA5D66" w:rsidP="00FA5D66">
      <w:pPr>
        <w:pStyle w:val="FootnoteText"/>
        <w:rPr>
          <w:sz w:val="20"/>
        </w:rPr>
      </w:pPr>
      <w:r w:rsidRPr="000E0EB1">
        <w:rPr>
          <w:rStyle w:val="FootnoteReference"/>
          <w:sz w:val="20"/>
        </w:rPr>
        <w:footnoteRef/>
      </w:r>
      <w:r w:rsidRPr="000E0EB1">
        <w:rPr>
          <w:sz w:val="20"/>
        </w:rPr>
        <w:t xml:space="preserve"> Systemiq (2022) Planet Positive Chemicals </w:t>
      </w:r>
    </w:p>
  </w:footnote>
  <w:footnote w:id="34">
    <w:p w14:paraId="25A82BA8" w14:textId="77777777" w:rsidR="003B5E72" w:rsidRPr="000E0EB1" w:rsidRDefault="003B5E72" w:rsidP="003B5E72">
      <w:pPr>
        <w:pStyle w:val="FootnoteText"/>
        <w:rPr>
          <w:sz w:val="20"/>
        </w:rPr>
      </w:pPr>
      <w:r w:rsidRPr="000E0EB1">
        <w:rPr>
          <w:rStyle w:val="FootnoteReference"/>
          <w:sz w:val="20"/>
        </w:rPr>
        <w:footnoteRef/>
      </w:r>
      <w:r w:rsidRPr="000E0EB1">
        <w:rPr>
          <w:sz w:val="20"/>
        </w:rPr>
        <w:t xml:space="preserve"> Thredup (2023) Resale Market and Consumer Trend Report</w:t>
      </w:r>
    </w:p>
  </w:footnote>
  <w:footnote w:id="35">
    <w:p w14:paraId="0137F76A" w14:textId="77777777" w:rsidR="00183295" w:rsidRPr="000E0EB1" w:rsidRDefault="00183295" w:rsidP="00183295">
      <w:pPr>
        <w:pStyle w:val="FootnoteText"/>
        <w:rPr>
          <w:sz w:val="20"/>
        </w:rPr>
      </w:pPr>
      <w:r w:rsidRPr="000E0EB1">
        <w:rPr>
          <w:rStyle w:val="FootnoteReference"/>
          <w:sz w:val="20"/>
        </w:rPr>
        <w:footnoteRef/>
      </w:r>
      <w:r w:rsidRPr="000E0EB1">
        <w:rPr>
          <w:sz w:val="20"/>
        </w:rPr>
        <w:t xml:space="preserve"> Ellen MacArthur Foundation (2023) Unlocking a reuse revolution</w:t>
      </w:r>
    </w:p>
  </w:footnote>
  <w:footnote w:id="36">
    <w:p w14:paraId="12CF15A8" w14:textId="77777777" w:rsidR="00CC3F83" w:rsidRPr="000E0EB1" w:rsidRDefault="00CC3F83" w:rsidP="00CC3F83">
      <w:pPr>
        <w:pStyle w:val="FootnoteText"/>
        <w:rPr>
          <w:sz w:val="20"/>
        </w:rPr>
      </w:pPr>
    </w:p>
  </w:footnote>
  <w:footnote w:id="37">
    <w:p w14:paraId="6175F3ED" w14:textId="77777777" w:rsidR="00B438FA" w:rsidRPr="000E0EB1" w:rsidRDefault="00B438FA" w:rsidP="00B438FA">
      <w:pPr>
        <w:pStyle w:val="FootnoteText"/>
        <w:rPr>
          <w:sz w:val="20"/>
        </w:rPr>
      </w:pPr>
      <w:r w:rsidRPr="000E0EB1">
        <w:rPr>
          <w:rStyle w:val="FootnoteReference"/>
          <w:sz w:val="20"/>
        </w:rPr>
        <w:footnoteRef/>
      </w:r>
      <w:r w:rsidRPr="000E0EB1">
        <w:rPr>
          <w:sz w:val="20"/>
        </w:rPr>
        <w:t xml:space="preserve"> Ellen MacArthur (2019) Reuse – Rethinking Packaging</w:t>
      </w:r>
    </w:p>
  </w:footnote>
  <w:footnote w:id="38">
    <w:p w14:paraId="3524F956" w14:textId="77777777" w:rsidR="00BC1F50" w:rsidRPr="000E0EB1" w:rsidRDefault="00BC1F50" w:rsidP="00BC1F50">
      <w:pPr>
        <w:pStyle w:val="FootnoteText"/>
        <w:rPr>
          <w:sz w:val="20"/>
        </w:rPr>
      </w:pPr>
      <w:r w:rsidRPr="000E0EB1">
        <w:rPr>
          <w:rStyle w:val="FootnoteReference"/>
          <w:sz w:val="20"/>
        </w:rPr>
        <w:footnoteRef/>
      </w:r>
      <w:r w:rsidRPr="000E0EB1">
        <w:rPr>
          <w:sz w:val="20"/>
        </w:rPr>
        <w:t xml:space="preserve"> Systemiq (2024) Plastic Treaty Futures</w:t>
      </w:r>
    </w:p>
  </w:footnote>
  <w:footnote w:id="39">
    <w:p w14:paraId="667E35FA" w14:textId="77777777" w:rsidR="00BC1F50" w:rsidRPr="000E0EB1" w:rsidRDefault="00BC1F50" w:rsidP="00BC1F50">
      <w:pPr>
        <w:pStyle w:val="FootnoteText"/>
        <w:rPr>
          <w:sz w:val="20"/>
        </w:rPr>
      </w:pPr>
      <w:r w:rsidRPr="000E0EB1">
        <w:rPr>
          <w:rStyle w:val="FootnoteReference"/>
          <w:sz w:val="20"/>
        </w:rPr>
        <w:footnoteRef/>
      </w:r>
      <w:r w:rsidRPr="000E0EB1">
        <w:rPr>
          <w:sz w:val="20"/>
        </w:rPr>
        <w:t xml:space="preserve"> TOMRA (2022) Breaking the bottlenecks of recycled plastic content</w:t>
      </w:r>
    </w:p>
  </w:footnote>
  <w:footnote w:id="40">
    <w:p w14:paraId="33F2EED4" w14:textId="77777777" w:rsidR="0032466E" w:rsidRPr="000E0EB1" w:rsidRDefault="0032466E" w:rsidP="0032466E">
      <w:pPr>
        <w:pStyle w:val="FootnoteText"/>
        <w:rPr>
          <w:sz w:val="20"/>
        </w:rPr>
      </w:pPr>
      <w:r w:rsidRPr="000E0EB1">
        <w:rPr>
          <w:sz w:val="20"/>
          <w:vertAlign w:val="superscript"/>
        </w:rPr>
        <w:footnoteRef/>
      </w:r>
      <w:r w:rsidRPr="000E0EB1">
        <w:rPr>
          <w:sz w:val="20"/>
          <w:vertAlign w:val="superscript"/>
        </w:rPr>
        <w:t xml:space="preserve"> </w:t>
      </w:r>
      <w:r w:rsidRPr="000E0EB1">
        <w:rPr>
          <w:sz w:val="20"/>
        </w:rPr>
        <w:t>Recycleye (2024) How AI robots reduce costs of waste sorting, Eunomia (2024) Advanced Sortation for Circularity</w:t>
      </w:r>
    </w:p>
  </w:footnote>
  <w:footnote w:id="41">
    <w:p w14:paraId="09C0FDC8" w14:textId="77777777" w:rsidR="0032466E" w:rsidRPr="000E0EB1" w:rsidRDefault="0032466E" w:rsidP="0032466E">
      <w:pPr>
        <w:pStyle w:val="FootnoteText"/>
        <w:rPr>
          <w:sz w:val="20"/>
        </w:rPr>
      </w:pPr>
      <w:r w:rsidRPr="000E0EB1">
        <w:rPr>
          <w:rStyle w:val="FootnoteReference"/>
          <w:sz w:val="20"/>
        </w:rPr>
        <w:footnoteRef/>
      </w:r>
      <w:r w:rsidRPr="000E0EB1">
        <w:rPr>
          <w:sz w:val="20"/>
        </w:rPr>
        <w:t xml:space="preserve"> Systemiq analysis. </w:t>
      </w:r>
    </w:p>
  </w:footnote>
  <w:footnote w:id="42">
    <w:p w14:paraId="4BD48F10" w14:textId="77777777" w:rsidR="0032466E" w:rsidRPr="000E0EB1" w:rsidRDefault="0032466E" w:rsidP="0032466E">
      <w:pPr>
        <w:pStyle w:val="FootnoteText"/>
        <w:rPr>
          <w:sz w:val="20"/>
        </w:rPr>
      </w:pPr>
      <w:r w:rsidRPr="000E0EB1">
        <w:rPr>
          <w:rStyle w:val="FootnoteReference"/>
          <w:sz w:val="20"/>
        </w:rPr>
        <w:footnoteRef/>
      </w:r>
      <w:r w:rsidRPr="000E0EB1">
        <w:rPr>
          <w:sz w:val="20"/>
        </w:rPr>
        <w:t xml:space="preserve"> AMP robotics (2022) AMP Robotics Achieves Data Milestones and Recycling Automation Breakthrough</w:t>
      </w:r>
    </w:p>
  </w:footnote>
  <w:footnote w:id="43">
    <w:p w14:paraId="34813580" w14:textId="77777777" w:rsidR="0032466E" w:rsidRPr="000E0EB1" w:rsidRDefault="0032466E" w:rsidP="0032466E">
      <w:pPr>
        <w:pStyle w:val="FootnoteText"/>
        <w:rPr>
          <w:sz w:val="20"/>
        </w:rPr>
      </w:pPr>
      <w:r w:rsidRPr="000E0EB1">
        <w:rPr>
          <w:rStyle w:val="FootnoteReference"/>
          <w:sz w:val="20"/>
        </w:rPr>
        <w:footnoteRef/>
      </w:r>
      <w:r w:rsidRPr="000E0EB1">
        <w:rPr>
          <w:sz w:val="20"/>
        </w:rPr>
        <w:t xml:space="preserve"> PWC (2022) Plastic Pathways</w:t>
      </w:r>
    </w:p>
  </w:footnote>
  <w:footnote w:id="44">
    <w:p w14:paraId="5BEE3D6D" w14:textId="77777777" w:rsidR="0032466E" w:rsidRPr="000E0EB1" w:rsidRDefault="0032466E" w:rsidP="0032466E">
      <w:pPr>
        <w:pStyle w:val="FootnoteText"/>
        <w:rPr>
          <w:sz w:val="20"/>
        </w:rPr>
      </w:pPr>
      <w:r w:rsidRPr="000E0EB1">
        <w:rPr>
          <w:rStyle w:val="FootnoteReference"/>
          <w:sz w:val="20"/>
        </w:rPr>
        <w:footnoteRef/>
      </w:r>
      <w:r w:rsidRPr="000E0EB1">
        <w:rPr>
          <w:sz w:val="20"/>
        </w:rPr>
        <w:t xml:space="preserve"> Recycleye (2024) How AI robots reduce costs of waste sorting</w:t>
      </w:r>
    </w:p>
  </w:footnote>
  <w:footnote w:id="45">
    <w:p w14:paraId="68122EB9" w14:textId="77777777" w:rsidR="000548C2" w:rsidRPr="000E0EB1" w:rsidRDefault="000548C2" w:rsidP="000548C2">
      <w:pPr>
        <w:pStyle w:val="FootnoteText"/>
        <w:rPr>
          <w:i/>
          <w:iCs/>
          <w:sz w:val="20"/>
        </w:rPr>
      </w:pPr>
      <w:r w:rsidRPr="000E0EB1">
        <w:rPr>
          <w:rStyle w:val="FootnoteReference"/>
          <w:sz w:val="20"/>
        </w:rPr>
        <w:footnoteRef/>
      </w:r>
      <w:r w:rsidRPr="000E0EB1">
        <w:rPr>
          <w:sz w:val="20"/>
        </w:rPr>
        <w:t xml:space="preserve"> Plastics today (2018) </w:t>
      </w:r>
      <w:r w:rsidRPr="000E0EB1">
        <w:rPr>
          <w:i/>
          <w:iCs/>
          <w:sz w:val="20"/>
        </w:rPr>
        <w:t>Scientific tests prove HDPE can be recycled at least 10 times</w:t>
      </w:r>
    </w:p>
  </w:footnote>
  <w:footnote w:id="46">
    <w:p w14:paraId="1C9766B8" w14:textId="77777777" w:rsidR="000548C2" w:rsidRPr="000E0EB1" w:rsidRDefault="000548C2" w:rsidP="000548C2">
      <w:pPr>
        <w:pStyle w:val="FootnoteText"/>
        <w:rPr>
          <w:sz w:val="20"/>
        </w:rPr>
      </w:pPr>
      <w:r w:rsidRPr="000E0EB1">
        <w:rPr>
          <w:rStyle w:val="FootnoteReference"/>
          <w:sz w:val="20"/>
        </w:rPr>
        <w:footnoteRef/>
      </w:r>
      <w:r w:rsidRPr="000E0EB1">
        <w:rPr>
          <w:sz w:val="20"/>
        </w:rPr>
        <w:t xml:space="preserve"> Non-contact sensitive means materials that are </w:t>
      </w:r>
      <w:r w:rsidRPr="000E0EB1">
        <w:rPr>
          <w:sz w:val="20"/>
          <w:u w:val="single"/>
        </w:rPr>
        <w:t>not</w:t>
      </w:r>
      <w:r w:rsidRPr="000E0EB1">
        <w:rPr>
          <w:sz w:val="20"/>
        </w:rPr>
        <w:t xml:space="preserve"> intended to come into direct contact </w:t>
      </w:r>
      <w:r w:rsidRPr="000E0EB1">
        <w:rPr>
          <w:sz w:val="20"/>
          <w:lang w:val="en-US"/>
        </w:rPr>
        <w:t>with products that require high safety and hygiene standards, such as food, beverages, cosmetics, and medical products.</w:t>
      </w:r>
    </w:p>
  </w:footnote>
  <w:footnote w:id="47">
    <w:p w14:paraId="774C6FD1" w14:textId="77777777" w:rsidR="000548C2" w:rsidRPr="000E0EB1" w:rsidRDefault="000548C2" w:rsidP="000548C2">
      <w:pPr>
        <w:pStyle w:val="FootnoteText"/>
        <w:rPr>
          <w:sz w:val="20"/>
        </w:rPr>
      </w:pPr>
      <w:r w:rsidRPr="000E0EB1">
        <w:rPr>
          <w:rStyle w:val="FootnoteReference"/>
          <w:sz w:val="20"/>
        </w:rPr>
        <w:footnoteRef/>
      </w:r>
      <w:r w:rsidRPr="000E0EB1">
        <w:rPr>
          <w:sz w:val="20"/>
        </w:rPr>
        <w:t xml:space="preserve"> Systemiq (2023) </w:t>
      </w:r>
      <w:r w:rsidRPr="000E0EB1">
        <w:rPr>
          <w:i/>
          <w:iCs/>
          <w:sz w:val="20"/>
        </w:rPr>
        <w:t>Circularity of PET/polyester packaging and textiles in Europe</w:t>
      </w:r>
    </w:p>
  </w:footnote>
  <w:footnote w:id="48">
    <w:p w14:paraId="4A6A8FFF" w14:textId="77777777" w:rsidR="000548C2" w:rsidRPr="000E0EB1" w:rsidRDefault="000548C2" w:rsidP="000548C2">
      <w:pPr>
        <w:pStyle w:val="FootnoteText"/>
        <w:rPr>
          <w:i/>
          <w:sz w:val="20"/>
        </w:rPr>
      </w:pPr>
      <w:r w:rsidRPr="000E0EB1">
        <w:rPr>
          <w:rStyle w:val="FootnoteReference"/>
          <w:sz w:val="20"/>
        </w:rPr>
        <w:footnoteRef/>
      </w:r>
      <w:r w:rsidRPr="000E0EB1">
        <w:rPr>
          <w:sz w:val="20"/>
        </w:rPr>
        <w:t xml:space="preserve"> AMTOP (2024) </w:t>
      </w:r>
      <w:r w:rsidRPr="000E0EB1">
        <w:rPr>
          <w:i/>
          <w:iCs/>
          <w:sz w:val="20"/>
        </w:rPr>
        <w:t>Difference between virgin plastic and recycled plastic</w:t>
      </w:r>
    </w:p>
  </w:footnote>
  <w:footnote w:id="49">
    <w:p w14:paraId="75231934" w14:textId="77777777" w:rsidR="000548C2" w:rsidRPr="000E0EB1" w:rsidRDefault="000548C2" w:rsidP="000548C2">
      <w:pPr>
        <w:pStyle w:val="FootnoteText"/>
        <w:rPr>
          <w:i/>
          <w:sz w:val="20"/>
        </w:rPr>
      </w:pPr>
      <w:r w:rsidRPr="000E0EB1">
        <w:rPr>
          <w:rStyle w:val="FootnoteReference"/>
          <w:sz w:val="20"/>
        </w:rPr>
        <w:footnoteRef/>
      </w:r>
      <w:r w:rsidRPr="000E0EB1">
        <w:rPr>
          <w:sz w:val="20"/>
        </w:rPr>
        <w:t xml:space="preserve"> IEEF (2024) </w:t>
      </w:r>
      <w:r w:rsidRPr="000E0EB1">
        <w:rPr>
          <w:i/>
          <w:iCs/>
          <w:sz w:val="20"/>
        </w:rPr>
        <w:t>Impact on Virgin vs Recycled plastics prices and implications for a production cap</w:t>
      </w:r>
    </w:p>
  </w:footnote>
  <w:footnote w:id="50">
    <w:p w14:paraId="5E8ACB7C" w14:textId="77777777" w:rsidR="000548C2" w:rsidRPr="000E0EB1" w:rsidRDefault="000548C2" w:rsidP="000548C2">
      <w:pPr>
        <w:pStyle w:val="FootnoteText"/>
        <w:rPr>
          <w:sz w:val="20"/>
        </w:rPr>
      </w:pPr>
      <w:r w:rsidRPr="000E0EB1">
        <w:rPr>
          <w:rStyle w:val="FootnoteReference"/>
          <w:sz w:val="20"/>
        </w:rPr>
        <w:footnoteRef/>
      </w:r>
      <w:r w:rsidRPr="000E0EB1">
        <w:rPr>
          <w:sz w:val="20"/>
        </w:rPr>
        <w:t xml:space="preserve"> Systemiq (2024) Plastic Treaty Futures</w:t>
      </w:r>
    </w:p>
  </w:footnote>
  <w:footnote w:id="51">
    <w:p w14:paraId="1BC51C4D" w14:textId="6DC2DE37" w:rsidR="00E536BF" w:rsidRPr="000E0EB1" w:rsidRDefault="00E536BF" w:rsidP="00E536BF">
      <w:pPr>
        <w:pStyle w:val="FootnoteText"/>
        <w:rPr>
          <w:i/>
          <w:iCs/>
          <w:sz w:val="20"/>
        </w:rPr>
      </w:pPr>
      <w:r w:rsidRPr="000E0EB1">
        <w:rPr>
          <w:rStyle w:val="FootnoteReference"/>
          <w:sz w:val="20"/>
        </w:rPr>
        <w:footnoteRef/>
      </w:r>
      <w:r w:rsidRPr="000E0EB1">
        <w:rPr>
          <w:sz w:val="20"/>
        </w:rPr>
        <w:t xml:space="preserve"> </w:t>
      </w:r>
      <w:r w:rsidR="00066057" w:rsidRPr="000E0EB1">
        <w:rPr>
          <w:sz w:val="20"/>
        </w:rPr>
        <w:t xml:space="preserve">Ragaert et al </w:t>
      </w:r>
      <w:r w:rsidR="005C68CA" w:rsidRPr="000E0EB1">
        <w:rPr>
          <w:sz w:val="20"/>
        </w:rPr>
        <w:t>(</w:t>
      </w:r>
      <w:r w:rsidR="00066057" w:rsidRPr="000E0EB1">
        <w:rPr>
          <w:sz w:val="20"/>
        </w:rPr>
        <w:t>2023</w:t>
      </w:r>
      <w:r w:rsidR="005C68CA" w:rsidRPr="000E0EB1">
        <w:rPr>
          <w:sz w:val="20"/>
        </w:rPr>
        <w:t>)</w:t>
      </w:r>
      <w:r w:rsidR="00066057" w:rsidRPr="000E0EB1">
        <w:rPr>
          <w:sz w:val="20"/>
        </w:rPr>
        <w:t xml:space="preserve"> </w:t>
      </w:r>
      <w:r w:rsidR="00066057" w:rsidRPr="000E0EB1">
        <w:rPr>
          <w:i/>
          <w:iCs/>
          <w:sz w:val="20"/>
        </w:rPr>
        <w:t>Clarifying European terminology in plastics recycling</w:t>
      </w:r>
    </w:p>
  </w:footnote>
  <w:footnote w:id="52">
    <w:p w14:paraId="15D602D4" w14:textId="5DF94404" w:rsidR="00534ADA" w:rsidRPr="000E0EB1" w:rsidRDefault="00534ADA" w:rsidP="00534ADA">
      <w:pPr>
        <w:pStyle w:val="FootnoteText"/>
        <w:rPr>
          <w:sz w:val="20"/>
        </w:rPr>
      </w:pPr>
      <w:r w:rsidRPr="000E0EB1">
        <w:rPr>
          <w:rStyle w:val="FootnoteReference"/>
          <w:sz w:val="20"/>
        </w:rPr>
        <w:footnoteRef/>
      </w:r>
      <w:r w:rsidRPr="000E0EB1">
        <w:rPr>
          <w:sz w:val="20"/>
        </w:rPr>
        <w:t xml:space="preserve"> </w:t>
      </w:r>
      <w:r w:rsidR="00170EA1" w:rsidRPr="000E0EB1">
        <w:rPr>
          <w:sz w:val="20"/>
        </w:rPr>
        <w:t>Yadav et al. (2023) Natural fiber reinforced rPET/polyester composites: a review on development, mechanical performance, and sustainable management</w:t>
      </w:r>
    </w:p>
  </w:footnote>
  <w:footnote w:id="53">
    <w:p w14:paraId="44045B39" w14:textId="77777777" w:rsidR="00CB544F" w:rsidRPr="000E0EB1" w:rsidRDefault="00CB544F" w:rsidP="00CB544F">
      <w:pPr>
        <w:pStyle w:val="FootnoteText"/>
        <w:rPr>
          <w:sz w:val="20"/>
        </w:rPr>
      </w:pPr>
      <w:r w:rsidRPr="000E0EB1">
        <w:rPr>
          <w:rStyle w:val="FootnoteReference"/>
          <w:sz w:val="20"/>
        </w:rPr>
        <w:footnoteRef/>
      </w:r>
      <w:r w:rsidRPr="000E0EB1">
        <w:rPr>
          <w:sz w:val="20"/>
        </w:rPr>
        <w:t xml:space="preserve"> </w:t>
      </w:r>
      <w:sdt>
        <w:sdtPr>
          <w:rPr>
            <w:sz w:val="20"/>
          </w:rPr>
          <w:id w:val="-1614823962"/>
          <w:citation/>
        </w:sdtPr>
        <w:sdtContent>
          <w:r w:rsidRPr="000E0EB1">
            <w:rPr>
              <w:sz w:val="20"/>
            </w:rPr>
            <w:fldChar w:fldCharType="begin"/>
          </w:r>
          <w:r w:rsidRPr="000E0EB1">
            <w:rPr>
              <w:sz w:val="20"/>
            </w:rPr>
            <w:instrText xml:space="preserve"> CITATION OEC24 \l 2057 </w:instrText>
          </w:r>
          <w:r w:rsidRPr="000E0EB1">
            <w:rPr>
              <w:sz w:val="20"/>
            </w:rPr>
            <w:fldChar w:fldCharType="separate"/>
          </w:r>
          <w:r w:rsidRPr="000E0EB1">
            <w:rPr>
              <w:sz w:val="20"/>
            </w:rPr>
            <w:t>(OECD, 2024)</w:t>
          </w:r>
          <w:r w:rsidRPr="000E0EB1">
            <w:rPr>
              <w:sz w:val="20"/>
            </w:rPr>
            <w:fldChar w:fldCharType="end"/>
          </w:r>
        </w:sdtContent>
      </w:sdt>
    </w:p>
  </w:footnote>
  <w:footnote w:id="54">
    <w:p w14:paraId="04CF20C0" w14:textId="3CE571F4" w:rsidR="000C05C0" w:rsidRPr="000E0EB1" w:rsidRDefault="000C05C0" w:rsidP="000C05C0">
      <w:pPr>
        <w:pStyle w:val="FootnoteText"/>
        <w:rPr>
          <w:sz w:val="20"/>
        </w:rPr>
      </w:pPr>
      <w:r w:rsidRPr="000E0EB1">
        <w:rPr>
          <w:rStyle w:val="FootnoteReference"/>
          <w:sz w:val="20"/>
        </w:rPr>
        <w:footnoteRef/>
      </w:r>
      <w:r w:rsidRPr="00D278D7">
        <w:rPr>
          <w:sz w:val="20"/>
        </w:rPr>
        <w:t xml:space="preserve"> </w:t>
      </w:r>
      <w:r w:rsidR="00BE5BBE" w:rsidRPr="00D278D7">
        <w:rPr>
          <w:sz w:val="20"/>
        </w:rPr>
        <w:t>Anic</w:t>
      </w:r>
      <w:r w:rsidR="00D278D7" w:rsidRPr="00D278D7">
        <w:rPr>
          <w:sz w:val="20"/>
        </w:rPr>
        <w:t>ic et al (2014) Comparison between two metho</w:t>
      </w:r>
      <w:r w:rsidR="00D278D7">
        <w:rPr>
          <w:sz w:val="20"/>
        </w:rPr>
        <w:t>d of methanol production from carbon dioxide</w:t>
      </w:r>
    </w:p>
  </w:footnote>
  <w:footnote w:id="55">
    <w:p w14:paraId="572AB06C" w14:textId="07B0C3BA" w:rsidR="00B7004C" w:rsidRPr="000E0EB1" w:rsidRDefault="00B7004C">
      <w:pPr>
        <w:pStyle w:val="FootnoteText"/>
        <w:rPr>
          <w:sz w:val="20"/>
        </w:rPr>
      </w:pPr>
      <w:r w:rsidRPr="000E0EB1">
        <w:rPr>
          <w:rStyle w:val="FootnoteReference"/>
          <w:sz w:val="20"/>
        </w:rPr>
        <w:footnoteRef/>
      </w:r>
      <w:r w:rsidRPr="000E0EB1">
        <w:rPr>
          <w:sz w:val="20"/>
        </w:rPr>
        <w:t xml:space="preserve"> Systemiq analysis for the ETC (2025) </w:t>
      </w:r>
    </w:p>
  </w:footnote>
  <w:footnote w:id="56">
    <w:p w14:paraId="454F73B9" w14:textId="4CA21C60" w:rsidR="008A5546" w:rsidRPr="000E0EB1" w:rsidRDefault="008A5546">
      <w:pPr>
        <w:pStyle w:val="FootnoteText"/>
        <w:rPr>
          <w:sz w:val="20"/>
        </w:rPr>
      </w:pPr>
      <w:r w:rsidRPr="000E0EB1">
        <w:rPr>
          <w:rStyle w:val="FootnoteReference"/>
          <w:sz w:val="20"/>
        </w:rPr>
        <w:footnoteRef/>
      </w:r>
      <w:r w:rsidRPr="000E0EB1">
        <w:rPr>
          <w:sz w:val="20"/>
        </w:rPr>
        <w:t xml:space="preserve"> ETC (2023) Fossil Fuels in Transition</w:t>
      </w:r>
    </w:p>
  </w:footnote>
  <w:footnote w:id="57">
    <w:p w14:paraId="70D9D7A0" w14:textId="33B85A12" w:rsidR="008B0DD9" w:rsidRPr="000E0EB1" w:rsidRDefault="008B0DD9">
      <w:pPr>
        <w:pStyle w:val="FootnoteText"/>
        <w:rPr>
          <w:sz w:val="20"/>
        </w:rPr>
      </w:pPr>
      <w:r w:rsidRPr="000E0EB1">
        <w:rPr>
          <w:rStyle w:val="FootnoteReference"/>
          <w:sz w:val="20"/>
        </w:rPr>
        <w:footnoteRef/>
      </w:r>
      <w:r w:rsidRPr="000E0EB1">
        <w:rPr>
          <w:sz w:val="20"/>
        </w:rPr>
        <w:t xml:space="preserve"> Systemiq</w:t>
      </w:r>
      <w:r w:rsidR="00A75553" w:rsidRPr="000E0EB1">
        <w:rPr>
          <w:sz w:val="20"/>
        </w:rPr>
        <w:t xml:space="preserve"> and Center for Global Commons</w:t>
      </w:r>
      <w:r w:rsidRPr="000E0EB1">
        <w:rPr>
          <w:sz w:val="20"/>
        </w:rPr>
        <w:t xml:space="preserve"> (20</w:t>
      </w:r>
      <w:r w:rsidR="00A75553" w:rsidRPr="000E0EB1">
        <w:rPr>
          <w:sz w:val="20"/>
        </w:rPr>
        <w:t>22) Planet positive chemicals</w:t>
      </w:r>
    </w:p>
  </w:footnote>
  <w:footnote w:id="58">
    <w:p w14:paraId="1C95307B" w14:textId="77777777" w:rsidR="00305AD1" w:rsidRPr="000E0EB1" w:rsidRDefault="00305AD1" w:rsidP="00305AD1">
      <w:pPr>
        <w:pStyle w:val="FootnoteText"/>
        <w:rPr>
          <w:sz w:val="20"/>
          <w:lang w:val="en-US"/>
        </w:rPr>
      </w:pPr>
      <w:r w:rsidRPr="000E0EB1">
        <w:rPr>
          <w:rStyle w:val="FootnoteReference"/>
          <w:sz w:val="20"/>
        </w:rPr>
        <w:footnoteRef/>
      </w:r>
      <w:r w:rsidRPr="000E0EB1">
        <w:rPr>
          <w:sz w:val="20"/>
        </w:rPr>
        <w:t xml:space="preserve"> </w:t>
      </w:r>
      <w:r w:rsidRPr="000E0EB1">
        <w:rPr>
          <w:sz w:val="20"/>
          <w:lang w:val="en-US"/>
        </w:rPr>
        <w:t>Carbon tracker (2024) Curb your Enthusiasm</w:t>
      </w:r>
    </w:p>
  </w:footnote>
  <w:footnote w:id="59">
    <w:p w14:paraId="282F1F51" w14:textId="1F44662C" w:rsidR="00DA1657" w:rsidRPr="000E0EB1" w:rsidRDefault="00DA1657">
      <w:pPr>
        <w:pStyle w:val="FootnoteText"/>
        <w:rPr>
          <w:sz w:val="20"/>
        </w:rPr>
      </w:pPr>
      <w:r w:rsidRPr="000E0EB1">
        <w:rPr>
          <w:rStyle w:val="FootnoteReference"/>
          <w:sz w:val="20"/>
        </w:rPr>
        <w:footnoteRef/>
      </w:r>
      <w:r w:rsidRPr="000E0EB1">
        <w:rPr>
          <w:sz w:val="20"/>
        </w:rPr>
        <w:t xml:space="preserve"> Leung, et al. (2014) An overview of current status of carbon dioxide capture and storage technologies</w:t>
      </w:r>
    </w:p>
  </w:footnote>
  <w:footnote w:id="60">
    <w:p w14:paraId="08E250D4" w14:textId="77777777" w:rsidR="00C1321C" w:rsidRPr="000E0EB1" w:rsidRDefault="00C1321C" w:rsidP="00C1321C">
      <w:pPr>
        <w:pStyle w:val="FootnoteText"/>
        <w:rPr>
          <w:sz w:val="20"/>
        </w:rPr>
      </w:pPr>
      <w:r w:rsidRPr="000E0EB1">
        <w:rPr>
          <w:rStyle w:val="FootnoteReference"/>
          <w:sz w:val="20"/>
        </w:rPr>
        <w:footnoteRef/>
      </w:r>
      <w:r w:rsidRPr="000E0EB1">
        <w:rPr>
          <w:sz w:val="20"/>
        </w:rPr>
        <w:t xml:space="preserve"> Global CCS Institute (2025) Advancements in CCS technologies and costs</w:t>
      </w:r>
    </w:p>
  </w:footnote>
  <w:footnote w:id="61">
    <w:p w14:paraId="14667DAA" w14:textId="4FCDC813" w:rsidR="0052102D" w:rsidRPr="000E0EB1" w:rsidRDefault="0052102D">
      <w:pPr>
        <w:pStyle w:val="FootnoteText"/>
        <w:rPr>
          <w:sz w:val="20"/>
          <w:lang w:val="en-US"/>
        </w:rPr>
      </w:pPr>
      <w:r w:rsidRPr="000E0EB1">
        <w:rPr>
          <w:rStyle w:val="FootnoteReference"/>
          <w:sz w:val="20"/>
        </w:rPr>
        <w:footnoteRef/>
      </w:r>
      <w:r w:rsidRPr="000E0EB1">
        <w:rPr>
          <w:sz w:val="20"/>
        </w:rPr>
        <w:t xml:space="preserve"> Wang, X. , Song, C. (2020) Carbon capture from flue gas and the atmosphere: A perspective</w:t>
      </w:r>
    </w:p>
  </w:footnote>
  <w:footnote w:id="62">
    <w:p w14:paraId="46405461" w14:textId="336D879A" w:rsidR="005F1532" w:rsidRPr="000E0EB1" w:rsidRDefault="005F1532">
      <w:pPr>
        <w:pStyle w:val="FootnoteText"/>
        <w:rPr>
          <w:sz w:val="20"/>
        </w:rPr>
      </w:pPr>
      <w:r w:rsidRPr="000E0EB1">
        <w:rPr>
          <w:rStyle w:val="FootnoteReference"/>
          <w:sz w:val="20"/>
        </w:rPr>
        <w:footnoteRef/>
      </w:r>
      <w:r w:rsidRPr="000E0EB1">
        <w:rPr>
          <w:sz w:val="20"/>
        </w:rPr>
        <w:t xml:space="preserve"> Bisotti, Filippo, et al. "Direct Air capture (DAC) deployment: A review of the industrial deployment." </w:t>
      </w:r>
      <w:r w:rsidRPr="000E0EB1">
        <w:rPr>
          <w:i/>
          <w:iCs/>
          <w:sz w:val="20"/>
        </w:rPr>
        <w:t>Chemical Engineering Science</w:t>
      </w:r>
      <w:r w:rsidRPr="000E0EB1">
        <w:rPr>
          <w:sz w:val="20"/>
        </w:rPr>
        <w:t> 283 (2024): 119416.</w:t>
      </w:r>
    </w:p>
  </w:footnote>
  <w:footnote w:id="63">
    <w:p w14:paraId="541EFFCD" w14:textId="07047BB4" w:rsidR="00C01AE0" w:rsidRPr="000E0EB1" w:rsidRDefault="00C01AE0">
      <w:pPr>
        <w:pStyle w:val="FootnoteText"/>
        <w:rPr>
          <w:sz w:val="20"/>
        </w:rPr>
      </w:pPr>
      <w:r w:rsidRPr="000E0EB1">
        <w:rPr>
          <w:rStyle w:val="FootnoteReference"/>
          <w:sz w:val="20"/>
        </w:rPr>
        <w:footnoteRef/>
      </w:r>
      <w:r w:rsidRPr="000E0EB1">
        <w:rPr>
          <w:sz w:val="20"/>
        </w:rPr>
        <w:t xml:space="preserve"> Prince Aleta (2024) Direct ocean capture: the emergence of electrochemical processes for oceanic carbon removal</w:t>
      </w:r>
    </w:p>
  </w:footnote>
  <w:footnote w:id="64">
    <w:p w14:paraId="0E23F41B" w14:textId="2DE7B53E" w:rsidR="00650ABE" w:rsidRPr="000E0EB1" w:rsidRDefault="00650ABE">
      <w:pPr>
        <w:pStyle w:val="FootnoteText"/>
        <w:rPr>
          <w:sz w:val="20"/>
        </w:rPr>
      </w:pPr>
      <w:r w:rsidRPr="000E0EB1">
        <w:rPr>
          <w:rStyle w:val="FootnoteReference"/>
          <w:sz w:val="20"/>
        </w:rPr>
        <w:footnoteRef/>
      </w:r>
      <w:r w:rsidRPr="000E0EB1">
        <w:rPr>
          <w:sz w:val="20"/>
        </w:rPr>
        <w:t xml:space="preserve"> The process of </w:t>
      </w:r>
      <w:r w:rsidR="00B77BC2" w:rsidRPr="000E0EB1">
        <w:rPr>
          <w:sz w:val="20"/>
        </w:rPr>
        <w:t xml:space="preserve">Captura is used as a reference for electrodialysis-based systems. The process of </w:t>
      </w:r>
      <w:r w:rsidRPr="000E0EB1">
        <w:rPr>
          <w:sz w:val="20"/>
        </w:rPr>
        <w:t xml:space="preserve">Equatic is used as </w:t>
      </w:r>
      <w:r w:rsidR="00B77BC2" w:rsidRPr="000E0EB1">
        <w:rPr>
          <w:sz w:val="20"/>
        </w:rPr>
        <w:t>reference for electrolysis-based systems.</w:t>
      </w:r>
    </w:p>
  </w:footnote>
  <w:footnote w:id="65">
    <w:p w14:paraId="181EEA95" w14:textId="77777777" w:rsidR="00512170" w:rsidRPr="000E0EB1" w:rsidRDefault="00512170" w:rsidP="00512170">
      <w:pPr>
        <w:pStyle w:val="FootnoteText"/>
        <w:rPr>
          <w:sz w:val="20"/>
        </w:rPr>
      </w:pPr>
      <w:r w:rsidRPr="000E0EB1">
        <w:rPr>
          <w:rStyle w:val="FootnoteReference"/>
          <w:sz w:val="20"/>
        </w:rPr>
        <w:footnoteRef/>
      </w:r>
      <w:r w:rsidRPr="000E0EB1">
        <w:rPr>
          <w:sz w:val="20"/>
          <w:lang w:val="de-DE"/>
        </w:rPr>
        <w:t xml:space="preserve"> Sievert, Katrin, Tobias S. Schmidt, and Bjarne Steffen. </w:t>
      </w:r>
      <w:r w:rsidRPr="000E0EB1">
        <w:rPr>
          <w:sz w:val="20"/>
        </w:rPr>
        <w:t>"Considering technology characteristics to project future costs of direct air capture." </w:t>
      </w:r>
      <w:r w:rsidRPr="000E0EB1">
        <w:rPr>
          <w:i/>
          <w:iCs/>
          <w:sz w:val="20"/>
        </w:rPr>
        <w:t>Joule</w:t>
      </w:r>
      <w:r w:rsidRPr="000E0EB1">
        <w:rPr>
          <w:sz w:val="20"/>
        </w:rPr>
        <w:t> 8.4 (2024): 979-999.</w:t>
      </w:r>
    </w:p>
  </w:footnote>
  <w:footnote w:id="66">
    <w:p w14:paraId="2A239DED" w14:textId="77777777" w:rsidR="0074256C" w:rsidRPr="000E0EB1" w:rsidRDefault="0074256C" w:rsidP="0074256C">
      <w:pPr>
        <w:pStyle w:val="FootnoteText"/>
        <w:rPr>
          <w:sz w:val="20"/>
        </w:rPr>
      </w:pPr>
      <w:r w:rsidRPr="000E0EB1">
        <w:rPr>
          <w:rStyle w:val="FootnoteReference"/>
          <w:sz w:val="20"/>
        </w:rPr>
        <w:footnoteRef/>
      </w:r>
      <w:r w:rsidRPr="000E0EB1">
        <w:rPr>
          <w:sz w:val="20"/>
        </w:rPr>
        <w:t xml:space="preserve"> Abegg, Manon, et al. "Expert insights into future trajectories: assessing cost reductions and scalability of carbon dioxide removal technologies." </w:t>
      </w:r>
      <w:r w:rsidRPr="000E0EB1">
        <w:rPr>
          <w:i/>
          <w:iCs/>
          <w:sz w:val="20"/>
        </w:rPr>
        <w:t>Frontiers in Climate</w:t>
      </w:r>
      <w:r w:rsidRPr="000E0EB1">
        <w:rPr>
          <w:sz w:val="20"/>
        </w:rPr>
        <w:t> 6 (2024): 1331901.</w:t>
      </w:r>
    </w:p>
  </w:footnote>
  <w:footnote w:id="67">
    <w:p w14:paraId="336E5FF8" w14:textId="77777777" w:rsidR="0074256C" w:rsidRPr="000E0EB1" w:rsidRDefault="0074256C" w:rsidP="0074256C">
      <w:pPr>
        <w:pStyle w:val="FootnoteText"/>
        <w:rPr>
          <w:sz w:val="20"/>
        </w:rPr>
      </w:pPr>
      <w:r w:rsidRPr="000E0EB1">
        <w:rPr>
          <w:rStyle w:val="FootnoteReference"/>
          <w:sz w:val="20"/>
        </w:rPr>
        <w:footnoteRef/>
      </w:r>
      <w:r w:rsidRPr="000E0EB1">
        <w:rPr>
          <w:sz w:val="20"/>
        </w:rPr>
        <w:t xml:space="preserve"> Nancy W. Stauffer (November 2024) Reality check on technologies to remove carbon dioxide from the air. Available at: https://news.mit.edu/2024/reality-check-tech-to-remove-carbon-dioxide-from-air-1120</w:t>
      </w:r>
    </w:p>
    <w:p w14:paraId="2C6482E3" w14:textId="77777777" w:rsidR="0074256C" w:rsidRPr="000E0EB1" w:rsidRDefault="0074256C" w:rsidP="0074256C">
      <w:pPr>
        <w:pStyle w:val="FootnoteText"/>
        <w:rPr>
          <w:sz w:val="20"/>
        </w:rPr>
      </w:pPr>
    </w:p>
  </w:footnote>
  <w:footnote w:id="68">
    <w:p w14:paraId="2A103A10" w14:textId="413819D5" w:rsidR="00BB3577" w:rsidRPr="000E0EB1" w:rsidRDefault="00BB3577">
      <w:pPr>
        <w:pStyle w:val="FootnoteText"/>
        <w:rPr>
          <w:sz w:val="20"/>
        </w:rPr>
      </w:pPr>
      <w:r w:rsidRPr="000E0EB1">
        <w:rPr>
          <w:rStyle w:val="FootnoteReference"/>
          <w:sz w:val="20"/>
        </w:rPr>
        <w:footnoteRef/>
      </w:r>
      <w:r w:rsidRPr="000E0EB1">
        <w:rPr>
          <w:sz w:val="20"/>
        </w:rPr>
        <w:t xml:space="preserve"> Equatic announcement (2024) </w:t>
      </w:r>
      <w:r w:rsidR="00582AE3" w:rsidRPr="000E0EB1">
        <w:rPr>
          <w:sz w:val="20"/>
        </w:rPr>
        <w:t xml:space="preserve">Equatic to build North America’s first commercial-scale ocean-based carbon removal facility. </w:t>
      </w:r>
      <w:r w:rsidRPr="000E0EB1">
        <w:rPr>
          <w:sz w:val="20"/>
        </w:rPr>
        <w:t>Available at:</w:t>
      </w:r>
      <w:r w:rsidR="00582AE3" w:rsidRPr="000E0EB1">
        <w:rPr>
          <w:sz w:val="20"/>
        </w:rPr>
        <w:t xml:space="preserve"> https://www.equatic.tech/articles/equatic-to-build-north-americas-first-commercial-scale-ocean-based-carbon-removal-facility</w:t>
      </w:r>
    </w:p>
  </w:footnote>
  <w:footnote w:id="69">
    <w:p w14:paraId="632827E8" w14:textId="77777777" w:rsidR="000977B4" w:rsidRPr="000E0EB1" w:rsidRDefault="000977B4">
      <w:pPr>
        <w:pStyle w:val="FootnoteText"/>
        <w:rPr>
          <w:sz w:val="20"/>
        </w:rPr>
      </w:pPr>
      <w:r w:rsidRPr="000E0EB1">
        <w:rPr>
          <w:rStyle w:val="FootnoteReference"/>
          <w:sz w:val="20"/>
        </w:rPr>
        <w:footnoteRef/>
      </w:r>
      <w:r w:rsidRPr="000E0EB1">
        <w:rPr>
          <w:sz w:val="20"/>
        </w:rPr>
        <w:t xml:space="preserve"> According to Equatic’s patent: US20220040639A1</w:t>
      </w:r>
    </w:p>
  </w:footnote>
  <w:footnote w:id="70">
    <w:p w14:paraId="4B675613" w14:textId="513FE025" w:rsidR="00B21118" w:rsidRPr="000E0EB1" w:rsidRDefault="00B21118">
      <w:pPr>
        <w:pStyle w:val="FootnoteText"/>
        <w:rPr>
          <w:sz w:val="20"/>
        </w:rPr>
      </w:pPr>
      <w:r w:rsidRPr="000E0EB1">
        <w:rPr>
          <w:rStyle w:val="FootnoteReference"/>
          <w:sz w:val="20"/>
        </w:rPr>
        <w:footnoteRef/>
      </w:r>
      <w:r w:rsidRPr="000E0EB1">
        <w:rPr>
          <w:sz w:val="20"/>
        </w:rPr>
        <w:t xml:space="preserve"> </w:t>
      </w:r>
      <w:r w:rsidR="00205DDB" w:rsidRPr="000E0EB1">
        <w:rPr>
          <w:sz w:val="20"/>
        </w:rPr>
        <w:t>Zentou, Hamid, et al. "Recent advances and challenges in solid sorbents for CO2 capture." </w:t>
      </w:r>
      <w:r w:rsidR="00205DDB" w:rsidRPr="000E0EB1">
        <w:rPr>
          <w:i/>
          <w:iCs/>
          <w:sz w:val="20"/>
        </w:rPr>
        <w:t>Carbon Capture Science &amp; Technology</w:t>
      </w:r>
      <w:r w:rsidR="00205DDB" w:rsidRPr="000E0EB1">
        <w:rPr>
          <w:sz w:val="20"/>
        </w:rPr>
        <w:t> (2025): 100386.</w:t>
      </w:r>
    </w:p>
  </w:footnote>
  <w:footnote w:id="71">
    <w:p w14:paraId="19998A8B" w14:textId="46CA1B8D" w:rsidR="00531444" w:rsidRPr="000E0EB1" w:rsidRDefault="00531444">
      <w:pPr>
        <w:pStyle w:val="FootnoteText"/>
        <w:rPr>
          <w:sz w:val="20"/>
        </w:rPr>
      </w:pPr>
      <w:r w:rsidRPr="000E0EB1">
        <w:rPr>
          <w:rStyle w:val="FootnoteReference"/>
          <w:sz w:val="20"/>
        </w:rPr>
        <w:footnoteRef/>
      </w:r>
      <w:r w:rsidRPr="000E0EB1">
        <w:rPr>
          <w:sz w:val="20"/>
        </w:rPr>
        <w:t xml:space="preserve"> </w:t>
      </w:r>
      <w:r w:rsidRPr="000E0EB1">
        <w:rPr>
          <w:sz w:val="20"/>
          <w:lang w:val="en-US"/>
        </w:rPr>
        <w:t>Fossil-free Plastics: Driving Clean Industrial Leadership in Europe (Systemiq, 2025</w:t>
      </w:r>
      <w:r w:rsidR="00D33A1E" w:rsidRPr="000E0EB1">
        <w:rPr>
          <w:sz w:val="20"/>
          <w:lang w:val="en-US"/>
        </w:rPr>
        <w:t>)</w:t>
      </w:r>
    </w:p>
  </w:footnote>
  <w:footnote w:id="72">
    <w:p w14:paraId="3968DF95" w14:textId="52AFEDE8" w:rsidR="00A3662B" w:rsidRPr="000E0EB1" w:rsidRDefault="00A3662B">
      <w:pPr>
        <w:pStyle w:val="FootnoteText"/>
        <w:rPr>
          <w:sz w:val="20"/>
        </w:rPr>
      </w:pPr>
      <w:r w:rsidRPr="000E0EB1">
        <w:rPr>
          <w:rStyle w:val="FootnoteReference"/>
          <w:sz w:val="20"/>
        </w:rPr>
        <w:footnoteRef/>
      </w:r>
      <w:r w:rsidRPr="000E0EB1">
        <w:rPr>
          <w:sz w:val="20"/>
        </w:rPr>
        <w:t xml:space="preserve"> </w:t>
      </w:r>
      <w:r w:rsidRPr="000E0EB1">
        <w:rPr>
          <w:sz w:val="20"/>
          <w:lang w:val="en-US"/>
        </w:rPr>
        <w:t>Carbon Removal Certification Framework (CRCF) EU/2024/3012</w:t>
      </w:r>
    </w:p>
  </w:footnote>
  <w:footnote w:id="73">
    <w:p w14:paraId="581A7D95" w14:textId="7108C0E3" w:rsidR="005707E8" w:rsidRPr="000E0EB1" w:rsidRDefault="005707E8">
      <w:pPr>
        <w:pStyle w:val="FootnoteText"/>
        <w:rPr>
          <w:sz w:val="20"/>
        </w:rPr>
      </w:pPr>
      <w:r w:rsidRPr="000E0EB1">
        <w:rPr>
          <w:rStyle w:val="FootnoteReference"/>
          <w:sz w:val="20"/>
        </w:rPr>
        <w:footnoteRef/>
      </w:r>
      <w:r w:rsidRPr="000E0EB1">
        <w:rPr>
          <w:sz w:val="20"/>
        </w:rPr>
        <w:t xml:space="preserve"> ETC (2022) Carbon Capture, Utilisation and Storage in Energy Transition: Vital but Limited</w:t>
      </w:r>
    </w:p>
  </w:footnote>
  <w:footnote w:id="74">
    <w:p w14:paraId="369E20B5" w14:textId="0113CD29" w:rsidR="00C15F32" w:rsidRPr="000E0EB1" w:rsidRDefault="00C15F32">
      <w:pPr>
        <w:pStyle w:val="FootnoteText"/>
        <w:rPr>
          <w:sz w:val="20"/>
        </w:rPr>
      </w:pPr>
      <w:r w:rsidRPr="000E0EB1">
        <w:rPr>
          <w:rStyle w:val="FootnoteReference"/>
          <w:sz w:val="20"/>
        </w:rPr>
        <w:footnoteRef/>
      </w:r>
      <w:r w:rsidRPr="000E0EB1">
        <w:rPr>
          <w:sz w:val="20"/>
        </w:rPr>
        <w:t xml:space="preserve"> Carbon tracker (2024)</w:t>
      </w:r>
      <w:r w:rsidR="00AC6583" w:rsidRPr="000E0EB1">
        <w:rPr>
          <w:sz w:val="20"/>
        </w:rPr>
        <w:t xml:space="preserve"> Curb Your Enthusiasm: Bridging the gap between the UK’s CCUS targets and reality. </w:t>
      </w:r>
      <w:r w:rsidRPr="000E0EB1">
        <w:rPr>
          <w:sz w:val="20"/>
        </w:rPr>
        <w:t>Available at: https://carbontracker.org/reports/curb-your-enthusiasm/</w:t>
      </w:r>
    </w:p>
  </w:footnote>
  <w:footnote w:id="75">
    <w:p w14:paraId="3435F7D6" w14:textId="77777777" w:rsidR="003D5EEF" w:rsidRPr="000E0EB1" w:rsidRDefault="003D5EEF" w:rsidP="003D5EEF">
      <w:pPr>
        <w:pStyle w:val="FootnoteText"/>
        <w:rPr>
          <w:sz w:val="20"/>
        </w:rPr>
      </w:pPr>
      <w:r w:rsidRPr="000E0EB1">
        <w:rPr>
          <w:rStyle w:val="FootnoteReference"/>
          <w:sz w:val="20"/>
        </w:rPr>
        <w:footnoteRef/>
      </w:r>
      <w:r w:rsidRPr="000E0EB1">
        <w:rPr>
          <w:sz w:val="20"/>
        </w:rPr>
        <w:t xml:space="preserve"> Volume shown refer to Accelerated But Clearly Feasible scenario. Fossil Fuel Processing includes natural gas processing, oil products refining and production of high value petrochemicals. The volumes are currently under revision in the latest work of ETC.</w:t>
      </w:r>
    </w:p>
  </w:footnote>
  <w:footnote w:id="76">
    <w:p w14:paraId="6B366636" w14:textId="676D1DBC" w:rsidR="00A768E3" w:rsidRPr="000E0EB1" w:rsidRDefault="00A768E3">
      <w:pPr>
        <w:pStyle w:val="FootnoteText"/>
        <w:rPr>
          <w:sz w:val="20"/>
          <w:lang w:val="en-US"/>
        </w:rPr>
      </w:pPr>
      <w:r w:rsidRPr="000E0EB1">
        <w:rPr>
          <w:rStyle w:val="FootnoteReference"/>
          <w:sz w:val="20"/>
        </w:rPr>
        <w:footnoteRef/>
      </w:r>
      <w:r w:rsidRPr="000E0EB1">
        <w:rPr>
          <w:sz w:val="20"/>
        </w:rPr>
        <w:t xml:space="preserve"> </w:t>
      </w:r>
      <w:r w:rsidRPr="000E0EB1">
        <w:rPr>
          <w:sz w:val="20"/>
          <w:lang w:val="en-US"/>
        </w:rPr>
        <w:t>Martina Fantini et al. (2021) Calcium Looping Technology Demonstration in Industrial Environment: Status of the CLEANKER Pilot Plant</w:t>
      </w:r>
    </w:p>
  </w:footnote>
  <w:footnote w:id="77">
    <w:p w14:paraId="1893B118" w14:textId="77777777" w:rsidR="005A2816" w:rsidRPr="000E0EB1" w:rsidRDefault="005A2816" w:rsidP="005A2816">
      <w:pPr>
        <w:pStyle w:val="FootnoteText"/>
        <w:rPr>
          <w:sz w:val="20"/>
        </w:rPr>
      </w:pPr>
      <w:r w:rsidRPr="000E0EB1">
        <w:rPr>
          <w:rStyle w:val="FootnoteReference"/>
          <w:sz w:val="20"/>
        </w:rPr>
        <w:footnoteRef/>
      </w:r>
      <w:r w:rsidRPr="000E0EB1">
        <w:rPr>
          <w:sz w:val="20"/>
        </w:rPr>
        <w:t xml:space="preserve"> Cal by 2030 project. Available at: https://www.calby2030.eu/overview-of-the-project</w:t>
      </w:r>
    </w:p>
  </w:footnote>
  <w:footnote w:id="78">
    <w:p w14:paraId="454FBAD5" w14:textId="43221319" w:rsidR="00EB7830" w:rsidRPr="000E0EB1" w:rsidRDefault="00EB7830">
      <w:pPr>
        <w:pStyle w:val="FootnoteText"/>
        <w:rPr>
          <w:sz w:val="20"/>
          <w:lang w:val="en-US"/>
        </w:rPr>
      </w:pPr>
      <w:r w:rsidRPr="000E0EB1">
        <w:rPr>
          <w:rStyle w:val="FootnoteReference"/>
          <w:sz w:val="20"/>
        </w:rPr>
        <w:footnoteRef/>
      </w:r>
      <w:r w:rsidRPr="000E0EB1">
        <w:rPr>
          <w:sz w:val="20"/>
        </w:rPr>
        <w:t xml:space="preserve"> </w:t>
      </w:r>
      <w:r w:rsidRPr="000E0EB1">
        <w:rPr>
          <w:sz w:val="20"/>
          <w:lang w:val="en-US"/>
        </w:rPr>
        <w:t>J</w:t>
      </w:r>
      <w:r w:rsidR="00E56A40" w:rsidRPr="000E0EB1">
        <w:rPr>
          <w:sz w:val="20"/>
          <w:lang w:val="en-US"/>
        </w:rPr>
        <w:t>on Yin et al. (CSIRO 2020) Retrofitting calcium carbonate looping to an existing cement plant for CO2 capture: a techno-economic feasibility study</w:t>
      </w:r>
    </w:p>
  </w:footnote>
  <w:footnote w:id="79">
    <w:p w14:paraId="46DA6B87" w14:textId="77777777" w:rsidR="004D1AD2" w:rsidRPr="000E0EB1" w:rsidRDefault="004D1AD2" w:rsidP="004D1AD2">
      <w:pPr>
        <w:pStyle w:val="FootnoteText"/>
        <w:rPr>
          <w:sz w:val="20"/>
        </w:rPr>
      </w:pPr>
      <w:r w:rsidRPr="000E0EB1">
        <w:rPr>
          <w:rStyle w:val="FootnoteReference"/>
          <w:sz w:val="20"/>
        </w:rPr>
        <w:footnoteRef/>
      </w:r>
      <w:r w:rsidRPr="000E0EB1">
        <w:rPr>
          <w:sz w:val="20"/>
        </w:rPr>
        <w:t xml:space="preserve"> Fu, Chao, et al. "Techno-economic analyses of the CaO/CaCO3 post-combustion CO2 capture from NGCC power plants." </w:t>
      </w:r>
      <w:r w:rsidRPr="000E0EB1">
        <w:rPr>
          <w:i/>
          <w:iCs/>
          <w:sz w:val="20"/>
        </w:rPr>
        <w:t>Frontiers in Chemical Engineering</w:t>
      </w:r>
      <w:r w:rsidRPr="000E0EB1">
        <w:rPr>
          <w:sz w:val="20"/>
        </w:rPr>
        <w:t> 2 (2021): 596417.</w:t>
      </w:r>
    </w:p>
  </w:footnote>
  <w:footnote w:id="80">
    <w:p w14:paraId="3094C015" w14:textId="3DAB049F" w:rsidR="00E37AC1" w:rsidRPr="000E0EB1" w:rsidRDefault="00E37AC1">
      <w:pPr>
        <w:pStyle w:val="FootnoteText"/>
        <w:rPr>
          <w:sz w:val="20"/>
        </w:rPr>
      </w:pPr>
      <w:r w:rsidRPr="000E0EB1">
        <w:rPr>
          <w:rStyle w:val="FootnoteReference"/>
          <w:sz w:val="20"/>
        </w:rPr>
        <w:footnoteRef/>
      </w:r>
      <w:r w:rsidR="004732AC" w:rsidRPr="000E0EB1">
        <w:rPr>
          <w:sz w:val="20"/>
        </w:rPr>
        <w:t xml:space="preserve"> Barrel of oil equivalent </w:t>
      </w:r>
      <w:r w:rsidR="004732AC" w:rsidRPr="000E0EB1">
        <w:rPr>
          <w:sz w:val="20"/>
          <w:lang w:val="en-US"/>
        </w:rPr>
        <w:t xml:space="preserve"> is a standardized unit of energy used in the oil and gas industry to compare the energy content of different fuels. One BOE represents the amount of energy released by burning one barrel (159 liters) of crude oil and is approximately equal to 1,7 MWh.</w:t>
      </w:r>
    </w:p>
  </w:footnote>
  <w:footnote w:id="81">
    <w:p w14:paraId="777DFCD7" w14:textId="77777777" w:rsidR="00E37AC1" w:rsidRPr="000E0EB1" w:rsidRDefault="00E37AC1">
      <w:pPr>
        <w:pStyle w:val="FootnoteText"/>
        <w:rPr>
          <w:sz w:val="20"/>
        </w:rPr>
      </w:pPr>
      <w:r w:rsidRPr="000E0EB1">
        <w:rPr>
          <w:rStyle w:val="FootnoteReference"/>
          <w:sz w:val="20"/>
        </w:rPr>
        <w:footnoteRef/>
      </w:r>
      <w:r w:rsidRPr="000E0EB1">
        <w:rPr>
          <w:sz w:val="20"/>
        </w:rPr>
        <w:t xml:space="preserve"> </w:t>
      </w:r>
      <w:r w:rsidRPr="000E0EB1">
        <w:rPr>
          <w:sz w:val="20"/>
          <w:lang w:val="en-US"/>
        </w:rPr>
        <w:t>IEA (2023) Emissions from Oil and Gas Operations in Net Zero Transitions: A World Energy Outlook Special Report on the Oil and Gas Industry and COP28</w:t>
      </w:r>
      <w:r w:rsidR="004732AC" w:rsidRPr="000E0EB1">
        <w:rPr>
          <w:sz w:val="20"/>
          <w:lang w:val="en-US"/>
        </w:rPr>
        <w:t>.</w:t>
      </w:r>
    </w:p>
  </w:footnote>
  <w:footnote w:id="82">
    <w:p w14:paraId="2D1A8A35" w14:textId="77777777" w:rsidR="00D359E4" w:rsidRPr="000E0EB1" w:rsidRDefault="00D359E4" w:rsidP="00D359E4">
      <w:pPr>
        <w:pStyle w:val="FootnoteText"/>
        <w:rPr>
          <w:sz w:val="20"/>
        </w:rPr>
      </w:pPr>
      <w:r w:rsidRPr="000E0EB1">
        <w:rPr>
          <w:rStyle w:val="FootnoteReference"/>
          <w:sz w:val="20"/>
        </w:rPr>
        <w:footnoteRef/>
      </w:r>
      <w:r w:rsidRPr="000E0EB1">
        <w:rPr>
          <w:sz w:val="20"/>
        </w:rPr>
        <w:t xml:space="preserve"> Waghmode, V. (2024) Cassava Prices Soaring in Nigeria Due to Increased Demand from Ethanol Producers</w:t>
      </w:r>
    </w:p>
  </w:footnote>
  <w:footnote w:id="83">
    <w:p w14:paraId="11E7A493" w14:textId="6DF183B9" w:rsidR="0037548C" w:rsidRPr="000E0EB1" w:rsidRDefault="0037548C">
      <w:pPr>
        <w:pStyle w:val="FootnoteText"/>
        <w:rPr>
          <w:sz w:val="20"/>
        </w:rPr>
      </w:pPr>
      <w:r w:rsidRPr="000E0EB1">
        <w:rPr>
          <w:rStyle w:val="FootnoteReference"/>
          <w:sz w:val="20"/>
        </w:rPr>
        <w:footnoteRef/>
      </w:r>
      <w:r w:rsidRPr="000E0EB1">
        <w:rPr>
          <w:sz w:val="20"/>
        </w:rPr>
        <w:t xml:space="preserve"> GFI, Driving down costs, unpublished</w:t>
      </w:r>
    </w:p>
  </w:footnote>
  <w:footnote w:id="84">
    <w:p w14:paraId="17C81979" w14:textId="75E55DD9" w:rsidR="00D43162" w:rsidRPr="000E0EB1" w:rsidRDefault="00D43162">
      <w:pPr>
        <w:pStyle w:val="FootnoteText"/>
        <w:rPr>
          <w:sz w:val="20"/>
          <w:lang w:val="en-US"/>
        </w:rPr>
      </w:pPr>
      <w:r w:rsidRPr="000E0EB1">
        <w:rPr>
          <w:rStyle w:val="FootnoteReference"/>
          <w:sz w:val="20"/>
        </w:rPr>
        <w:footnoteRef/>
      </w:r>
      <w:r w:rsidRPr="000E0EB1">
        <w:rPr>
          <w:sz w:val="20"/>
        </w:rPr>
        <w:t xml:space="preserve"> GFI (2023) </w:t>
      </w:r>
      <w:hyperlink r:id="rId3" w:history="1">
        <w:r w:rsidRPr="000E0EB1">
          <w:rPr>
            <w:rStyle w:val="Hyperlink"/>
            <w:color w:val="auto"/>
            <w:sz w:val="20"/>
            <w:u w:val="none"/>
          </w:rPr>
          <w:t>Manufacturing capacity landscape and scaling strategies for fermentation-derived proteins</w:t>
        </w:r>
      </w:hyperlink>
      <w:r w:rsidRPr="000E0EB1">
        <w:rPr>
          <w:sz w:val="20"/>
        </w:rPr>
        <w:t xml:space="preserve">; BCG &amp; Synonym (2024) </w:t>
      </w:r>
      <w:hyperlink r:id="rId4" w:history="1">
        <w:r w:rsidRPr="000E0EB1">
          <w:rPr>
            <w:rStyle w:val="Hyperlink"/>
            <w:color w:val="auto"/>
            <w:sz w:val="20"/>
            <w:u w:val="none"/>
            <w:lang w:val="en-US"/>
          </w:rPr>
          <w:t>Breaking the Cost Barrier on Biomanufacturing</w:t>
        </w:r>
      </w:hyperlink>
    </w:p>
  </w:footnote>
  <w:footnote w:id="85">
    <w:p w14:paraId="2C8E1285" w14:textId="0D7EADDA" w:rsidR="00EA24A5" w:rsidRPr="000E0EB1" w:rsidRDefault="00EA24A5">
      <w:pPr>
        <w:pStyle w:val="FootnoteText"/>
        <w:rPr>
          <w:sz w:val="20"/>
        </w:rPr>
      </w:pPr>
      <w:r w:rsidRPr="000E0EB1">
        <w:rPr>
          <w:rStyle w:val="FootnoteReference"/>
          <w:sz w:val="20"/>
        </w:rPr>
        <w:footnoteRef/>
      </w:r>
      <w:r w:rsidRPr="000E0EB1">
        <w:rPr>
          <w:sz w:val="20"/>
        </w:rPr>
        <w:t xml:space="preserve"> Systemiq (2025) A Taste of Tomorrow </w:t>
      </w:r>
    </w:p>
  </w:footnote>
  <w:footnote w:id="86">
    <w:p w14:paraId="3D0708C8" w14:textId="5B5A7DE5" w:rsidR="006D4F3F" w:rsidRPr="000E0EB1" w:rsidRDefault="007F482D" w:rsidP="006D4F3F">
      <w:pPr>
        <w:pStyle w:val="FootnoteText"/>
        <w:rPr>
          <w:sz w:val="20"/>
        </w:rPr>
      </w:pPr>
      <w:r w:rsidRPr="000E0EB1">
        <w:rPr>
          <w:rStyle w:val="FootnoteReference"/>
          <w:sz w:val="20"/>
        </w:rPr>
        <w:footnoteRef/>
      </w:r>
      <w:r w:rsidRPr="000E0EB1">
        <w:rPr>
          <w:sz w:val="20"/>
        </w:rPr>
        <w:t xml:space="preserve"> </w:t>
      </w:r>
      <w:r w:rsidR="006D4F3F" w:rsidRPr="000E0EB1">
        <w:rPr>
          <w:sz w:val="20"/>
        </w:rPr>
        <w:t xml:space="preserve">[1] Van Oort (2023) Can seaweeds feed the world? Modelling world offshore seaweed </w:t>
      </w:r>
    </w:p>
    <w:p w14:paraId="72BFB537" w14:textId="3DD17C93" w:rsidR="007F482D" w:rsidRPr="000E0EB1" w:rsidRDefault="006D4F3F" w:rsidP="00E637A2">
      <w:pPr>
        <w:pStyle w:val="FootnoteText"/>
        <w:rPr>
          <w:sz w:val="20"/>
        </w:rPr>
      </w:pPr>
      <w:r w:rsidRPr="000E0EB1">
        <w:rPr>
          <w:sz w:val="20"/>
        </w:rPr>
        <w:t xml:space="preserve">production potential; [2] Greene, C.H. &amp; Scott-Buechler, C.M. (2022). Algal solutions: Transforming marine aquaculture from the bottom up for a sustainable future; [3] </w:t>
      </w:r>
      <w:r w:rsidR="00E637A2" w:rsidRPr="000E0EB1">
        <w:rPr>
          <w:sz w:val="20"/>
        </w:rPr>
        <w:t>Caporgno &amp; Mathys (2018) – Frontiers in Nutrition; [4] Stice C. and Basu A. (2015) The Great Protein Shift: Re-Thinking One of the Fundamental Building Blocks of the Human Diet; [5] Makkar et al., 2016 –Seaweeds for livestock diets: A review; [6] Park S. et al. (2024) Production of safe cyanobacterial biomass for animal feed using wastewater and drinking-water-treatment residuals</w:t>
      </w:r>
    </w:p>
  </w:footnote>
  <w:footnote w:id="87">
    <w:p w14:paraId="3DD4B7B6" w14:textId="53EFBDC7" w:rsidR="0018357C" w:rsidRPr="000E0EB1" w:rsidRDefault="0018357C">
      <w:pPr>
        <w:pStyle w:val="FootnoteText"/>
        <w:rPr>
          <w:sz w:val="20"/>
        </w:rPr>
      </w:pPr>
      <w:r w:rsidRPr="000E0EB1">
        <w:rPr>
          <w:rStyle w:val="FootnoteReference"/>
          <w:sz w:val="20"/>
        </w:rPr>
        <w:footnoteRef/>
      </w:r>
      <w:r w:rsidRPr="000E0EB1">
        <w:rPr>
          <w:sz w:val="20"/>
        </w:rPr>
        <w:t xml:space="preserve"> Huerta-Rosas, </w:t>
      </w:r>
      <w:r w:rsidR="00597C33" w:rsidRPr="000E0EB1">
        <w:rPr>
          <w:sz w:val="20"/>
        </w:rPr>
        <w:t>Brenda, et al., (2024) Design and optimization of an intensified sustainable plant to produce biojet fuel using the ATJ process</w:t>
      </w:r>
    </w:p>
  </w:footnote>
  <w:footnote w:id="88">
    <w:p w14:paraId="640E121B" w14:textId="77777777" w:rsidR="00C7433D" w:rsidRPr="000E0EB1" w:rsidRDefault="00C7433D" w:rsidP="00C7433D">
      <w:pPr>
        <w:pStyle w:val="FootnoteText"/>
        <w:rPr>
          <w:sz w:val="20"/>
        </w:rPr>
      </w:pPr>
      <w:r w:rsidRPr="000E0EB1">
        <w:rPr>
          <w:rStyle w:val="FootnoteReference"/>
          <w:sz w:val="20"/>
        </w:rPr>
        <w:footnoteRef/>
      </w:r>
      <w:r w:rsidRPr="000E0EB1">
        <w:rPr>
          <w:sz w:val="20"/>
        </w:rPr>
        <w:t xml:space="preserve"> This has been observed in the Calumet project, where the novel micro-channel Fischer-Tropsch reactor costed 15% less than the incumbent technology</w:t>
      </w:r>
    </w:p>
  </w:footnote>
  <w:footnote w:id="89">
    <w:p w14:paraId="260AC46F" w14:textId="64C4AE91" w:rsidR="00AD141D" w:rsidRPr="000E0EB1" w:rsidRDefault="00AD141D" w:rsidP="00AD141D">
      <w:pPr>
        <w:pStyle w:val="FootnoteText"/>
        <w:rPr>
          <w:sz w:val="20"/>
        </w:rPr>
      </w:pPr>
      <w:r w:rsidRPr="000E0EB1">
        <w:rPr>
          <w:rStyle w:val="FootnoteReference"/>
          <w:sz w:val="20"/>
        </w:rPr>
        <w:footnoteRef/>
      </w:r>
      <w:r w:rsidRPr="000E0EB1">
        <w:rPr>
          <w:sz w:val="20"/>
        </w:rPr>
        <w:t xml:space="preserve"> </w:t>
      </w:r>
      <w:r w:rsidR="003625D6" w:rsidRPr="000E0EB1">
        <w:rPr>
          <w:sz w:val="20"/>
        </w:rPr>
        <w:t xml:space="preserve">ETC (2021) </w:t>
      </w:r>
      <w:r w:rsidR="003625D6" w:rsidRPr="000E0EB1">
        <w:rPr>
          <w:i/>
          <w:iCs/>
          <w:sz w:val="20"/>
        </w:rPr>
        <w:t>Bioresources within a Net-Zero Emissions Economy: Making a Sustainable Approach Possible</w:t>
      </w:r>
      <w:r w:rsidRPr="000E0EB1">
        <w:rPr>
          <w:sz w:val="20"/>
        </w:rPr>
        <w:t>. Note that these estimates are for supply at the “primary energy” level, before conversion losses: energy delivered at the “final energy</w:t>
      </w:r>
      <w:r w:rsidR="005F2FC0" w:rsidRPr="000E0EB1">
        <w:rPr>
          <w:sz w:val="20"/>
        </w:rPr>
        <w:t xml:space="preserve"> </w:t>
      </w:r>
      <w:r w:rsidRPr="000E0EB1">
        <w:rPr>
          <w:sz w:val="20"/>
        </w:rPr>
        <w:t>level</w:t>
      </w:r>
      <w:r w:rsidR="005F2FC0" w:rsidRPr="000E0EB1">
        <w:rPr>
          <w:sz w:val="20"/>
        </w:rPr>
        <w:t>”</w:t>
      </w:r>
      <w:r w:rsidRPr="000E0EB1">
        <w:rPr>
          <w:sz w:val="20"/>
        </w:rPr>
        <w:t xml:space="preserve"> would be significant less </w:t>
      </w:r>
    </w:p>
  </w:footnote>
  <w:footnote w:id="90">
    <w:p w14:paraId="6D298152" w14:textId="07B32E2D" w:rsidR="00932BD3" w:rsidRPr="000E0EB1" w:rsidRDefault="00932BD3" w:rsidP="00932BD3">
      <w:pPr>
        <w:pStyle w:val="FootnoteText"/>
        <w:rPr>
          <w:sz w:val="20"/>
          <w:lang w:val="en-US"/>
        </w:rPr>
      </w:pPr>
      <w:r w:rsidRPr="000E0EB1">
        <w:rPr>
          <w:rStyle w:val="FootnoteReference"/>
          <w:sz w:val="20"/>
        </w:rPr>
        <w:footnoteRef/>
      </w:r>
      <w:r w:rsidRPr="000E0EB1">
        <w:rPr>
          <w:sz w:val="20"/>
        </w:rPr>
        <w:t xml:space="preserve"> ETC (2023), Accelerated but Clearly Feasible Scenario</w:t>
      </w:r>
      <w:r w:rsidR="00B0562C" w:rsidRPr="000E0EB1">
        <w:rPr>
          <w:sz w:val="20"/>
        </w:rPr>
        <w:t xml:space="preserve"> from the </w:t>
      </w:r>
      <w:r w:rsidR="00B0562C" w:rsidRPr="000E0EB1">
        <w:rPr>
          <w:i/>
          <w:iCs/>
          <w:sz w:val="20"/>
        </w:rPr>
        <w:t>Fossil Fuels in Transition report</w:t>
      </w:r>
      <w:r w:rsidRPr="000E0EB1">
        <w:rPr>
          <w:color w:val="EE0000"/>
          <w:sz w:val="20"/>
        </w:rPr>
        <w:t xml:space="preserve"> </w:t>
      </w:r>
    </w:p>
  </w:footnote>
  <w:footnote w:id="91">
    <w:p w14:paraId="6C532770" w14:textId="77777777" w:rsidR="00932BD3" w:rsidRPr="000E0EB1" w:rsidRDefault="00932BD3" w:rsidP="00932BD3">
      <w:pPr>
        <w:pStyle w:val="FootnoteText"/>
        <w:rPr>
          <w:sz w:val="20"/>
          <w:lang w:val="en-US"/>
        </w:rPr>
      </w:pPr>
      <w:r w:rsidRPr="000E0EB1">
        <w:rPr>
          <w:rStyle w:val="FootnoteReference"/>
          <w:sz w:val="20"/>
        </w:rPr>
        <w:footnoteRef/>
      </w:r>
      <w:r w:rsidRPr="000E0EB1">
        <w:rPr>
          <w:sz w:val="20"/>
        </w:rPr>
        <w:t xml:space="preserve"> </w:t>
      </w:r>
      <w:r w:rsidRPr="000E0EB1">
        <w:rPr>
          <w:sz w:val="20"/>
          <w:lang w:val="en-US"/>
        </w:rPr>
        <w:t>IEA (2024), Annual CO</w:t>
      </w:r>
      <w:r w:rsidRPr="000E0EB1">
        <w:rPr>
          <w:sz w:val="20"/>
          <w:vertAlign w:val="subscript"/>
          <w:lang w:val="en-US"/>
        </w:rPr>
        <w:t>2</w:t>
      </w:r>
      <w:r w:rsidRPr="000E0EB1">
        <w:rPr>
          <w:sz w:val="20"/>
          <w:lang w:val="en-US"/>
        </w:rPr>
        <w:t xml:space="preserve"> capture capacity vs CO</w:t>
      </w:r>
      <w:r w:rsidRPr="000E0EB1">
        <w:rPr>
          <w:sz w:val="20"/>
          <w:vertAlign w:val="subscript"/>
          <w:lang w:val="en-US"/>
        </w:rPr>
        <w:t>2</w:t>
      </w:r>
      <w:r w:rsidRPr="000E0EB1">
        <w:rPr>
          <w:sz w:val="20"/>
          <w:lang w:val="en-US"/>
        </w:rPr>
        <w:t xml:space="preserve"> storage capacity, current and planned, 2022-2030.</w:t>
      </w:r>
    </w:p>
  </w:footnote>
  <w:footnote w:id="92">
    <w:p w14:paraId="161DF524" w14:textId="2D7A1675" w:rsidR="0010338A" w:rsidRPr="000E0EB1" w:rsidRDefault="0010338A">
      <w:pPr>
        <w:pStyle w:val="FootnoteText"/>
        <w:rPr>
          <w:sz w:val="20"/>
        </w:rPr>
      </w:pPr>
      <w:r w:rsidRPr="000E0EB1">
        <w:rPr>
          <w:rStyle w:val="FootnoteReference"/>
          <w:sz w:val="20"/>
        </w:rPr>
        <w:footnoteRef/>
      </w:r>
      <w:r w:rsidRPr="000E0EB1">
        <w:rPr>
          <w:sz w:val="20"/>
        </w:rPr>
        <w:t xml:space="preserve"> </w:t>
      </w:r>
      <w:r w:rsidR="002B669C" w:rsidRPr="000E0EB1">
        <w:rPr>
          <w:sz w:val="20"/>
        </w:rPr>
        <w:t>Lena Walter et al. (2012) Brine migration resulting from CO2 injection into saline aquifers – An approach to risk estimation including various levels of uncertainty</w:t>
      </w:r>
    </w:p>
  </w:footnote>
  <w:footnote w:id="93">
    <w:p w14:paraId="511A2EB4" w14:textId="296D68D4" w:rsidR="002B669C" w:rsidRPr="000E0EB1" w:rsidRDefault="002B669C">
      <w:pPr>
        <w:pStyle w:val="FootnoteText"/>
        <w:rPr>
          <w:sz w:val="20"/>
        </w:rPr>
      </w:pPr>
      <w:r w:rsidRPr="000E0EB1">
        <w:rPr>
          <w:rStyle w:val="FootnoteReference"/>
          <w:sz w:val="20"/>
        </w:rPr>
        <w:footnoteRef/>
      </w:r>
      <w:r w:rsidRPr="000E0EB1">
        <w:rPr>
          <w:sz w:val="20"/>
        </w:rPr>
        <w:t xml:space="preserve"> </w:t>
      </w:r>
      <w:r w:rsidR="0036650F" w:rsidRPr="000E0EB1">
        <w:rPr>
          <w:sz w:val="20"/>
        </w:rPr>
        <w:t>Raoof Gholami et al. (2021) Leakage risk assessment of a CO2 storage site: A review</w:t>
      </w:r>
    </w:p>
  </w:footnote>
  <w:footnote w:id="94">
    <w:p w14:paraId="4DE43F60" w14:textId="429838EA" w:rsidR="0001494A" w:rsidRPr="000E0EB1" w:rsidRDefault="0001494A">
      <w:pPr>
        <w:pStyle w:val="FootnoteText"/>
        <w:rPr>
          <w:sz w:val="20"/>
          <w:lang w:val="en-US"/>
        </w:rPr>
      </w:pPr>
      <w:r w:rsidRPr="000E0EB1">
        <w:rPr>
          <w:rStyle w:val="FootnoteReference"/>
          <w:sz w:val="20"/>
        </w:rPr>
        <w:footnoteRef/>
      </w:r>
      <w:r w:rsidRPr="000E0EB1">
        <w:rPr>
          <w:sz w:val="20"/>
        </w:rPr>
        <w:t xml:space="preserve"> </w:t>
      </w:r>
      <w:r w:rsidR="005622CE" w:rsidRPr="000E0EB1">
        <w:rPr>
          <w:sz w:val="20"/>
          <w:lang w:val="en-US"/>
        </w:rPr>
        <w:t>Climeworks</w:t>
      </w:r>
      <w:r w:rsidR="001D08C3" w:rsidRPr="000E0EB1">
        <w:rPr>
          <w:sz w:val="20"/>
          <w:lang w:val="en-US"/>
        </w:rPr>
        <w:t xml:space="preserve">, </w:t>
      </w:r>
      <w:r w:rsidR="001D08C3" w:rsidRPr="000E0EB1">
        <w:rPr>
          <w:i/>
          <w:sz w:val="20"/>
          <w:lang w:val="en-US"/>
        </w:rPr>
        <w:t>Mammoth: our newest facility</w:t>
      </w:r>
      <w:r w:rsidR="000B3F93" w:rsidRPr="000E0EB1">
        <w:rPr>
          <w:sz w:val="20"/>
          <w:lang w:val="en-US"/>
        </w:rPr>
        <w:t xml:space="preserve">. </w:t>
      </w:r>
      <w:r w:rsidR="000B3F93" w:rsidRPr="000E0EB1">
        <w:rPr>
          <w:sz w:val="20"/>
        </w:rPr>
        <w:t>Available at</w:t>
      </w:r>
      <w:r w:rsidR="006F6075" w:rsidRPr="000E0EB1">
        <w:rPr>
          <w:sz w:val="20"/>
        </w:rPr>
        <w:t>:</w:t>
      </w:r>
      <w:r w:rsidR="000B3F93" w:rsidRPr="000E0EB1">
        <w:rPr>
          <w:sz w:val="20"/>
        </w:rPr>
        <w:t xml:space="preserve"> https://climeworks.com/plant-mammoth. [Accessed June 2025].</w:t>
      </w:r>
    </w:p>
  </w:footnote>
  <w:footnote w:id="95">
    <w:p w14:paraId="19CFAEBD" w14:textId="534B0E09" w:rsidR="00C11D3E" w:rsidRPr="000E0EB1" w:rsidRDefault="0024348C" w:rsidP="00C11D3E">
      <w:pPr>
        <w:pStyle w:val="FootnoteText"/>
        <w:rPr>
          <w:sz w:val="20"/>
          <w:lang w:val="en-US"/>
        </w:rPr>
      </w:pPr>
      <w:r w:rsidRPr="000E0EB1">
        <w:rPr>
          <w:rStyle w:val="FootnoteReference"/>
          <w:sz w:val="20"/>
        </w:rPr>
        <w:footnoteRef/>
      </w:r>
      <w:r w:rsidRPr="000E0EB1">
        <w:rPr>
          <w:sz w:val="20"/>
        </w:rPr>
        <w:t xml:space="preserve"> </w:t>
      </w:r>
      <w:r w:rsidR="004E5174" w:rsidRPr="000E0EB1">
        <w:rPr>
          <w:sz w:val="20"/>
        </w:rPr>
        <w:t xml:space="preserve">Octavia Carbon, </w:t>
      </w:r>
      <w:r w:rsidR="00C11D3E" w:rsidRPr="000E0EB1">
        <w:rPr>
          <w:i/>
          <w:sz w:val="20"/>
          <w:lang w:val="en-US"/>
        </w:rPr>
        <w:t>Accelerating The Path to Net Zer</w:t>
      </w:r>
      <w:r w:rsidR="008B3BB9" w:rsidRPr="000E0EB1">
        <w:rPr>
          <w:i/>
          <w:sz w:val="20"/>
          <w:lang w:val="en-US"/>
        </w:rPr>
        <w:t>o</w:t>
      </w:r>
      <w:r w:rsidR="00C11D3E" w:rsidRPr="000E0EB1">
        <w:rPr>
          <w:sz w:val="20"/>
          <w:lang w:val="en-US"/>
        </w:rPr>
        <w:t xml:space="preserve">. </w:t>
      </w:r>
      <w:r w:rsidR="00C11D3E" w:rsidRPr="000E0EB1">
        <w:rPr>
          <w:sz w:val="20"/>
        </w:rPr>
        <w:t>Available at</w:t>
      </w:r>
      <w:r w:rsidR="006F6075" w:rsidRPr="000E0EB1">
        <w:rPr>
          <w:sz w:val="20"/>
        </w:rPr>
        <w:t>:</w:t>
      </w:r>
      <w:r w:rsidR="00C11D3E" w:rsidRPr="000E0EB1">
        <w:rPr>
          <w:sz w:val="20"/>
        </w:rPr>
        <w:t xml:space="preserve"> https://</w:t>
      </w:r>
      <w:r w:rsidR="006F6075" w:rsidRPr="000E0EB1">
        <w:rPr>
          <w:sz w:val="20"/>
        </w:rPr>
        <w:t>www.octaviacarbon</w:t>
      </w:r>
      <w:r w:rsidR="00C11D3E" w:rsidRPr="000E0EB1">
        <w:rPr>
          <w:sz w:val="20"/>
        </w:rPr>
        <w:t>.com/</w:t>
      </w:r>
      <w:r w:rsidR="006F6075" w:rsidRPr="000E0EB1">
        <w:rPr>
          <w:sz w:val="20"/>
        </w:rPr>
        <w:t>technology</w:t>
      </w:r>
      <w:r w:rsidR="00C11D3E" w:rsidRPr="000E0EB1">
        <w:rPr>
          <w:sz w:val="20"/>
        </w:rPr>
        <w:t>. [Accessed June 2025].</w:t>
      </w:r>
    </w:p>
    <w:p w14:paraId="619428B2" w14:textId="4F6F39F6" w:rsidR="00C11D3E" w:rsidRPr="000E0EB1" w:rsidRDefault="00C11D3E" w:rsidP="00C11D3E">
      <w:pPr>
        <w:pStyle w:val="FootnoteText"/>
        <w:rPr>
          <w:b/>
          <w:bCs/>
          <w:sz w:val="20"/>
        </w:rPr>
      </w:pPr>
    </w:p>
    <w:p w14:paraId="3403C25B" w14:textId="0BEA0F55" w:rsidR="0024348C" w:rsidRPr="000E0EB1" w:rsidRDefault="0024348C">
      <w:pPr>
        <w:pStyle w:val="FootnoteText"/>
        <w:rPr>
          <w:sz w:val="20"/>
        </w:rPr>
      </w:pPr>
    </w:p>
  </w:footnote>
  <w:footnote w:id="96">
    <w:p w14:paraId="48265BA7" w14:textId="575EB814" w:rsidR="00E32FEF" w:rsidRPr="000E0EB1" w:rsidRDefault="00E32FEF">
      <w:pPr>
        <w:pStyle w:val="FootnoteText"/>
        <w:rPr>
          <w:sz w:val="20"/>
        </w:rPr>
      </w:pPr>
      <w:r w:rsidRPr="000E0EB1">
        <w:rPr>
          <w:rStyle w:val="FootnoteReference"/>
          <w:sz w:val="20"/>
        </w:rPr>
        <w:footnoteRef/>
      </w:r>
      <w:r w:rsidRPr="000E0EB1">
        <w:rPr>
          <w:sz w:val="20"/>
        </w:rPr>
        <w:t xml:space="preserve"> </w:t>
      </w:r>
      <w:r w:rsidRPr="000E0EB1">
        <w:rPr>
          <w:sz w:val="20"/>
          <w:lang w:val="en-US"/>
        </w:rPr>
        <w:t>Carbfix (2025), Carbfix Secures Europe’s First Storage Permit for Onshore Geological Storage of CO</w:t>
      </w:r>
      <w:r w:rsidRPr="000E0EB1">
        <w:rPr>
          <w:rFonts w:ascii="Cambria Math" w:hAnsi="Cambria Math" w:cs="Cambria Math"/>
          <w:sz w:val="20"/>
          <w:lang w:val="en-US"/>
        </w:rPr>
        <w:t>₂</w:t>
      </w:r>
      <w:r w:rsidRPr="000E0EB1">
        <w:rPr>
          <w:rFonts w:cs="Cambria Math"/>
          <w:sz w:val="20"/>
          <w:lang w:val="en-US"/>
        </w:rPr>
        <w:t xml:space="preserve">. </w:t>
      </w:r>
      <w:r w:rsidR="00202EDD" w:rsidRPr="000E0EB1">
        <w:rPr>
          <w:sz w:val="20"/>
        </w:rPr>
        <w:t>Available at https://www.carbfix.com/newsmedia/carbfix-secures-europes-first-storage-permit-for-o. [Accessed June 2025].</w:t>
      </w:r>
    </w:p>
  </w:footnote>
  <w:footnote w:id="97">
    <w:p w14:paraId="298584C0" w14:textId="7F5CB080" w:rsidR="008B3BB9" w:rsidRPr="000E0EB1" w:rsidRDefault="008B3BB9">
      <w:pPr>
        <w:pStyle w:val="FootnoteText"/>
        <w:rPr>
          <w:sz w:val="20"/>
          <w:lang w:val="en-US"/>
        </w:rPr>
      </w:pPr>
      <w:r w:rsidRPr="000E0EB1">
        <w:rPr>
          <w:rStyle w:val="FootnoteReference"/>
          <w:sz w:val="20"/>
        </w:rPr>
        <w:footnoteRef/>
      </w:r>
      <w:r w:rsidRPr="000E0EB1">
        <w:rPr>
          <w:sz w:val="20"/>
        </w:rPr>
        <w:t xml:space="preserve"> </w:t>
      </w:r>
      <w:r w:rsidR="004959AE" w:rsidRPr="000E0EB1">
        <w:rPr>
          <w:sz w:val="20"/>
        </w:rPr>
        <w:t>UK Government (May 2024)</w:t>
      </w:r>
      <w:r w:rsidRPr="000E0EB1">
        <w:rPr>
          <w:sz w:val="20"/>
        </w:rPr>
        <w:t xml:space="preserve">, </w:t>
      </w:r>
      <w:r w:rsidR="004959AE" w:rsidRPr="000E0EB1">
        <w:rPr>
          <w:i/>
          <w:sz w:val="20"/>
          <w:lang w:val="en-US"/>
        </w:rPr>
        <w:t>Integrating greenhouse gas removals in the UK Emissions Trading Scheme</w:t>
      </w:r>
      <w:r w:rsidRPr="000E0EB1">
        <w:rPr>
          <w:sz w:val="20"/>
          <w:lang w:val="en-US"/>
        </w:rPr>
        <w:t xml:space="preserve">. </w:t>
      </w:r>
      <w:r w:rsidRPr="000E0EB1">
        <w:rPr>
          <w:sz w:val="20"/>
        </w:rPr>
        <w:t xml:space="preserve">Available at: </w:t>
      </w:r>
      <w:r w:rsidR="004959AE" w:rsidRPr="000E0EB1">
        <w:rPr>
          <w:sz w:val="20"/>
        </w:rPr>
        <w:t>https://www.gov.uk/government/consultations/integrating-greenhouse-gas-removals-in-the-uk-emissions-trading-scheme</w:t>
      </w:r>
      <w:r w:rsidRPr="000E0EB1">
        <w:rPr>
          <w:sz w:val="20"/>
        </w:rPr>
        <w:t>. [Accessed June 2025].</w:t>
      </w:r>
    </w:p>
  </w:footnote>
  <w:footnote w:id="98">
    <w:p w14:paraId="25941F80" w14:textId="529151D0" w:rsidR="00E92CEA" w:rsidRPr="000E0EB1" w:rsidRDefault="00E92CEA">
      <w:pPr>
        <w:pStyle w:val="FootnoteText"/>
        <w:rPr>
          <w:sz w:val="20"/>
          <w:lang w:val="en-US"/>
        </w:rPr>
      </w:pPr>
      <w:r w:rsidRPr="000E0EB1">
        <w:rPr>
          <w:rStyle w:val="FootnoteReference"/>
          <w:sz w:val="20"/>
        </w:rPr>
        <w:footnoteRef/>
      </w:r>
      <w:r w:rsidRPr="000E0EB1">
        <w:rPr>
          <w:sz w:val="20"/>
        </w:rPr>
        <w:t xml:space="preserve"> </w:t>
      </w:r>
      <w:r w:rsidR="00DB3167" w:rsidRPr="000E0EB1">
        <w:rPr>
          <w:sz w:val="20"/>
        </w:rPr>
        <w:t>Integrity Council for the Voluntary Carbon Market</w:t>
      </w:r>
      <w:r w:rsidRPr="000E0EB1">
        <w:rPr>
          <w:sz w:val="20"/>
        </w:rPr>
        <w:t xml:space="preserve"> (May 202</w:t>
      </w:r>
      <w:r w:rsidR="00DB3167" w:rsidRPr="000E0EB1">
        <w:rPr>
          <w:sz w:val="20"/>
        </w:rPr>
        <w:t>2</w:t>
      </w:r>
      <w:r w:rsidRPr="000E0EB1">
        <w:rPr>
          <w:sz w:val="20"/>
        </w:rPr>
        <w:t xml:space="preserve">), </w:t>
      </w:r>
      <w:r w:rsidR="00C25196" w:rsidRPr="000E0EB1">
        <w:rPr>
          <w:i/>
          <w:sz w:val="20"/>
          <w:lang w:val="en-US"/>
        </w:rPr>
        <w:t>Integrity Council Releases First Continuous Improvement Work Program Report, Focused on Permanence.</w:t>
      </w:r>
      <w:r w:rsidRPr="000E0EB1">
        <w:rPr>
          <w:sz w:val="20"/>
          <w:lang w:val="en-US"/>
        </w:rPr>
        <w:t xml:space="preserve"> </w:t>
      </w:r>
      <w:r w:rsidRPr="000E0EB1">
        <w:rPr>
          <w:sz w:val="20"/>
        </w:rPr>
        <w:t>Available at: https://</w:t>
      </w:r>
      <w:r w:rsidR="00D6550D" w:rsidRPr="000E0EB1">
        <w:rPr>
          <w:sz w:val="20"/>
        </w:rPr>
        <w:t>icvcm.org/ciwp-report-on-permanence/</w:t>
      </w:r>
      <w:r w:rsidRPr="000E0EB1">
        <w:rPr>
          <w:sz w:val="20"/>
        </w:rPr>
        <w:t>. [Accessed June 2025].</w:t>
      </w:r>
    </w:p>
  </w:footnote>
  <w:footnote w:id="99">
    <w:p w14:paraId="3AEC84D8" w14:textId="6C95A77B" w:rsidR="0054525F" w:rsidRPr="000E0EB1" w:rsidRDefault="0054525F">
      <w:pPr>
        <w:pStyle w:val="FootnoteText"/>
        <w:rPr>
          <w:sz w:val="20"/>
          <w:lang w:val="en-US"/>
        </w:rPr>
      </w:pPr>
      <w:r w:rsidRPr="000E0EB1">
        <w:rPr>
          <w:rStyle w:val="FootnoteReference"/>
          <w:sz w:val="20"/>
        </w:rPr>
        <w:footnoteRef/>
      </w:r>
      <w:r w:rsidRPr="000E0EB1">
        <w:rPr>
          <w:sz w:val="20"/>
        </w:rPr>
        <w:t xml:space="preserve"> </w:t>
      </w:r>
      <w:r w:rsidRPr="000E0EB1">
        <w:rPr>
          <w:sz w:val="20"/>
          <w:lang w:val="en-US"/>
        </w:rPr>
        <w:t>Also commonly referred to as engineered or sanitary landfills.</w:t>
      </w:r>
    </w:p>
  </w:footnote>
  <w:footnote w:id="100">
    <w:p w14:paraId="08D9157D" w14:textId="6E5F84EC" w:rsidR="000B1969" w:rsidRPr="000E0EB1" w:rsidRDefault="000B1969">
      <w:pPr>
        <w:pStyle w:val="FootnoteText"/>
        <w:rPr>
          <w:sz w:val="20"/>
          <w:lang w:val="en-US"/>
        </w:rPr>
      </w:pPr>
      <w:r w:rsidRPr="000E0EB1">
        <w:rPr>
          <w:rStyle w:val="FootnoteReference"/>
          <w:sz w:val="20"/>
        </w:rPr>
        <w:footnoteRef/>
      </w:r>
      <w:r w:rsidRPr="000E0EB1">
        <w:rPr>
          <w:sz w:val="20"/>
        </w:rPr>
        <w:t xml:space="preserve"> </w:t>
      </w:r>
      <w:r w:rsidR="00710A16" w:rsidRPr="000E0EB1">
        <w:rPr>
          <w:sz w:val="20"/>
        </w:rPr>
        <w:t xml:space="preserve">Landfill </w:t>
      </w:r>
      <w:r w:rsidR="00544E63" w:rsidRPr="000E0EB1">
        <w:rPr>
          <w:sz w:val="20"/>
        </w:rPr>
        <w:t>global emissions estimate at</w:t>
      </w:r>
      <w:r w:rsidR="00710A16" w:rsidRPr="000E0EB1">
        <w:rPr>
          <w:sz w:val="20"/>
        </w:rPr>
        <w:t xml:space="preserve"> ~</w:t>
      </w:r>
      <w:r w:rsidR="0014228E" w:rsidRPr="000E0EB1">
        <w:rPr>
          <w:sz w:val="20"/>
        </w:rPr>
        <w:t>0.8 Gt</w:t>
      </w:r>
      <w:r w:rsidR="00072594" w:rsidRPr="000E0EB1">
        <w:rPr>
          <w:sz w:val="20"/>
        </w:rPr>
        <w:t>CO</w:t>
      </w:r>
      <w:r w:rsidR="00072594" w:rsidRPr="000E0EB1">
        <w:rPr>
          <w:sz w:val="20"/>
          <w:vertAlign w:val="subscript"/>
        </w:rPr>
        <w:t>2</w:t>
      </w:r>
      <w:r w:rsidR="00072594" w:rsidRPr="000E0EB1">
        <w:rPr>
          <w:sz w:val="20"/>
        </w:rPr>
        <w:t xml:space="preserve">eq: </w:t>
      </w:r>
      <w:r w:rsidR="001C79AB" w:rsidRPr="000E0EB1">
        <w:rPr>
          <w:sz w:val="20"/>
        </w:rPr>
        <w:t>Pericarbon</w:t>
      </w:r>
      <w:r w:rsidR="00072594" w:rsidRPr="000E0EB1">
        <w:rPr>
          <w:sz w:val="20"/>
        </w:rPr>
        <w:t xml:space="preserve"> (202</w:t>
      </w:r>
      <w:r w:rsidR="001C79AB" w:rsidRPr="000E0EB1">
        <w:rPr>
          <w:sz w:val="20"/>
        </w:rPr>
        <w:t>5</w:t>
      </w:r>
      <w:r w:rsidR="00072594" w:rsidRPr="000E0EB1">
        <w:rPr>
          <w:sz w:val="20"/>
        </w:rPr>
        <w:t xml:space="preserve">), </w:t>
      </w:r>
      <w:r w:rsidR="00961E24" w:rsidRPr="000E0EB1">
        <w:rPr>
          <w:i/>
          <w:sz w:val="20"/>
          <w:lang w:val="en-US"/>
        </w:rPr>
        <w:t>The Methane Crisis: Uncovering</w:t>
      </w:r>
      <w:r w:rsidR="00072594" w:rsidRPr="000E0EB1">
        <w:rPr>
          <w:i/>
          <w:sz w:val="20"/>
          <w:lang w:val="en-US"/>
        </w:rPr>
        <w:t xml:space="preserve"> the </w:t>
      </w:r>
      <w:r w:rsidR="00961E24" w:rsidRPr="000E0EB1">
        <w:rPr>
          <w:i/>
          <w:sz w:val="20"/>
          <w:lang w:val="en-US"/>
        </w:rPr>
        <w:t>Climate Impact of Landfills.</w:t>
      </w:r>
      <w:r w:rsidR="00072594" w:rsidRPr="000E0EB1">
        <w:rPr>
          <w:sz w:val="20"/>
          <w:lang w:val="en-US"/>
        </w:rPr>
        <w:t xml:space="preserve"> </w:t>
      </w:r>
      <w:r w:rsidR="00072594" w:rsidRPr="000E0EB1">
        <w:rPr>
          <w:sz w:val="20"/>
        </w:rPr>
        <w:t>Available at: https://www.</w:t>
      </w:r>
      <w:r w:rsidR="00422A7F" w:rsidRPr="000E0EB1">
        <w:rPr>
          <w:sz w:val="20"/>
        </w:rPr>
        <w:t>pericarbon.org/post/</w:t>
      </w:r>
      <w:r w:rsidR="00072594" w:rsidRPr="000E0EB1">
        <w:rPr>
          <w:sz w:val="20"/>
        </w:rPr>
        <w:t>the-</w:t>
      </w:r>
      <w:r w:rsidR="00422A7F" w:rsidRPr="000E0EB1">
        <w:rPr>
          <w:sz w:val="20"/>
        </w:rPr>
        <w:t>methane-crisis-uncovering-the-climate-impact-of-landfills</w:t>
      </w:r>
      <w:r w:rsidR="00072594" w:rsidRPr="000E0EB1">
        <w:rPr>
          <w:sz w:val="20"/>
        </w:rPr>
        <w:t>. [Accessed June 2025].</w:t>
      </w:r>
    </w:p>
  </w:footnote>
  <w:footnote w:id="101">
    <w:p w14:paraId="0E71F494" w14:textId="647033DD" w:rsidR="00544E63" w:rsidRPr="000E0EB1" w:rsidRDefault="00544E63">
      <w:pPr>
        <w:pStyle w:val="FootnoteText"/>
        <w:rPr>
          <w:sz w:val="20"/>
          <w:lang w:val="en-US"/>
        </w:rPr>
      </w:pPr>
      <w:r w:rsidRPr="000E0EB1">
        <w:rPr>
          <w:rStyle w:val="FootnoteReference"/>
          <w:sz w:val="20"/>
        </w:rPr>
        <w:footnoteRef/>
      </w:r>
      <w:r w:rsidRPr="000E0EB1">
        <w:rPr>
          <w:sz w:val="20"/>
        </w:rPr>
        <w:t xml:space="preserve"> </w:t>
      </w:r>
      <w:r w:rsidR="00422A7F" w:rsidRPr="000E0EB1">
        <w:rPr>
          <w:sz w:val="20"/>
        </w:rPr>
        <w:t>Incineration global emissions estimate at ~0.4 GtCO</w:t>
      </w:r>
      <w:r w:rsidR="00422A7F" w:rsidRPr="000E0EB1">
        <w:rPr>
          <w:sz w:val="20"/>
          <w:vertAlign w:val="subscript"/>
        </w:rPr>
        <w:t>2</w:t>
      </w:r>
      <w:r w:rsidR="00422A7F" w:rsidRPr="000E0EB1">
        <w:rPr>
          <w:sz w:val="20"/>
        </w:rPr>
        <w:t xml:space="preserve">eq: Zero Waste Europe (2019), </w:t>
      </w:r>
      <w:r w:rsidR="00422A7F" w:rsidRPr="000E0EB1">
        <w:rPr>
          <w:i/>
          <w:sz w:val="20"/>
          <w:lang w:val="en-US"/>
        </w:rPr>
        <w:t xml:space="preserve">The </w:t>
      </w:r>
      <w:r w:rsidR="003316C5" w:rsidRPr="000E0EB1">
        <w:rPr>
          <w:i/>
          <w:sz w:val="20"/>
          <w:lang w:val="en-US"/>
        </w:rPr>
        <w:t>impact</w:t>
      </w:r>
      <w:r w:rsidR="00422A7F" w:rsidRPr="000E0EB1">
        <w:rPr>
          <w:i/>
          <w:sz w:val="20"/>
          <w:lang w:val="en-US"/>
        </w:rPr>
        <w:t xml:space="preserve"> of </w:t>
      </w:r>
      <w:r w:rsidR="003316C5" w:rsidRPr="000E0EB1">
        <w:rPr>
          <w:i/>
          <w:sz w:val="20"/>
          <w:lang w:val="en-US"/>
        </w:rPr>
        <w:t>Waste-to-Energy incineration on climate</w:t>
      </w:r>
      <w:r w:rsidR="00422A7F" w:rsidRPr="000E0EB1">
        <w:rPr>
          <w:i/>
          <w:sz w:val="20"/>
          <w:lang w:val="en-US"/>
        </w:rPr>
        <w:t xml:space="preserve">. </w:t>
      </w:r>
      <w:r w:rsidR="00422A7F" w:rsidRPr="000E0EB1">
        <w:rPr>
          <w:sz w:val="20"/>
        </w:rPr>
        <w:t xml:space="preserve">Available at: </w:t>
      </w:r>
      <w:r w:rsidR="00C8444D" w:rsidRPr="000E0EB1">
        <w:rPr>
          <w:sz w:val="20"/>
        </w:rPr>
        <w:t>https://zerowasteeurope.eu/wp-content/uploads/edd/2019/09/ZWE_Policy-briefing_The-impact-of-Waste-to-Energy-incineration-on-Climate.pdf</w:t>
      </w:r>
      <w:r w:rsidR="00422A7F" w:rsidRPr="000E0EB1">
        <w:rPr>
          <w:sz w:val="20"/>
        </w:rPr>
        <w:t>. [Accessed June 2025].</w:t>
      </w:r>
    </w:p>
  </w:footnote>
  <w:footnote w:id="102">
    <w:p w14:paraId="34857F5B" w14:textId="7438CAFA" w:rsidR="00DC6F24" w:rsidRPr="000E0EB1" w:rsidRDefault="00DC6F24">
      <w:pPr>
        <w:pStyle w:val="FootnoteText"/>
        <w:rPr>
          <w:sz w:val="20"/>
          <w:lang w:val="en-US"/>
        </w:rPr>
      </w:pPr>
      <w:r w:rsidRPr="000E0EB1">
        <w:rPr>
          <w:rStyle w:val="FootnoteReference"/>
          <w:sz w:val="20"/>
        </w:rPr>
        <w:footnoteRef/>
      </w:r>
      <w:r w:rsidRPr="000E0EB1">
        <w:rPr>
          <w:sz w:val="20"/>
        </w:rPr>
        <w:t xml:space="preserve"> IEA (2021), </w:t>
      </w:r>
      <w:r w:rsidR="00571018" w:rsidRPr="000E0EB1">
        <w:rPr>
          <w:i/>
          <w:sz w:val="20"/>
          <w:lang w:val="en-US"/>
        </w:rPr>
        <w:t>Methane and climate change</w:t>
      </w:r>
      <w:r w:rsidRPr="000E0EB1">
        <w:rPr>
          <w:i/>
          <w:sz w:val="20"/>
          <w:lang w:val="en-US"/>
        </w:rPr>
        <w:t>.</w:t>
      </w:r>
      <w:r w:rsidRPr="000E0EB1">
        <w:rPr>
          <w:sz w:val="20"/>
          <w:lang w:val="en-US"/>
        </w:rPr>
        <w:t xml:space="preserve"> </w:t>
      </w:r>
      <w:r w:rsidRPr="000E0EB1">
        <w:rPr>
          <w:sz w:val="20"/>
        </w:rPr>
        <w:t xml:space="preserve">Available at: </w:t>
      </w:r>
      <w:r w:rsidR="00571018" w:rsidRPr="000E0EB1">
        <w:rPr>
          <w:sz w:val="20"/>
        </w:rPr>
        <w:t>https://www.iea.org/reports/methane-tracker-2021/methane-and-climate-change</w:t>
      </w:r>
      <w:r w:rsidRPr="000E0EB1">
        <w:rPr>
          <w:sz w:val="20"/>
        </w:rPr>
        <w:t>. [Accessed June 2025].</w:t>
      </w:r>
    </w:p>
  </w:footnote>
  <w:footnote w:id="103">
    <w:p w14:paraId="21049A5F" w14:textId="200D28B2" w:rsidR="00243765" w:rsidRPr="000E0EB1" w:rsidRDefault="00243765">
      <w:pPr>
        <w:pStyle w:val="FootnoteText"/>
        <w:rPr>
          <w:sz w:val="20"/>
          <w:lang w:val="en-US"/>
        </w:rPr>
      </w:pPr>
      <w:r w:rsidRPr="000E0EB1">
        <w:rPr>
          <w:rStyle w:val="FootnoteReference"/>
          <w:sz w:val="20"/>
        </w:rPr>
        <w:footnoteRef/>
      </w:r>
      <w:r w:rsidRPr="000E0EB1">
        <w:rPr>
          <w:sz w:val="20"/>
        </w:rPr>
        <w:t xml:space="preserve"> </w:t>
      </w:r>
      <w:r w:rsidR="008B37FF" w:rsidRPr="000E0EB1">
        <w:rPr>
          <w:sz w:val="20"/>
        </w:rPr>
        <w:t>Global cumulative plastic waste landfilled (2025-2040)</w:t>
      </w:r>
      <w:r w:rsidR="00181B22" w:rsidRPr="000E0EB1">
        <w:rPr>
          <w:sz w:val="20"/>
        </w:rPr>
        <w:t xml:space="preserve"> estimated at 3.6 Gt. Based on </w:t>
      </w:r>
      <w:r w:rsidR="00181B22" w:rsidRPr="000E0EB1">
        <w:rPr>
          <w:sz w:val="20"/>
          <w:lang w:val="en-US"/>
        </w:rPr>
        <w:t xml:space="preserve">Systemiq (2024) Plastic Treaty, Global rules scenario. </w:t>
      </w:r>
      <w:r w:rsidR="00FE6081" w:rsidRPr="000E0EB1">
        <w:rPr>
          <w:sz w:val="20"/>
        </w:rPr>
        <w:t>Assumes landfill depth of 30m and height of 10m.</w:t>
      </w:r>
    </w:p>
  </w:footnote>
  <w:footnote w:id="104">
    <w:p w14:paraId="4D28A179" w14:textId="31D1AA0E" w:rsidR="00344AF1" w:rsidRPr="000E0EB1" w:rsidRDefault="00344AF1">
      <w:pPr>
        <w:pStyle w:val="FootnoteText"/>
        <w:rPr>
          <w:sz w:val="20"/>
          <w:lang w:val="en-US"/>
        </w:rPr>
      </w:pPr>
      <w:r w:rsidRPr="000E0EB1">
        <w:rPr>
          <w:rStyle w:val="FootnoteReference"/>
          <w:sz w:val="20"/>
        </w:rPr>
        <w:footnoteRef/>
      </w:r>
      <w:r w:rsidRPr="000E0EB1">
        <w:rPr>
          <w:sz w:val="20"/>
        </w:rPr>
        <w:t xml:space="preserve"> </w:t>
      </w:r>
      <w:r w:rsidR="00B965C4" w:rsidRPr="000E0EB1">
        <w:rPr>
          <w:sz w:val="20"/>
        </w:rPr>
        <w:t>European Commission</w:t>
      </w:r>
      <w:r w:rsidR="00046CB9" w:rsidRPr="000E0EB1">
        <w:rPr>
          <w:sz w:val="20"/>
        </w:rPr>
        <w:t xml:space="preserve">, </w:t>
      </w:r>
      <w:r w:rsidR="00697AF6" w:rsidRPr="000E0EB1">
        <w:rPr>
          <w:i/>
          <w:sz w:val="20"/>
        </w:rPr>
        <w:t>Biodegradable waste</w:t>
      </w:r>
      <w:r w:rsidR="00046CB9" w:rsidRPr="000E0EB1">
        <w:rPr>
          <w:sz w:val="20"/>
          <w:lang w:val="en-US"/>
        </w:rPr>
        <w:t xml:space="preserve">. </w:t>
      </w:r>
      <w:r w:rsidR="00046CB9" w:rsidRPr="000E0EB1">
        <w:rPr>
          <w:sz w:val="20"/>
        </w:rPr>
        <w:t xml:space="preserve">Available at: </w:t>
      </w:r>
      <w:r w:rsidR="00697AF6" w:rsidRPr="000E0EB1">
        <w:rPr>
          <w:sz w:val="20"/>
        </w:rPr>
        <w:t>https://environment.ec.europa.eu/topics/waste-and-recycling/biodegradable-waste_en</w:t>
      </w:r>
      <w:r w:rsidR="00046CB9" w:rsidRPr="000E0EB1">
        <w:rPr>
          <w:sz w:val="20"/>
        </w:rPr>
        <w:t xml:space="preserve">. [Accessed </w:t>
      </w:r>
      <w:r w:rsidR="00B965C4" w:rsidRPr="000E0EB1">
        <w:rPr>
          <w:sz w:val="20"/>
        </w:rPr>
        <w:t>May</w:t>
      </w:r>
      <w:r w:rsidR="00046CB9" w:rsidRPr="000E0EB1">
        <w:rPr>
          <w:sz w:val="20"/>
        </w:rPr>
        <w:t xml:space="preserve"> 2025].</w:t>
      </w:r>
    </w:p>
  </w:footnote>
  <w:footnote w:id="105">
    <w:p w14:paraId="194BB386" w14:textId="3333062B" w:rsidR="00B44A4B" w:rsidRPr="000E0EB1" w:rsidRDefault="00B44A4B">
      <w:pPr>
        <w:pStyle w:val="FootnoteText"/>
        <w:rPr>
          <w:sz w:val="20"/>
        </w:rPr>
      </w:pPr>
      <w:r w:rsidRPr="000E0EB1">
        <w:rPr>
          <w:rStyle w:val="FootnoteReference"/>
          <w:sz w:val="20"/>
        </w:rPr>
        <w:footnoteRef/>
      </w:r>
      <w:r w:rsidRPr="000E0EB1">
        <w:rPr>
          <w:sz w:val="20"/>
        </w:rPr>
        <w:t xml:space="preserve"> European Parliament, </w:t>
      </w:r>
      <w:r w:rsidRPr="000E0EB1">
        <w:rPr>
          <w:i/>
          <w:iCs/>
          <w:sz w:val="20"/>
        </w:rPr>
        <w:t>Resource efficiency and the circular economy</w:t>
      </w:r>
      <w:r w:rsidRPr="000E0EB1">
        <w:rPr>
          <w:sz w:val="20"/>
        </w:rPr>
        <w:t xml:space="preserve">. Available at: </w:t>
      </w:r>
      <w:r w:rsidR="00BF3654" w:rsidRPr="000E0EB1">
        <w:rPr>
          <w:sz w:val="20"/>
        </w:rPr>
        <w:t>https://www.europarl.europa.eu/factsheets/en/sheet/76/waste-management-policy</w:t>
      </w:r>
      <w:r w:rsidRPr="000E0EB1">
        <w:rPr>
          <w:sz w:val="20"/>
        </w:rPr>
        <w:t>. [Accessed June 2025].</w:t>
      </w:r>
    </w:p>
  </w:footnote>
  <w:footnote w:id="106">
    <w:p w14:paraId="7C89FCB2" w14:textId="323ECB9F" w:rsidR="00BB2819" w:rsidRPr="000E0EB1" w:rsidRDefault="00BB2819">
      <w:pPr>
        <w:pStyle w:val="FootnoteText"/>
        <w:rPr>
          <w:sz w:val="20"/>
          <w:lang w:val="en-US"/>
        </w:rPr>
      </w:pPr>
      <w:r w:rsidRPr="000E0EB1">
        <w:rPr>
          <w:rStyle w:val="FootnoteReference"/>
          <w:sz w:val="20"/>
        </w:rPr>
        <w:footnoteRef/>
      </w:r>
      <w:r w:rsidRPr="000E0EB1">
        <w:rPr>
          <w:sz w:val="20"/>
        </w:rPr>
        <w:t xml:space="preserve"> </w:t>
      </w:r>
      <w:r w:rsidR="008173D1" w:rsidRPr="000E0EB1">
        <w:rPr>
          <w:sz w:val="20"/>
        </w:rPr>
        <w:t>US EPA (Dec 2024)</w:t>
      </w:r>
      <w:r w:rsidRPr="000E0EB1">
        <w:rPr>
          <w:sz w:val="20"/>
        </w:rPr>
        <w:t xml:space="preserve">, </w:t>
      </w:r>
      <w:r w:rsidR="002B395F" w:rsidRPr="000E0EB1">
        <w:rPr>
          <w:i/>
          <w:sz w:val="20"/>
        </w:rPr>
        <w:t>Renewable Electricity Production Tax Credit Information</w:t>
      </w:r>
      <w:r w:rsidRPr="000E0EB1">
        <w:rPr>
          <w:sz w:val="20"/>
          <w:lang w:val="en-US"/>
        </w:rPr>
        <w:t xml:space="preserve">. </w:t>
      </w:r>
      <w:r w:rsidRPr="000E0EB1">
        <w:rPr>
          <w:sz w:val="20"/>
        </w:rPr>
        <w:t>Available at: https://</w:t>
      </w:r>
      <w:r w:rsidR="002B395F" w:rsidRPr="000E0EB1">
        <w:rPr>
          <w:sz w:val="20"/>
        </w:rPr>
        <w:t>www.epa.gov/lmop/renewable-electricity-production-tax-credit-information</w:t>
      </w:r>
      <w:r w:rsidRPr="000E0EB1">
        <w:rPr>
          <w:sz w:val="20"/>
        </w:rPr>
        <w:t>. [Accessed May 2025].</w:t>
      </w:r>
    </w:p>
  </w:footnote>
  <w:footnote w:id="107">
    <w:p w14:paraId="144DCB39" w14:textId="038B6FB5" w:rsidR="00A95E8A" w:rsidRPr="000E0EB1" w:rsidRDefault="00A95E8A">
      <w:pPr>
        <w:pStyle w:val="FootnoteText"/>
        <w:rPr>
          <w:sz w:val="20"/>
        </w:rPr>
      </w:pPr>
      <w:r w:rsidRPr="000E0EB1">
        <w:rPr>
          <w:rStyle w:val="FootnoteReference"/>
          <w:sz w:val="20"/>
        </w:rPr>
        <w:footnoteRef/>
      </w:r>
      <w:r w:rsidRPr="000E0EB1">
        <w:rPr>
          <w:sz w:val="20"/>
        </w:rPr>
        <w:t xml:space="preserve"> </w:t>
      </w:r>
      <w:r w:rsidR="00D1297B" w:rsidRPr="000E0EB1">
        <w:rPr>
          <w:sz w:val="20"/>
        </w:rPr>
        <w:t xml:space="preserve">Catalytic </w:t>
      </w:r>
      <w:r w:rsidR="00482683" w:rsidRPr="000E0EB1">
        <w:rPr>
          <w:sz w:val="20"/>
        </w:rPr>
        <w:t>Finance Foundation</w:t>
      </w:r>
      <w:r w:rsidR="00D1297B" w:rsidRPr="000E0EB1">
        <w:rPr>
          <w:sz w:val="20"/>
        </w:rPr>
        <w:t xml:space="preserve"> (June 2025),</w:t>
      </w:r>
      <w:r w:rsidRPr="000E0EB1">
        <w:rPr>
          <w:sz w:val="20"/>
        </w:rPr>
        <w:t xml:space="preserve"> </w:t>
      </w:r>
      <w:r w:rsidRPr="000E0EB1">
        <w:rPr>
          <w:i/>
          <w:sz w:val="20"/>
        </w:rPr>
        <w:t>Whitepaper on Carbon Finance for Municipal Solid Waste in Developing Countries</w:t>
      </w:r>
      <w:r w:rsidR="00D1297B" w:rsidRPr="000E0EB1">
        <w:rPr>
          <w:i/>
          <w:sz w:val="20"/>
        </w:rPr>
        <w:t xml:space="preserve">. </w:t>
      </w:r>
      <w:r w:rsidR="00D1297B" w:rsidRPr="000E0EB1">
        <w:rPr>
          <w:sz w:val="20"/>
        </w:rPr>
        <w:t xml:space="preserve">Available at: </w:t>
      </w:r>
      <w:r w:rsidR="00482683" w:rsidRPr="000E0EB1">
        <w:rPr>
          <w:sz w:val="20"/>
        </w:rPr>
        <w:t>https://www.catalyticfinance.org/news/whitepaper-on-carbon-finance-for-municipal-solid-waste-in-developing-countries</w:t>
      </w:r>
      <w:r w:rsidR="00D1297B" w:rsidRPr="000E0EB1">
        <w:rPr>
          <w:sz w:val="20"/>
        </w:rPr>
        <w:t xml:space="preserve">. [Accessed </w:t>
      </w:r>
      <w:r w:rsidR="00482683" w:rsidRPr="000E0EB1">
        <w:rPr>
          <w:sz w:val="20"/>
        </w:rPr>
        <w:t>June</w:t>
      </w:r>
      <w:r w:rsidR="00D1297B" w:rsidRPr="000E0EB1">
        <w:rPr>
          <w:sz w:val="20"/>
        </w:rPr>
        <w:t xml:space="preserve"> 2025].</w:t>
      </w:r>
    </w:p>
  </w:footnote>
  <w:footnote w:id="108">
    <w:p w14:paraId="3AA96997" w14:textId="7320204D" w:rsidR="005B05E2" w:rsidRPr="000E0EB1" w:rsidRDefault="005B05E2">
      <w:pPr>
        <w:pStyle w:val="FootnoteText"/>
        <w:rPr>
          <w:sz w:val="20"/>
        </w:rPr>
      </w:pPr>
      <w:r w:rsidRPr="000E0EB1">
        <w:rPr>
          <w:rStyle w:val="FootnoteReference"/>
          <w:sz w:val="20"/>
        </w:rPr>
        <w:footnoteRef/>
      </w:r>
      <w:r w:rsidRPr="000E0EB1">
        <w:rPr>
          <w:sz w:val="20"/>
        </w:rPr>
        <w:t xml:space="preserve"> </w:t>
      </w:r>
      <w:r w:rsidR="003D05D5" w:rsidRPr="000E0EB1">
        <w:rPr>
          <w:sz w:val="20"/>
        </w:rPr>
        <w:t xml:space="preserve">Hydrogen Science Coalition (2024), </w:t>
      </w:r>
      <w:r w:rsidR="003D05D5" w:rsidRPr="000E0EB1">
        <w:rPr>
          <w:i/>
          <w:iCs/>
          <w:sz w:val="20"/>
        </w:rPr>
        <w:t>Everything you need to know about natural or geologic hydrogen</w:t>
      </w:r>
    </w:p>
  </w:footnote>
  <w:footnote w:id="109">
    <w:p w14:paraId="513A81BE" w14:textId="37E0604D" w:rsidR="00DE6958" w:rsidRPr="000E0EB1" w:rsidRDefault="00DE6958">
      <w:pPr>
        <w:pStyle w:val="FootnoteText"/>
        <w:rPr>
          <w:sz w:val="20"/>
        </w:rPr>
      </w:pPr>
      <w:r w:rsidRPr="000E0EB1">
        <w:rPr>
          <w:rStyle w:val="FootnoteReference"/>
          <w:sz w:val="20"/>
        </w:rPr>
        <w:footnoteRef/>
      </w:r>
      <w:r w:rsidRPr="000E0EB1">
        <w:rPr>
          <w:sz w:val="20"/>
        </w:rPr>
        <w:t xml:space="preserve"> US Department of Energy (2023), </w:t>
      </w:r>
      <w:r w:rsidRPr="000E0EB1">
        <w:rPr>
          <w:i/>
          <w:iCs/>
          <w:sz w:val="20"/>
        </w:rPr>
        <w:t>Pathways to Commercial Liftoff: Carbon Management</w:t>
      </w:r>
    </w:p>
  </w:footnote>
  <w:footnote w:id="110">
    <w:p w14:paraId="6F9049B3" w14:textId="73C95F02" w:rsidR="00A60657" w:rsidRPr="000E0EB1" w:rsidRDefault="00A60657" w:rsidP="00A60657">
      <w:pPr>
        <w:pStyle w:val="FootnoteText"/>
        <w:rPr>
          <w:sz w:val="20"/>
        </w:rPr>
      </w:pPr>
      <w:r w:rsidRPr="000E0EB1">
        <w:rPr>
          <w:rStyle w:val="FootnoteReference"/>
          <w:sz w:val="20"/>
        </w:rPr>
        <w:footnoteRef/>
      </w:r>
      <w:r w:rsidRPr="000E0EB1">
        <w:rPr>
          <w:sz w:val="20"/>
        </w:rPr>
        <w:t xml:space="preserve"> </w:t>
      </w:r>
      <w:hyperlink r:id="rId5" w:history="1">
        <w:r w:rsidRPr="000E0EB1">
          <w:rPr>
            <w:rStyle w:val="Hyperlink"/>
            <w:color w:val="auto"/>
            <w:sz w:val="20"/>
          </w:rPr>
          <w:t>https://www.energy-transitions.org/publications/power-systems-transformation/</w:t>
        </w:r>
      </w:hyperlink>
    </w:p>
  </w:footnote>
  <w:footnote w:id="111">
    <w:p w14:paraId="0D685815" w14:textId="1139CC5D" w:rsidR="00A60657" w:rsidRPr="000E0EB1" w:rsidRDefault="00A60657" w:rsidP="00A60657">
      <w:pPr>
        <w:pStyle w:val="FootnoteText"/>
        <w:rPr>
          <w:color w:val="0E39FF" w:themeColor="text2" w:themeTint="99"/>
          <w:sz w:val="20"/>
        </w:rPr>
      </w:pPr>
      <w:r w:rsidRPr="000E0EB1">
        <w:rPr>
          <w:rStyle w:val="FootnoteReference"/>
          <w:sz w:val="20"/>
        </w:rPr>
        <w:footnoteRef/>
      </w:r>
      <w:r w:rsidRPr="000E0EB1">
        <w:rPr>
          <w:sz w:val="20"/>
        </w:rPr>
        <w:t xml:space="preserve"> These  effects can also be reduced by improvements in energy productivity which make it possible to supply useful energy services  while reducing final and primary energy demand. See</w:t>
      </w:r>
      <w:r w:rsidR="00231F18">
        <w:rPr>
          <w:sz w:val="20"/>
        </w:rPr>
        <w:t xml:space="preserve"> forthcoming</w:t>
      </w:r>
      <w:r w:rsidRPr="000E0EB1">
        <w:rPr>
          <w:sz w:val="20"/>
        </w:rPr>
        <w:t xml:space="preserve"> ETC Energy Productivity report </w:t>
      </w:r>
    </w:p>
  </w:footnote>
  <w:footnote w:id="112">
    <w:p w14:paraId="5CF96143" w14:textId="7E468E36" w:rsidR="00503B34" w:rsidRPr="000E0EB1" w:rsidRDefault="00503B34">
      <w:pPr>
        <w:pStyle w:val="FootnoteText"/>
        <w:rPr>
          <w:sz w:val="20"/>
          <w:lang w:val="en-US"/>
        </w:rPr>
      </w:pPr>
      <w:r w:rsidRPr="000E0EB1">
        <w:rPr>
          <w:rStyle w:val="FootnoteReference"/>
          <w:sz w:val="20"/>
        </w:rPr>
        <w:footnoteRef/>
      </w:r>
      <w:r w:rsidRPr="000E0EB1">
        <w:rPr>
          <w:sz w:val="20"/>
        </w:rPr>
        <w:t xml:space="preserve"> </w:t>
      </w:r>
      <w:r w:rsidRPr="000E0EB1">
        <w:rPr>
          <w:sz w:val="20"/>
          <w:lang w:val="en-US"/>
        </w:rPr>
        <w:t>Systemiq analysis (2025),</w:t>
      </w:r>
      <w:r w:rsidR="00962DBE" w:rsidRPr="000E0EB1">
        <w:rPr>
          <w:sz w:val="20"/>
          <w:lang w:val="en-US"/>
        </w:rPr>
        <w:t xml:space="preserve"> assuming 41.5Gt </w:t>
      </w:r>
      <w:r w:rsidR="0041647A" w:rsidRPr="000E0EB1">
        <w:rPr>
          <w:sz w:val="20"/>
          <w:lang w:val="en-US"/>
        </w:rPr>
        <w:t xml:space="preserve">of MSW waste generated between </w:t>
      </w:r>
      <w:r w:rsidR="00422CD4" w:rsidRPr="000E0EB1">
        <w:rPr>
          <w:sz w:val="20"/>
          <w:lang w:val="en-US"/>
        </w:rPr>
        <w:t>2025-2040 and compacted landfil</w:t>
      </w:r>
      <w:r w:rsidR="00656F19" w:rsidRPr="000E0EB1">
        <w:rPr>
          <w:sz w:val="20"/>
          <w:lang w:val="en-US"/>
        </w:rPr>
        <w:t>l depth of 30m and height of 10m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4105BF" w14:textId="121F04DB" w:rsidR="00E6143C" w:rsidRPr="000E0EB1" w:rsidRDefault="00857421">
    <w:pPr>
      <w:pStyle w:val="Header"/>
      <w:rPr>
        <w:lang w:val="en-US"/>
      </w:rPr>
    </w:pPr>
    <w:r>
      <w:rPr>
        <w:lang w:val="en-US"/>
      </w:rPr>
      <w:t>DRAFT FOR ETC MEMBER REVIEW</w:t>
    </w:r>
    <w:r w:rsidR="000E0EB1">
      <w:rPr>
        <w:lang w:val="en-US"/>
      </w:rPr>
      <w:tab/>
    </w:r>
    <w:r w:rsidR="000E0EB1">
      <w:rPr>
        <w:lang w:val="en-US"/>
      </w:rPr>
      <w:tab/>
      <w:t>CONFIDENTIAL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B8C43A" w14:textId="77777777" w:rsidR="00520415" w:rsidRPr="00262350" w:rsidRDefault="00520415" w:rsidP="00632D04">
    <w:pPr>
      <w:pStyle w:val="Header"/>
      <w:rPr>
        <w:sz w:val="16"/>
        <w:szCs w:val="16"/>
      </w:rPr>
    </w:pPr>
    <w:r w:rsidRPr="00262350">
      <w:rPr>
        <w:noProof/>
        <w:sz w:val="16"/>
        <w:szCs w:val="16"/>
      </w:rPr>
      <w:drawing>
        <wp:anchor distT="0" distB="0" distL="114300" distR="114300" simplePos="0" relativeHeight="251658240" behindDoc="0" locked="0" layoutInCell="1" allowOverlap="1" wp14:anchorId="6EDAD3D6" wp14:editId="5BFDBE6A">
          <wp:simplePos x="0" y="0"/>
          <wp:positionH relativeFrom="column">
            <wp:posOffset>4896485</wp:posOffset>
          </wp:positionH>
          <wp:positionV relativeFrom="page">
            <wp:posOffset>323850</wp:posOffset>
          </wp:positionV>
          <wp:extent cx="1348200" cy="358920"/>
          <wp:effectExtent l="0" t="0" r="4445" b="3175"/>
          <wp:wrapNone/>
          <wp:docPr id="16" name="Picture 1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con&#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48200" cy="35892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2258CEAA"/>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2814F5EA"/>
    <w:lvl w:ilvl="0">
      <w:start w:val="1"/>
      <w:numFmt w:val="decimal"/>
      <w:pStyle w:val="ListNumber2"/>
      <w:lvlText w:val="%1."/>
      <w:lvlJc w:val="left"/>
      <w:pPr>
        <w:tabs>
          <w:tab w:val="num" w:pos="643"/>
        </w:tabs>
        <w:ind w:left="643" w:hanging="360"/>
      </w:pPr>
    </w:lvl>
  </w:abstractNum>
  <w:abstractNum w:abstractNumId="2" w15:restartNumberingAfterBreak="0">
    <w:nsid w:val="001F5A68"/>
    <w:multiLevelType w:val="hybridMultilevel"/>
    <w:tmpl w:val="238AB64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01B41733"/>
    <w:multiLevelType w:val="multilevel"/>
    <w:tmpl w:val="1576D712"/>
    <w:styleLink w:val="ListHeadings"/>
    <w:lvl w:ilvl="0">
      <w:start w:val="1"/>
      <w:numFmt w:val="decimal"/>
      <w:lvlText w:val="%1."/>
      <w:lvlJc w:val="left"/>
      <w:pPr>
        <w:ind w:left="397" w:hanging="397"/>
      </w:pPr>
      <w:rPr>
        <w:rFonts w:hint="default"/>
      </w:rPr>
    </w:lvl>
    <w:lvl w:ilvl="1">
      <w:start w:val="1"/>
      <w:numFmt w:val="decimal"/>
      <w:lvlText w:val="%1.%2"/>
      <w:lvlJc w:val="left"/>
      <w:pPr>
        <w:ind w:left="907" w:hanging="510"/>
      </w:pPr>
      <w:rPr>
        <w:rFonts w:hint="default"/>
      </w:rPr>
    </w:lvl>
    <w:lvl w:ilvl="2">
      <w:start w:val="1"/>
      <w:numFmt w:val="decimal"/>
      <w:lvlText w:val="%1.%2.%3"/>
      <w:lvlJc w:val="left"/>
      <w:pPr>
        <w:ind w:left="1588" w:hanging="681"/>
      </w:pPr>
      <w:rPr>
        <w:rFonts w:hint="default"/>
      </w:rPr>
    </w:lvl>
    <w:lvl w:ilvl="3">
      <w:start w:val="1"/>
      <w:numFmt w:val="none"/>
      <w:lvlText w:val=""/>
      <w:lvlJc w:val="left"/>
      <w:pPr>
        <w:ind w:left="1644" w:hanging="453"/>
      </w:pPr>
      <w:rPr>
        <w:rFonts w:hint="default"/>
      </w:rPr>
    </w:lvl>
    <w:lvl w:ilvl="4">
      <w:start w:val="1"/>
      <w:numFmt w:val="none"/>
      <w:lvlText w:val=""/>
      <w:lvlJc w:val="left"/>
      <w:pPr>
        <w:ind w:left="1644" w:hanging="453"/>
      </w:pPr>
      <w:rPr>
        <w:rFonts w:hint="default"/>
      </w:rPr>
    </w:lvl>
    <w:lvl w:ilvl="5">
      <w:start w:val="1"/>
      <w:numFmt w:val="none"/>
      <w:lvlText w:val=""/>
      <w:lvlJc w:val="left"/>
      <w:pPr>
        <w:ind w:left="1644" w:hanging="453"/>
      </w:pPr>
      <w:rPr>
        <w:rFonts w:hint="default"/>
      </w:rPr>
    </w:lvl>
    <w:lvl w:ilvl="6">
      <w:start w:val="1"/>
      <w:numFmt w:val="none"/>
      <w:lvlText w:val=""/>
      <w:lvlJc w:val="left"/>
      <w:pPr>
        <w:ind w:left="1644" w:hanging="453"/>
      </w:pPr>
      <w:rPr>
        <w:rFonts w:hint="default"/>
      </w:rPr>
    </w:lvl>
    <w:lvl w:ilvl="7">
      <w:start w:val="1"/>
      <w:numFmt w:val="none"/>
      <w:lvlText w:val=""/>
      <w:lvlJc w:val="left"/>
      <w:pPr>
        <w:ind w:left="1644" w:hanging="453"/>
      </w:pPr>
      <w:rPr>
        <w:rFonts w:hint="default"/>
      </w:rPr>
    </w:lvl>
    <w:lvl w:ilvl="8">
      <w:start w:val="1"/>
      <w:numFmt w:val="none"/>
      <w:lvlText w:val=""/>
      <w:lvlJc w:val="left"/>
      <w:pPr>
        <w:ind w:left="1644" w:hanging="453"/>
      </w:pPr>
      <w:rPr>
        <w:rFonts w:hint="default"/>
      </w:rPr>
    </w:lvl>
  </w:abstractNum>
  <w:abstractNum w:abstractNumId="4" w15:restartNumberingAfterBreak="0">
    <w:nsid w:val="03C0107B"/>
    <w:multiLevelType w:val="hybridMultilevel"/>
    <w:tmpl w:val="07DA8928"/>
    <w:lvl w:ilvl="0" w:tplc="2000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6B86BE5"/>
    <w:multiLevelType w:val="hybridMultilevel"/>
    <w:tmpl w:val="F02C6AFC"/>
    <w:lvl w:ilvl="0" w:tplc="11C4D598">
      <w:start w:val="1"/>
      <w:numFmt w:val="lowerRoman"/>
      <w:lvlText w:val="%1)"/>
      <w:lvlJc w:val="right"/>
      <w:pPr>
        <w:ind w:left="1800" w:hanging="360"/>
      </w:pPr>
    </w:lvl>
    <w:lvl w:ilvl="1" w:tplc="B340451C">
      <w:start w:val="1"/>
      <w:numFmt w:val="lowerRoman"/>
      <w:lvlText w:val="%2)"/>
      <w:lvlJc w:val="right"/>
      <w:pPr>
        <w:ind w:left="1800" w:hanging="360"/>
      </w:pPr>
    </w:lvl>
    <w:lvl w:ilvl="2" w:tplc="AB9C1112">
      <w:start w:val="1"/>
      <w:numFmt w:val="lowerRoman"/>
      <w:lvlText w:val="%3)"/>
      <w:lvlJc w:val="right"/>
      <w:pPr>
        <w:ind w:left="1800" w:hanging="360"/>
      </w:pPr>
    </w:lvl>
    <w:lvl w:ilvl="3" w:tplc="A9603296">
      <w:start w:val="1"/>
      <w:numFmt w:val="decimal"/>
      <w:lvlText w:val="%4)"/>
      <w:lvlJc w:val="right"/>
      <w:pPr>
        <w:ind w:left="2160" w:hanging="360"/>
      </w:pPr>
    </w:lvl>
    <w:lvl w:ilvl="4" w:tplc="CAC46E26">
      <w:start w:val="1"/>
      <w:numFmt w:val="lowerRoman"/>
      <w:lvlText w:val="%5)"/>
      <w:lvlJc w:val="right"/>
      <w:pPr>
        <w:ind w:left="1800" w:hanging="360"/>
      </w:pPr>
    </w:lvl>
    <w:lvl w:ilvl="5" w:tplc="1D3CEABA">
      <w:start w:val="1"/>
      <w:numFmt w:val="lowerRoman"/>
      <w:lvlText w:val="%6)"/>
      <w:lvlJc w:val="right"/>
      <w:pPr>
        <w:ind w:left="1800" w:hanging="360"/>
      </w:pPr>
    </w:lvl>
    <w:lvl w:ilvl="6" w:tplc="8DB86346">
      <w:start w:val="1"/>
      <w:numFmt w:val="lowerRoman"/>
      <w:lvlText w:val="%7)"/>
      <w:lvlJc w:val="right"/>
      <w:pPr>
        <w:ind w:left="1800" w:hanging="360"/>
      </w:pPr>
    </w:lvl>
    <w:lvl w:ilvl="7" w:tplc="0B2CF29C">
      <w:start w:val="1"/>
      <w:numFmt w:val="lowerRoman"/>
      <w:lvlText w:val="%8)"/>
      <w:lvlJc w:val="right"/>
      <w:pPr>
        <w:ind w:left="1800" w:hanging="360"/>
      </w:pPr>
    </w:lvl>
    <w:lvl w:ilvl="8" w:tplc="E6EC9D4C">
      <w:start w:val="1"/>
      <w:numFmt w:val="lowerRoman"/>
      <w:lvlText w:val="%9)"/>
      <w:lvlJc w:val="right"/>
      <w:pPr>
        <w:ind w:left="1800" w:hanging="360"/>
      </w:pPr>
    </w:lvl>
  </w:abstractNum>
  <w:abstractNum w:abstractNumId="6" w15:restartNumberingAfterBreak="0">
    <w:nsid w:val="09925CB7"/>
    <w:multiLevelType w:val="hybridMultilevel"/>
    <w:tmpl w:val="1EE822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C263A58"/>
    <w:multiLevelType w:val="hybridMultilevel"/>
    <w:tmpl w:val="C42C7E00"/>
    <w:lvl w:ilvl="0" w:tplc="45BE122C">
      <w:start w:val="1"/>
      <w:numFmt w:val="bullet"/>
      <w:lvlText w:val=""/>
      <w:lvlJc w:val="left"/>
      <w:pPr>
        <w:ind w:left="720" w:hanging="360"/>
      </w:pPr>
      <w:rPr>
        <w:rFonts w:ascii="Symbol" w:hAnsi="Symbol" w:hint="default"/>
        <w:color w:val="000000" w:themeColor="text1"/>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E575CAB"/>
    <w:multiLevelType w:val="hybridMultilevel"/>
    <w:tmpl w:val="AFDAD842"/>
    <w:lvl w:ilvl="0" w:tplc="2000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E697796"/>
    <w:multiLevelType w:val="multilevel"/>
    <w:tmpl w:val="029A4CB0"/>
    <w:lvl w:ilvl="0">
      <w:start w:val="1"/>
      <w:numFmt w:val="decimal"/>
      <w:lvlText w:val="%1."/>
      <w:lvlJc w:val="left"/>
      <w:pPr>
        <w:ind w:left="720" w:hanging="360"/>
      </w:pPr>
      <w:rPr>
        <w:rFonts w:hint="default"/>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0" w15:restartNumberingAfterBreak="0">
    <w:nsid w:val="18DF4E78"/>
    <w:multiLevelType w:val="hybridMultilevel"/>
    <w:tmpl w:val="33A235D4"/>
    <w:lvl w:ilvl="0" w:tplc="2000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8E666D9"/>
    <w:multiLevelType w:val="hybridMultilevel"/>
    <w:tmpl w:val="99BE929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15:restartNumberingAfterBreak="0">
    <w:nsid w:val="18ED022D"/>
    <w:multiLevelType w:val="hybridMultilevel"/>
    <w:tmpl w:val="4766607C"/>
    <w:lvl w:ilvl="0" w:tplc="2000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ADE6B0E"/>
    <w:multiLevelType w:val="multilevel"/>
    <w:tmpl w:val="8BAEF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B4B5363"/>
    <w:multiLevelType w:val="multilevel"/>
    <w:tmpl w:val="99C83E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BA00658"/>
    <w:multiLevelType w:val="hybridMultilevel"/>
    <w:tmpl w:val="4D3A08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FF70F80"/>
    <w:multiLevelType w:val="multilevel"/>
    <w:tmpl w:val="BC327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0214AE1"/>
    <w:multiLevelType w:val="hybridMultilevel"/>
    <w:tmpl w:val="9DAAEDA0"/>
    <w:lvl w:ilvl="0" w:tplc="B99C458C">
      <w:start w:val="1"/>
      <w:numFmt w:val="decimal"/>
      <w:lvlText w:val="%1)"/>
      <w:lvlJc w:val="left"/>
      <w:pPr>
        <w:ind w:left="2160" w:hanging="360"/>
      </w:pPr>
    </w:lvl>
    <w:lvl w:ilvl="1" w:tplc="6308C230">
      <w:start w:val="1"/>
      <w:numFmt w:val="decimal"/>
      <w:lvlText w:val="%2)"/>
      <w:lvlJc w:val="left"/>
      <w:pPr>
        <w:ind w:left="2160" w:hanging="360"/>
      </w:pPr>
    </w:lvl>
    <w:lvl w:ilvl="2" w:tplc="4C40ACCA">
      <w:start w:val="1"/>
      <w:numFmt w:val="decimal"/>
      <w:lvlText w:val="%3)"/>
      <w:lvlJc w:val="left"/>
      <w:pPr>
        <w:ind w:left="2160" w:hanging="360"/>
      </w:pPr>
    </w:lvl>
    <w:lvl w:ilvl="3" w:tplc="7248BB7C">
      <w:start w:val="1"/>
      <w:numFmt w:val="decimal"/>
      <w:lvlText w:val="%4)"/>
      <w:lvlJc w:val="left"/>
      <w:pPr>
        <w:ind w:left="2160" w:hanging="360"/>
      </w:pPr>
    </w:lvl>
    <w:lvl w:ilvl="4" w:tplc="1772FA30">
      <w:start w:val="1"/>
      <w:numFmt w:val="decimal"/>
      <w:lvlText w:val="%5)"/>
      <w:lvlJc w:val="left"/>
      <w:pPr>
        <w:ind w:left="2160" w:hanging="360"/>
      </w:pPr>
    </w:lvl>
    <w:lvl w:ilvl="5" w:tplc="9AECF9D8">
      <w:start w:val="1"/>
      <w:numFmt w:val="decimal"/>
      <w:lvlText w:val="%6)"/>
      <w:lvlJc w:val="left"/>
      <w:pPr>
        <w:ind w:left="2160" w:hanging="360"/>
      </w:pPr>
    </w:lvl>
    <w:lvl w:ilvl="6" w:tplc="8418ED2C">
      <w:start w:val="1"/>
      <w:numFmt w:val="decimal"/>
      <w:lvlText w:val="%7)"/>
      <w:lvlJc w:val="left"/>
      <w:pPr>
        <w:ind w:left="2160" w:hanging="360"/>
      </w:pPr>
    </w:lvl>
    <w:lvl w:ilvl="7" w:tplc="5A3E77CC">
      <w:start w:val="1"/>
      <w:numFmt w:val="decimal"/>
      <w:lvlText w:val="%8)"/>
      <w:lvlJc w:val="left"/>
      <w:pPr>
        <w:ind w:left="2160" w:hanging="360"/>
      </w:pPr>
    </w:lvl>
    <w:lvl w:ilvl="8" w:tplc="50CC1DA2">
      <w:start w:val="1"/>
      <w:numFmt w:val="decimal"/>
      <w:lvlText w:val="%9)"/>
      <w:lvlJc w:val="left"/>
      <w:pPr>
        <w:ind w:left="2160" w:hanging="360"/>
      </w:pPr>
    </w:lvl>
  </w:abstractNum>
  <w:abstractNum w:abstractNumId="18" w15:restartNumberingAfterBreak="0">
    <w:nsid w:val="212F31EB"/>
    <w:multiLevelType w:val="hybridMultilevel"/>
    <w:tmpl w:val="989ABB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21C4305"/>
    <w:multiLevelType w:val="hybridMultilevel"/>
    <w:tmpl w:val="A496BEA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22F71F8E"/>
    <w:multiLevelType w:val="hybridMultilevel"/>
    <w:tmpl w:val="34307012"/>
    <w:lvl w:ilvl="0" w:tplc="FFFFFFFF">
      <w:start w:val="1"/>
      <w:numFmt w:val="bullet"/>
      <w:lvlText w:val=""/>
      <w:lvlJc w:val="left"/>
      <w:pPr>
        <w:ind w:left="720" w:hanging="360"/>
      </w:pPr>
      <w:rPr>
        <w:rFonts w:ascii="Symbol" w:hAnsi="Symbol" w:hint="default"/>
      </w:rPr>
    </w:lvl>
    <w:lvl w:ilvl="1" w:tplc="2000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23E23C1F"/>
    <w:multiLevelType w:val="multilevel"/>
    <w:tmpl w:val="58042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3FB1983"/>
    <w:multiLevelType w:val="multilevel"/>
    <w:tmpl w:val="C7407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5765D07"/>
    <w:multiLevelType w:val="hybridMultilevel"/>
    <w:tmpl w:val="5F5A8CC2"/>
    <w:lvl w:ilvl="0" w:tplc="2000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2C183EA5"/>
    <w:multiLevelType w:val="hybridMultilevel"/>
    <w:tmpl w:val="E8328D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FA92529"/>
    <w:multiLevelType w:val="multilevel"/>
    <w:tmpl w:val="83446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FB14E03"/>
    <w:multiLevelType w:val="hybridMultilevel"/>
    <w:tmpl w:val="3B64CE50"/>
    <w:lvl w:ilvl="0" w:tplc="2000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3FB6114"/>
    <w:multiLevelType w:val="multilevel"/>
    <w:tmpl w:val="0B68DE3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37DF316E"/>
    <w:multiLevelType w:val="hybridMultilevel"/>
    <w:tmpl w:val="1F5C5F3A"/>
    <w:lvl w:ilvl="0" w:tplc="2000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38D179AF"/>
    <w:multiLevelType w:val="hybridMultilevel"/>
    <w:tmpl w:val="087AABB8"/>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0" w15:restartNumberingAfterBreak="0">
    <w:nsid w:val="39F9379F"/>
    <w:multiLevelType w:val="hybridMultilevel"/>
    <w:tmpl w:val="1C6485AE"/>
    <w:lvl w:ilvl="0" w:tplc="2000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3B8D463A"/>
    <w:multiLevelType w:val="hybridMultilevel"/>
    <w:tmpl w:val="E6A8549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2" w15:restartNumberingAfterBreak="0">
    <w:nsid w:val="3F3C3334"/>
    <w:multiLevelType w:val="multilevel"/>
    <w:tmpl w:val="1F12636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3FEB5FEB"/>
    <w:multiLevelType w:val="multilevel"/>
    <w:tmpl w:val="FCAE2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23E7C4E"/>
    <w:multiLevelType w:val="hybridMultilevel"/>
    <w:tmpl w:val="452AD474"/>
    <w:lvl w:ilvl="0" w:tplc="19A41CBC">
      <w:start w:val="1"/>
      <w:numFmt w:val="decimal"/>
      <w:lvlText w:val="%1)"/>
      <w:lvlJc w:val="left"/>
      <w:pPr>
        <w:ind w:left="2160" w:hanging="360"/>
      </w:pPr>
    </w:lvl>
    <w:lvl w:ilvl="1" w:tplc="DC74D2F4">
      <w:start w:val="1"/>
      <w:numFmt w:val="decimal"/>
      <w:lvlText w:val="%2)"/>
      <w:lvlJc w:val="left"/>
      <w:pPr>
        <w:ind w:left="2160" w:hanging="360"/>
      </w:pPr>
    </w:lvl>
    <w:lvl w:ilvl="2" w:tplc="9AAC1D32">
      <w:start w:val="1"/>
      <w:numFmt w:val="decimal"/>
      <w:lvlText w:val="%3)"/>
      <w:lvlJc w:val="left"/>
      <w:pPr>
        <w:ind w:left="2160" w:hanging="360"/>
      </w:pPr>
    </w:lvl>
    <w:lvl w:ilvl="3" w:tplc="463E27FE">
      <w:start w:val="1"/>
      <w:numFmt w:val="decimal"/>
      <w:lvlText w:val="%4)"/>
      <w:lvlJc w:val="left"/>
      <w:pPr>
        <w:ind w:left="2160" w:hanging="360"/>
      </w:pPr>
    </w:lvl>
    <w:lvl w:ilvl="4" w:tplc="E4A07C38">
      <w:start w:val="1"/>
      <w:numFmt w:val="lowerLetter"/>
      <w:lvlText w:val="%5)"/>
      <w:lvlJc w:val="left"/>
      <w:pPr>
        <w:ind w:left="2520" w:hanging="360"/>
      </w:pPr>
    </w:lvl>
    <w:lvl w:ilvl="5" w:tplc="DF40477C">
      <w:start w:val="1"/>
      <w:numFmt w:val="decimal"/>
      <w:lvlText w:val="%6)"/>
      <w:lvlJc w:val="left"/>
      <w:pPr>
        <w:ind w:left="2160" w:hanging="360"/>
      </w:pPr>
    </w:lvl>
    <w:lvl w:ilvl="6" w:tplc="EA6AAB92">
      <w:start w:val="1"/>
      <w:numFmt w:val="decimal"/>
      <w:lvlText w:val="%7)"/>
      <w:lvlJc w:val="left"/>
      <w:pPr>
        <w:ind w:left="2160" w:hanging="360"/>
      </w:pPr>
    </w:lvl>
    <w:lvl w:ilvl="7" w:tplc="70EEE2DC">
      <w:start w:val="1"/>
      <w:numFmt w:val="decimal"/>
      <w:lvlText w:val="%8)"/>
      <w:lvlJc w:val="left"/>
      <w:pPr>
        <w:ind w:left="2160" w:hanging="360"/>
      </w:pPr>
    </w:lvl>
    <w:lvl w:ilvl="8" w:tplc="9FFE5F9E">
      <w:start w:val="1"/>
      <w:numFmt w:val="decimal"/>
      <w:lvlText w:val="%9)"/>
      <w:lvlJc w:val="left"/>
      <w:pPr>
        <w:ind w:left="2160" w:hanging="360"/>
      </w:pPr>
    </w:lvl>
  </w:abstractNum>
  <w:abstractNum w:abstractNumId="35" w15:restartNumberingAfterBreak="0">
    <w:nsid w:val="42A73D5E"/>
    <w:multiLevelType w:val="multilevel"/>
    <w:tmpl w:val="F956F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54955E3"/>
    <w:multiLevelType w:val="hybridMultilevel"/>
    <w:tmpl w:val="64207DF0"/>
    <w:lvl w:ilvl="0" w:tplc="2000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48A53051"/>
    <w:multiLevelType w:val="multilevel"/>
    <w:tmpl w:val="A1802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DF57664"/>
    <w:multiLevelType w:val="multilevel"/>
    <w:tmpl w:val="292A8E60"/>
    <w:styleLink w:val="ListBullets"/>
    <w:lvl w:ilvl="0">
      <w:start w:val="1"/>
      <w:numFmt w:val="bullet"/>
      <w:lvlRestart w:val="0"/>
      <w:lvlText w:val="•"/>
      <w:lvlJc w:val="left"/>
      <w:pPr>
        <w:ind w:left="283" w:hanging="283"/>
      </w:pPr>
      <w:rPr>
        <w:rFonts w:ascii="Century Gothic" w:hAnsi="Century Gothic" w:hint="default"/>
        <w:b w:val="0"/>
        <w:i w:val="0"/>
        <w:color w:val="auto"/>
        <w:sz w:val="22"/>
      </w:rPr>
    </w:lvl>
    <w:lvl w:ilvl="1">
      <w:start w:val="1"/>
      <w:numFmt w:val="bullet"/>
      <w:lvlText w:val="–"/>
      <w:lvlJc w:val="left"/>
      <w:pPr>
        <w:ind w:left="567" w:hanging="284"/>
      </w:pPr>
      <w:rPr>
        <w:rFonts w:ascii="Century Gothic" w:hAnsi="Century Gothic" w:hint="default"/>
        <w:color w:val="auto"/>
      </w:rPr>
    </w:lvl>
    <w:lvl w:ilvl="2">
      <w:start w:val="1"/>
      <w:numFmt w:val="bullet"/>
      <w:lvlText w:val="◦"/>
      <w:lvlJc w:val="left"/>
      <w:pPr>
        <w:ind w:left="850" w:hanging="283"/>
      </w:pPr>
      <w:rPr>
        <w:rFonts w:ascii="Century Gothic" w:hAnsi="Century Gothic" w:hint="default"/>
        <w:color w:val="auto"/>
      </w:rPr>
    </w:lvl>
    <w:lvl w:ilvl="3">
      <w:start w:val="1"/>
      <w:numFmt w:val="none"/>
      <w:lvlText w:val=""/>
      <w:lvlJc w:val="left"/>
      <w:pPr>
        <w:tabs>
          <w:tab w:val="num" w:pos="851"/>
        </w:tabs>
        <w:ind w:left="851" w:firstLine="0"/>
      </w:pPr>
      <w:rPr>
        <w:rFonts w:hint="default"/>
      </w:rPr>
    </w:lvl>
    <w:lvl w:ilvl="4">
      <w:start w:val="1"/>
      <w:numFmt w:val="none"/>
      <w:lvlText w:val=""/>
      <w:lvlJc w:val="left"/>
      <w:pPr>
        <w:ind w:left="851" w:firstLine="0"/>
      </w:pPr>
      <w:rPr>
        <w:rFonts w:hint="default"/>
      </w:rPr>
    </w:lvl>
    <w:lvl w:ilvl="5">
      <w:start w:val="1"/>
      <w:numFmt w:val="none"/>
      <w:lvlText w:val=""/>
      <w:lvlJc w:val="left"/>
      <w:pPr>
        <w:ind w:left="851" w:firstLine="0"/>
      </w:pPr>
      <w:rPr>
        <w:rFonts w:hint="default"/>
      </w:rPr>
    </w:lvl>
    <w:lvl w:ilvl="6">
      <w:start w:val="1"/>
      <w:numFmt w:val="none"/>
      <w:lvlText w:val=""/>
      <w:lvlJc w:val="left"/>
      <w:pPr>
        <w:ind w:left="851" w:firstLine="0"/>
      </w:pPr>
      <w:rPr>
        <w:rFonts w:hint="default"/>
      </w:rPr>
    </w:lvl>
    <w:lvl w:ilvl="7">
      <w:start w:val="1"/>
      <w:numFmt w:val="none"/>
      <w:lvlText w:val=""/>
      <w:lvlJc w:val="left"/>
      <w:pPr>
        <w:ind w:left="851" w:firstLine="0"/>
      </w:pPr>
      <w:rPr>
        <w:rFonts w:hint="default"/>
      </w:rPr>
    </w:lvl>
    <w:lvl w:ilvl="8">
      <w:start w:val="1"/>
      <w:numFmt w:val="none"/>
      <w:lvlText w:val=""/>
      <w:lvlJc w:val="left"/>
      <w:pPr>
        <w:ind w:left="851" w:firstLine="0"/>
      </w:pPr>
      <w:rPr>
        <w:rFonts w:hint="default"/>
      </w:rPr>
    </w:lvl>
  </w:abstractNum>
  <w:abstractNum w:abstractNumId="39" w15:restartNumberingAfterBreak="0">
    <w:nsid w:val="4FA52122"/>
    <w:multiLevelType w:val="hybridMultilevel"/>
    <w:tmpl w:val="BB6EE96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0" w15:restartNumberingAfterBreak="0">
    <w:nsid w:val="50017FF9"/>
    <w:multiLevelType w:val="hybridMultilevel"/>
    <w:tmpl w:val="942AB23E"/>
    <w:lvl w:ilvl="0" w:tplc="2000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513E75A3"/>
    <w:multiLevelType w:val="multilevel"/>
    <w:tmpl w:val="80908B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2C63F0F"/>
    <w:multiLevelType w:val="hybridMultilevel"/>
    <w:tmpl w:val="B44C7914"/>
    <w:lvl w:ilvl="0" w:tplc="20000003">
      <w:start w:val="1"/>
      <w:numFmt w:val="bullet"/>
      <w:lvlText w:val="o"/>
      <w:lvlJc w:val="left"/>
      <w:pPr>
        <w:ind w:left="1080" w:hanging="360"/>
      </w:pPr>
      <w:rPr>
        <w:rFonts w:ascii="Courier New" w:hAnsi="Courier New" w:cs="Courier New"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43" w15:restartNumberingAfterBreak="0">
    <w:nsid w:val="5323367B"/>
    <w:multiLevelType w:val="multilevel"/>
    <w:tmpl w:val="9FEEF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3455615"/>
    <w:multiLevelType w:val="hybridMultilevel"/>
    <w:tmpl w:val="374CADB0"/>
    <w:lvl w:ilvl="0" w:tplc="2000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56140ABF"/>
    <w:multiLevelType w:val="hybridMultilevel"/>
    <w:tmpl w:val="0BA65A8C"/>
    <w:lvl w:ilvl="0" w:tplc="2000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56F376C2"/>
    <w:multiLevelType w:val="hybridMultilevel"/>
    <w:tmpl w:val="A17C8518"/>
    <w:lvl w:ilvl="0" w:tplc="2000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571F7926"/>
    <w:multiLevelType w:val="multilevel"/>
    <w:tmpl w:val="FD321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B5F1078"/>
    <w:multiLevelType w:val="hybridMultilevel"/>
    <w:tmpl w:val="0C707E6C"/>
    <w:lvl w:ilvl="0" w:tplc="2000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5D2C2628"/>
    <w:multiLevelType w:val="hybridMultilevel"/>
    <w:tmpl w:val="F9106832"/>
    <w:lvl w:ilvl="0" w:tplc="D3726254">
      <w:start w:val="1"/>
      <w:numFmt w:val="lowerRoman"/>
      <w:lvlText w:val="%1)"/>
      <w:lvlJc w:val="right"/>
      <w:pPr>
        <w:ind w:left="1800" w:hanging="360"/>
      </w:pPr>
    </w:lvl>
    <w:lvl w:ilvl="1" w:tplc="C3E246DC">
      <w:start w:val="1"/>
      <w:numFmt w:val="lowerRoman"/>
      <w:lvlText w:val="%2)"/>
      <w:lvlJc w:val="right"/>
      <w:pPr>
        <w:ind w:left="1800" w:hanging="360"/>
      </w:pPr>
    </w:lvl>
    <w:lvl w:ilvl="2" w:tplc="DEAC1E36">
      <w:start w:val="1"/>
      <w:numFmt w:val="lowerRoman"/>
      <w:lvlText w:val="%3)"/>
      <w:lvlJc w:val="right"/>
      <w:pPr>
        <w:ind w:left="1800" w:hanging="360"/>
      </w:pPr>
    </w:lvl>
    <w:lvl w:ilvl="3" w:tplc="4FC804D6">
      <w:start w:val="1"/>
      <w:numFmt w:val="lowerRoman"/>
      <w:lvlText w:val="%4)"/>
      <w:lvlJc w:val="right"/>
      <w:pPr>
        <w:ind w:left="1800" w:hanging="360"/>
      </w:pPr>
    </w:lvl>
    <w:lvl w:ilvl="4" w:tplc="E5EC1718">
      <w:start w:val="1"/>
      <w:numFmt w:val="lowerRoman"/>
      <w:lvlText w:val="%5)"/>
      <w:lvlJc w:val="right"/>
      <w:pPr>
        <w:ind w:left="1800" w:hanging="360"/>
      </w:pPr>
    </w:lvl>
    <w:lvl w:ilvl="5" w:tplc="6750F972">
      <w:start w:val="1"/>
      <w:numFmt w:val="lowerRoman"/>
      <w:lvlText w:val="%6)"/>
      <w:lvlJc w:val="right"/>
      <w:pPr>
        <w:ind w:left="1800" w:hanging="360"/>
      </w:pPr>
    </w:lvl>
    <w:lvl w:ilvl="6" w:tplc="46C8F7E6">
      <w:start w:val="1"/>
      <w:numFmt w:val="lowerRoman"/>
      <w:lvlText w:val="%7)"/>
      <w:lvlJc w:val="right"/>
      <w:pPr>
        <w:ind w:left="1800" w:hanging="360"/>
      </w:pPr>
    </w:lvl>
    <w:lvl w:ilvl="7" w:tplc="F7228B96">
      <w:start w:val="1"/>
      <w:numFmt w:val="lowerRoman"/>
      <w:lvlText w:val="%8)"/>
      <w:lvlJc w:val="right"/>
      <w:pPr>
        <w:ind w:left="1800" w:hanging="360"/>
      </w:pPr>
    </w:lvl>
    <w:lvl w:ilvl="8" w:tplc="82BC031C">
      <w:start w:val="1"/>
      <w:numFmt w:val="lowerRoman"/>
      <w:lvlText w:val="%9)"/>
      <w:lvlJc w:val="right"/>
      <w:pPr>
        <w:ind w:left="1800" w:hanging="360"/>
      </w:pPr>
    </w:lvl>
  </w:abstractNum>
  <w:abstractNum w:abstractNumId="50" w15:restartNumberingAfterBreak="0">
    <w:nsid w:val="5F0A43E9"/>
    <w:multiLevelType w:val="hybridMultilevel"/>
    <w:tmpl w:val="F162C06A"/>
    <w:lvl w:ilvl="0" w:tplc="2000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61111D84"/>
    <w:multiLevelType w:val="multilevel"/>
    <w:tmpl w:val="608C33C6"/>
    <w:lvl w:ilvl="0">
      <w:start w:val="1"/>
      <w:numFmt w:val="lowerRoman"/>
      <w:lvlText w:val="(%1)"/>
      <w:lvlJc w:val="right"/>
      <w:pPr>
        <w:ind w:left="720" w:hanging="360"/>
      </w:pPr>
      <w:rPr>
        <w:rFonts w:hint="default"/>
        <w:b w:val="0"/>
        <w:bCs w:val="0"/>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52" w15:restartNumberingAfterBreak="0">
    <w:nsid w:val="622E47BB"/>
    <w:multiLevelType w:val="multilevel"/>
    <w:tmpl w:val="19F64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4EF601B"/>
    <w:multiLevelType w:val="multilevel"/>
    <w:tmpl w:val="35F69106"/>
    <w:styleLink w:val="ListNumbers"/>
    <w:lvl w:ilvl="0">
      <w:start w:val="1"/>
      <w:numFmt w:val="decimal"/>
      <w:lvlRestart w:val="0"/>
      <w:lvlText w:val="%1."/>
      <w:lvlJc w:val="left"/>
      <w:pPr>
        <w:ind w:left="340" w:hanging="340"/>
      </w:pPr>
      <w:rPr>
        <w:rFonts w:hint="default"/>
      </w:rPr>
    </w:lvl>
    <w:lvl w:ilvl="1">
      <w:start w:val="1"/>
      <w:numFmt w:val="decimal"/>
      <w:lvlText w:val="%1.%2"/>
      <w:lvlJc w:val="left"/>
      <w:pPr>
        <w:ind w:left="851" w:hanging="511"/>
      </w:pPr>
      <w:rPr>
        <w:rFonts w:hint="default"/>
      </w:rPr>
    </w:lvl>
    <w:lvl w:ilvl="2">
      <w:start w:val="1"/>
      <w:numFmt w:val="decimal"/>
      <w:lvlText w:val="%1.%2.%3"/>
      <w:lvlJc w:val="left"/>
      <w:pPr>
        <w:ind w:left="1418" w:hanging="567"/>
      </w:pPr>
      <w:rPr>
        <w:rFonts w:hint="default"/>
      </w:rPr>
    </w:lvl>
    <w:lvl w:ilvl="3">
      <w:start w:val="1"/>
      <w:numFmt w:val="none"/>
      <w:lvlText w:val=""/>
      <w:lvlJc w:val="left"/>
      <w:pPr>
        <w:ind w:left="851" w:hanging="284"/>
      </w:pPr>
      <w:rPr>
        <w:rFonts w:hint="default"/>
      </w:rPr>
    </w:lvl>
    <w:lvl w:ilvl="4">
      <w:start w:val="1"/>
      <w:numFmt w:val="none"/>
      <w:lvlText w:val=""/>
      <w:lvlJc w:val="left"/>
      <w:pPr>
        <w:ind w:left="851" w:hanging="284"/>
      </w:pPr>
      <w:rPr>
        <w:rFonts w:hint="default"/>
      </w:rPr>
    </w:lvl>
    <w:lvl w:ilvl="5">
      <w:start w:val="1"/>
      <w:numFmt w:val="none"/>
      <w:lvlText w:val=""/>
      <w:lvlJc w:val="left"/>
      <w:pPr>
        <w:ind w:left="851" w:hanging="284"/>
      </w:pPr>
      <w:rPr>
        <w:rFonts w:hint="default"/>
      </w:rPr>
    </w:lvl>
    <w:lvl w:ilvl="6">
      <w:start w:val="1"/>
      <w:numFmt w:val="none"/>
      <w:lvlText w:val=""/>
      <w:lvlJc w:val="left"/>
      <w:pPr>
        <w:ind w:left="851" w:hanging="284"/>
      </w:pPr>
      <w:rPr>
        <w:rFonts w:hint="default"/>
      </w:rPr>
    </w:lvl>
    <w:lvl w:ilvl="7">
      <w:start w:val="1"/>
      <w:numFmt w:val="none"/>
      <w:lvlText w:val=""/>
      <w:lvlJc w:val="left"/>
      <w:pPr>
        <w:ind w:left="851" w:hanging="284"/>
      </w:pPr>
      <w:rPr>
        <w:rFonts w:hint="default"/>
      </w:rPr>
    </w:lvl>
    <w:lvl w:ilvl="8">
      <w:start w:val="1"/>
      <w:numFmt w:val="none"/>
      <w:lvlText w:val=""/>
      <w:lvlJc w:val="left"/>
      <w:pPr>
        <w:ind w:left="851" w:hanging="284"/>
      </w:pPr>
      <w:rPr>
        <w:rFonts w:hint="default"/>
      </w:rPr>
    </w:lvl>
  </w:abstractNum>
  <w:abstractNum w:abstractNumId="54" w15:restartNumberingAfterBreak="0">
    <w:nsid w:val="687D4083"/>
    <w:multiLevelType w:val="hybridMultilevel"/>
    <w:tmpl w:val="9BF20188"/>
    <w:lvl w:ilvl="0" w:tplc="08090003">
      <w:start w:val="1"/>
      <w:numFmt w:val="bullet"/>
      <w:lvlText w:val="o"/>
      <w:lvlJc w:val="left"/>
      <w:pPr>
        <w:ind w:left="108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5" w15:restartNumberingAfterBreak="0">
    <w:nsid w:val="68FB20B3"/>
    <w:multiLevelType w:val="multilevel"/>
    <w:tmpl w:val="5CA6D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9EC6049"/>
    <w:multiLevelType w:val="hybridMultilevel"/>
    <w:tmpl w:val="B1CA2F46"/>
    <w:lvl w:ilvl="0" w:tplc="2000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 w15:restartNumberingAfterBreak="0">
    <w:nsid w:val="6A5C27AA"/>
    <w:multiLevelType w:val="multilevel"/>
    <w:tmpl w:val="98AEE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AFC011E"/>
    <w:multiLevelType w:val="multilevel"/>
    <w:tmpl w:val="F426F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CFA00E1"/>
    <w:multiLevelType w:val="hybridMultilevel"/>
    <w:tmpl w:val="EE72422C"/>
    <w:lvl w:ilvl="0" w:tplc="2000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6F415033"/>
    <w:multiLevelType w:val="hybridMultilevel"/>
    <w:tmpl w:val="EC02A0AA"/>
    <w:lvl w:ilvl="0" w:tplc="2000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75D956A7"/>
    <w:multiLevelType w:val="multilevel"/>
    <w:tmpl w:val="2AB81A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numFmt w:val="bullet"/>
      <w:lvlText w:val="-"/>
      <w:lvlJc w:val="left"/>
      <w:pPr>
        <w:ind w:left="3600" w:hanging="360"/>
      </w:pPr>
      <w:rPr>
        <w:rFonts w:ascii="Century Gothic" w:eastAsiaTheme="minorHAnsi" w:hAnsi="Century Gothic" w:cstheme="minorBidi" w:hint="default"/>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78760D5F"/>
    <w:multiLevelType w:val="hybridMultilevel"/>
    <w:tmpl w:val="4B64B992"/>
    <w:lvl w:ilvl="0" w:tplc="20000003">
      <w:start w:val="1"/>
      <w:numFmt w:val="bullet"/>
      <w:lvlText w:val="o"/>
      <w:lvlJc w:val="left"/>
      <w:pPr>
        <w:ind w:left="1440" w:hanging="360"/>
      </w:pPr>
      <w:rPr>
        <w:rFonts w:ascii="Courier New" w:hAnsi="Courier New" w:cs="Courier New"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63" w15:restartNumberingAfterBreak="0">
    <w:nsid w:val="79823EAB"/>
    <w:multiLevelType w:val="multilevel"/>
    <w:tmpl w:val="608C33C6"/>
    <w:lvl w:ilvl="0">
      <w:start w:val="1"/>
      <w:numFmt w:val="lowerRoman"/>
      <w:lvlText w:val="(%1)"/>
      <w:lvlJc w:val="right"/>
      <w:pPr>
        <w:ind w:left="720" w:hanging="360"/>
      </w:pPr>
      <w:rPr>
        <w:rFonts w:hint="default"/>
        <w:b w:val="0"/>
        <w:bCs w:val="0"/>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64" w15:restartNumberingAfterBreak="0">
    <w:nsid w:val="7A0725E8"/>
    <w:multiLevelType w:val="multilevel"/>
    <w:tmpl w:val="029A4CB0"/>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5" w15:restartNumberingAfterBreak="0">
    <w:nsid w:val="7BD31DAD"/>
    <w:multiLevelType w:val="hybridMultilevel"/>
    <w:tmpl w:val="4DC013AE"/>
    <w:lvl w:ilvl="0" w:tplc="2000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7C0A5EE5"/>
    <w:multiLevelType w:val="hybridMultilevel"/>
    <w:tmpl w:val="B01C9B8E"/>
    <w:lvl w:ilvl="0" w:tplc="E3FE0806">
      <w:start w:val="1"/>
      <w:numFmt w:val="lowerLetter"/>
      <w:lvlText w:val="%1)"/>
      <w:lvlJc w:val="left"/>
      <w:pPr>
        <w:ind w:left="1440" w:hanging="360"/>
      </w:pPr>
    </w:lvl>
    <w:lvl w:ilvl="1" w:tplc="1CE01D9E">
      <w:start w:val="1"/>
      <w:numFmt w:val="lowerLetter"/>
      <w:lvlText w:val="%2)"/>
      <w:lvlJc w:val="left"/>
      <w:pPr>
        <w:ind w:left="1440" w:hanging="360"/>
      </w:pPr>
    </w:lvl>
    <w:lvl w:ilvl="2" w:tplc="17DC9E20">
      <w:start w:val="1"/>
      <w:numFmt w:val="lowerRoman"/>
      <w:lvlText w:val="%3)"/>
      <w:lvlJc w:val="right"/>
      <w:pPr>
        <w:ind w:left="1800" w:hanging="360"/>
      </w:pPr>
    </w:lvl>
    <w:lvl w:ilvl="3" w:tplc="E098A5DA">
      <w:start w:val="1"/>
      <w:numFmt w:val="lowerLetter"/>
      <w:lvlText w:val="%4)"/>
      <w:lvlJc w:val="left"/>
      <w:pPr>
        <w:ind w:left="1440" w:hanging="360"/>
      </w:pPr>
    </w:lvl>
    <w:lvl w:ilvl="4" w:tplc="3C2247DA">
      <w:start w:val="1"/>
      <w:numFmt w:val="lowerLetter"/>
      <w:lvlText w:val="%5)"/>
      <w:lvlJc w:val="left"/>
      <w:pPr>
        <w:ind w:left="1440" w:hanging="360"/>
      </w:pPr>
    </w:lvl>
    <w:lvl w:ilvl="5" w:tplc="D52EF36E">
      <w:start w:val="1"/>
      <w:numFmt w:val="lowerLetter"/>
      <w:lvlText w:val="%6)"/>
      <w:lvlJc w:val="left"/>
      <w:pPr>
        <w:ind w:left="1440" w:hanging="360"/>
      </w:pPr>
    </w:lvl>
    <w:lvl w:ilvl="6" w:tplc="6F16048C">
      <w:start w:val="1"/>
      <w:numFmt w:val="lowerLetter"/>
      <w:lvlText w:val="%7)"/>
      <w:lvlJc w:val="left"/>
      <w:pPr>
        <w:ind w:left="1440" w:hanging="360"/>
      </w:pPr>
    </w:lvl>
    <w:lvl w:ilvl="7" w:tplc="C64847D6">
      <w:start w:val="1"/>
      <w:numFmt w:val="lowerLetter"/>
      <w:lvlText w:val="%8)"/>
      <w:lvlJc w:val="left"/>
      <w:pPr>
        <w:ind w:left="1440" w:hanging="360"/>
      </w:pPr>
    </w:lvl>
    <w:lvl w:ilvl="8" w:tplc="5442D538">
      <w:start w:val="1"/>
      <w:numFmt w:val="lowerLetter"/>
      <w:lvlText w:val="%9)"/>
      <w:lvlJc w:val="left"/>
      <w:pPr>
        <w:ind w:left="1440" w:hanging="360"/>
      </w:pPr>
    </w:lvl>
  </w:abstractNum>
  <w:abstractNum w:abstractNumId="67" w15:restartNumberingAfterBreak="0">
    <w:nsid w:val="7C8C54D4"/>
    <w:multiLevelType w:val="hybridMultilevel"/>
    <w:tmpl w:val="6928B9A2"/>
    <w:lvl w:ilvl="0" w:tplc="345898A2">
      <w:start w:val="1"/>
      <w:numFmt w:val="decimal"/>
      <w:lvlText w:val="%1)"/>
      <w:lvlJc w:val="left"/>
      <w:pPr>
        <w:ind w:left="720" w:hanging="360"/>
      </w:pPr>
      <w:rPr>
        <w:rFonts w:ascii="Century Gothic" w:eastAsiaTheme="minorEastAsia" w:hAnsi="Century Gothic" w:cstheme="minorBidi"/>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7CEB070B"/>
    <w:multiLevelType w:val="multilevel"/>
    <w:tmpl w:val="E11689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7FC45D44"/>
    <w:multiLevelType w:val="hybridMultilevel"/>
    <w:tmpl w:val="E1FE563A"/>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75249420">
    <w:abstractNumId w:val="38"/>
  </w:num>
  <w:num w:numId="2" w16cid:durableId="2006013747">
    <w:abstractNumId w:val="3"/>
  </w:num>
  <w:num w:numId="3" w16cid:durableId="350649022">
    <w:abstractNumId w:val="1"/>
  </w:num>
  <w:num w:numId="4" w16cid:durableId="165638525">
    <w:abstractNumId w:val="0"/>
  </w:num>
  <w:num w:numId="5" w16cid:durableId="476999481">
    <w:abstractNumId w:val="53"/>
  </w:num>
  <w:num w:numId="6" w16cid:durableId="1054350644">
    <w:abstractNumId w:val="64"/>
  </w:num>
  <w:num w:numId="7" w16cid:durableId="491676153">
    <w:abstractNumId w:val="52"/>
  </w:num>
  <w:num w:numId="8" w16cid:durableId="866141549">
    <w:abstractNumId w:val="57"/>
  </w:num>
  <w:num w:numId="9" w16cid:durableId="2065526199">
    <w:abstractNumId w:val="21"/>
  </w:num>
  <w:num w:numId="10" w16cid:durableId="799299901">
    <w:abstractNumId w:val="13"/>
  </w:num>
  <w:num w:numId="11" w16cid:durableId="278536333">
    <w:abstractNumId w:val="37"/>
  </w:num>
  <w:num w:numId="12" w16cid:durableId="1547134225">
    <w:abstractNumId w:val="2"/>
  </w:num>
  <w:num w:numId="13" w16cid:durableId="1050689186">
    <w:abstractNumId w:val="11"/>
  </w:num>
  <w:num w:numId="14" w16cid:durableId="1181050118">
    <w:abstractNumId w:val="22"/>
  </w:num>
  <w:num w:numId="15" w16cid:durableId="1699430198">
    <w:abstractNumId w:val="33"/>
  </w:num>
  <w:num w:numId="16" w16cid:durableId="1927768546">
    <w:abstractNumId w:val="68"/>
  </w:num>
  <w:num w:numId="17" w16cid:durableId="1951474296">
    <w:abstractNumId w:val="35"/>
  </w:num>
  <w:num w:numId="18" w16cid:durableId="1080299044">
    <w:abstractNumId w:val="41"/>
  </w:num>
  <w:num w:numId="19" w16cid:durableId="2116053890">
    <w:abstractNumId w:val="16"/>
  </w:num>
  <w:num w:numId="20" w16cid:durableId="1090589027">
    <w:abstractNumId w:val="47"/>
  </w:num>
  <w:num w:numId="21" w16cid:durableId="891963241">
    <w:abstractNumId w:val="25"/>
  </w:num>
  <w:num w:numId="22" w16cid:durableId="1581018817">
    <w:abstractNumId w:val="18"/>
  </w:num>
  <w:num w:numId="23" w16cid:durableId="68040847">
    <w:abstractNumId w:val="5"/>
  </w:num>
  <w:num w:numId="24" w16cid:durableId="1746874791">
    <w:abstractNumId w:val="43"/>
  </w:num>
  <w:num w:numId="25" w16cid:durableId="1259093934">
    <w:abstractNumId w:val="14"/>
  </w:num>
  <w:num w:numId="26" w16cid:durableId="1235047007">
    <w:abstractNumId w:val="49"/>
  </w:num>
  <w:num w:numId="27" w16cid:durableId="1642224794">
    <w:abstractNumId w:val="34"/>
  </w:num>
  <w:num w:numId="28" w16cid:durableId="575478820">
    <w:abstractNumId w:val="17"/>
  </w:num>
  <w:num w:numId="29" w16cid:durableId="138618229">
    <w:abstractNumId w:val="29"/>
  </w:num>
  <w:num w:numId="30" w16cid:durableId="1225607439">
    <w:abstractNumId w:val="61"/>
  </w:num>
  <w:num w:numId="31" w16cid:durableId="2071079553">
    <w:abstractNumId w:val="39"/>
  </w:num>
  <w:num w:numId="32" w16cid:durableId="870531427">
    <w:abstractNumId w:val="24"/>
  </w:num>
  <w:num w:numId="33" w16cid:durableId="862674778">
    <w:abstractNumId w:val="31"/>
  </w:num>
  <w:num w:numId="34" w16cid:durableId="356782861">
    <w:abstractNumId w:val="9"/>
  </w:num>
  <w:num w:numId="35" w16cid:durableId="54285750">
    <w:abstractNumId w:val="67"/>
  </w:num>
  <w:num w:numId="36" w16cid:durableId="1196428954">
    <w:abstractNumId w:val="32"/>
  </w:num>
  <w:num w:numId="37" w16cid:durableId="286546534">
    <w:abstractNumId w:val="51"/>
  </w:num>
  <w:num w:numId="38" w16cid:durableId="1618640204">
    <w:abstractNumId w:val="63"/>
  </w:num>
  <w:num w:numId="39" w16cid:durableId="1794902995">
    <w:abstractNumId w:val="42"/>
  </w:num>
  <w:num w:numId="40" w16cid:durableId="1607495947">
    <w:abstractNumId w:val="62"/>
  </w:num>
  <w:num w:numId="41" w16cid:durableId="437214432">
    <w:abstractNumId w:val="56"/>
  </w:num>
  <w:num w:numId="42" w16cid:durableId="857888416">
    <w:abstractNumId w:val="69"/>
  </w:num>
  <w:num w:numId="43" w16cid:durableId="1794211133">
    <w:abstractNumId w:val="19"/>
  </w:num>
  <w:num w:numId="44" w16cid:durableId="1000162804">
    <w:abstractNumId w:val="66"/>
  </w:num>
  <w:num w:numId="45" w16cid:durableId="1796097289">
    <w:abstractNumId w:val="55"/>
  </w:num>
  <w:num w:numId="46" w16cid:durableId="1197886461">
    <w:abstractNumId w:val="27"/>
  </w:num>
  <w:num w:numId="47" w16cid:durableId="903295496">
    <w:abstractNumId w:val="58"/>
  </w:num>
  <w:num w:numId="48" w16cid:durableId="1654792887">
    <w:abstractNumId w:val="7"/>
  </w:num>
  <w:num w:numId="49" w16cid:durableId="1735396799">
    <w:abstractNumId w:val="12"/>
  </w:num>
  <w:num w:numId="50" w16cid:durableId="2092384829">
    <w:abstractNumId w:val="44"/>
  </w:num>
  <w:num w:numId="51" w16cid:durableId="467355080">
    <w:abstractNumId w:val="50"/>
  </w:num>
  <w:num w:numId="52" w16cid:durableId="287398222">
    <w:abstractNumId w:val="48"/>
  </w:num>
  <w:num w:numId="53" w16cid:durableId="1539776393">
    <w:abstractNumId w:val="65"/>
  </w:num>
  <w:num w:numId="54" w16cid:durableId="623509845">
    <w:abstractNumId w:val="36"/>
  </w:num>
  <w:num w:numId="55" w16cid:durableId="1412508948">
    <w:abstractNumId w:val="20"/>
  </w:num>
  <w:num w:numId="56" w16cid:durableId="1897664873">
    <w:abstractNumId w:val="26"/>
  </w:num>
  <w:num w:numId="57" w16cid:durableId="304627984">
    <w:abstractNumId w:val="54"/>
  </w:num>
  <w:num w:numId="58" w16cid:durableId="1938753698">
    <w:abstractNumId w:val="60"/>
  </w:num>
  <w:num w:numId="59" w16cid:durableId="903374583">
    <w:abstractNumId w:val="46"/>
  </w:num>
  <w:num w:numId="60" w16cid:durableId="1391532994">
    <w:abstractNumId w:val="10"/>
  </w:num>
  <w:num w:numId="61" w16cid:durableId="1594239835">
    <w:abstractNumId w:val="59"/>
  </w:num>
  <w:num w:numId="62" w16cid:durableId="324014598">
    <w:abstractNumId w:val="23"/>
  </w:num>
  <w:num w:numId="63" w16cid:durableId="1835533523">
    <w:abstractNumId w:val="40"/>
  </w:num>
  <w:num w:numId="64" w16cid:durableId="730496376">
    <w:abstractNumId w:val="30"/>
  </w:num>
  <w:num w:numId="65" w16cid:durableId="290021474">
    <w:abstractNumId w:val="45"/>
  </w:num>
  <w:num w:numId="66" w16cid:durableId="2101027402">
    <w:abstractNumId w:val="15"/>
  </w:num>
  <w:num w:numId="67" w16cid:durableId="256256489">
    <w:abstractNumId w:val="6"/>
  </w:num>
  <w:num w:numId="68" w16cid:durableId="1985309322">
    <w:abstractNumId w:val="8"/>
  </w:num>
  <w:num w:numId="69" w16cid:durableId="1662810593">
    <w:abstractNumId w:val="4"/>
  </w:num>
  <w:num w:numId="70" w16cid:durableId="1009403299">
    <w:abstractNumId w:val="28"/>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attachedTemplate r:id="rId1"/>
  <w:stylePaneFormatFilter w:val="D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1"/>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6E80"/>
    <w:rsid w:val="000005C2"/>
    <w:rsid w:val="000008BC"/>
    <w:rsid w:val="00000980"/>
    <w:rsid w:val="000009F6"/>
    <w:rsid w:val="00000ADD"/>
    <w:rsid w:val="00000B87"/>
    <w:rsid w:val="000010C3"/>
    <w:rsid w:val="000017CD"/>
    <w:rsid w:val="00001956"/>
    <w:rsid w:val="00001A0A"/>
    <w:rsid w:val="00001BE3"/>
    <w:rsid w:val="00001CAA"/>
    <w:rsid w:val="000020A6"/>
    <w:rsid w:val="00002133"/>
    <w:rsid w:val="0000223F"/>
    <w:rsid w:val="00002A45"/>
    <w:rsid w:val="00002F33"/>
    <w:rsid w:val="00002FC2"/>
    <w:rsid w:val="00003476"/>
    <w:rsid w:val="00003705"/>
    <w:rsid w:val="0000377B"/>
    <w:rsid w:val="000037A0"/>
    <w:rsid w:val="00003AAD"/>
    <w:rsid w:val="00003B07"/>
    <w:rsid w:val="00003BE6"/>
    <w:rsid w:val="00003E6E"/>
    <w:rsid w:val="00003FAD"/>
    <w:rsid w:val="000041A5"/>
    <w:rsid w:val="0000442C"/>
    <w:rsid w:val="00004A67"/>
    <w:rsid w:val="00004A7C"/>
    <w:rsid w:val="00004AE6"/>
    <w:rsid w:val="00004B52"/>
    <w:rsid w:val="00004D8E"/>
    <w:rsid w:val="00005004"/>
    <w:rsid w:val="000056E9"/>
    <w:rsid w:val="00005746"/>
    <w:rsid w:val="0000584D"/>
    <w:rsid w:val="000059C1"/>
    <w:rsid w:val="00005E0C"/>
    <w:rsid w:val="00005EA9"/>
    <w:rsid w:val="00005F11"/>
    <w:rsid w:val="000061F2"/>
    <w:rsid w:val="00006764"/>
    <w:rsid w:val="00006E58"/>
    <w:rsid w:val="0000728F"/>
    <w:rsid w:val="0000759A"/>
    <w:rsid w:val="00007624"/>
    <w:rsid w:val="000078B3"/>
    <w:rsid w:val="00007C30"/>
    <w:rsid w:val="00007E95"/>
    <w:rsid w:val="00010307"/>
    <w:rsid w:val="00010512"/>
    <w:rsid w:val="00010572"/>
    <w:rsid w:val="0001082F"/>
    <w:rsid w:val="00010C14"/>
    <w:rsid w:val="00010C8B"/>
    <w:rsid w:val="00010C99"/>
    <w:rsid w:val="00010CF4"/>
    <w:rsid w:val="00010EA0"/>
    <w:rsid w:val="00010EFA"/>
    <w:rsid w:val="0001159F"/>
    <w:rsid w:val="00011C77"/>
    <w:rsid w:val="00011CD9"/>
    <w:rsid w:val="00011F05"/>
    <w:rsid w:val="00012138"/>
    <w:rsid w:val="000122A0"/>
    <w:rsid w:val="0001238D"/>
    <w:rsid w:val="000123EA"/>
    <w:rsid w:val="000126FB"/>
    <w:rsid w:val="00012851"/>
    <w:rsid w:val="00012938"/>
    <w:rsid w:val="000129AE"/>
    <w:rsid w:val="00012A54"/>
    <w:rsid w:val="00012AA9"/>
    <w:rsid w:val="00012F6F"/>
    <w:rsid w:val="00013324"/>
    <w:rsid w:val="00013371"/>
    <w:rsid w:val="000133AF"/>
    <w:rsid w:val="0001370E"/>
    <w:rsid w:val="00013884"/>
    <w:rsid w:val="00013943"/>
    <w:rsid w:val="00013AB6"/>
    <w:rsid w:val="00013B4C"/>
    <w:rsid w:val="00013D44"/>
    <w:rsid w:val="00014011"/>
    <w:rsid w:val="00014060"/>
    <w:rsid w:val="00014145"/>
    <w:rsid w:val="00014397"/>
    <w:rsid w:val="000144A3"/>
    <w:rsid w:val="000145F9"/>
    <w:rsid w:val="0001494A"/>
    <w:rsid w:val="00014A6F"/>
    <w:rsid w:val="0001511D"/>
    <w:rsid w:val="0001529D"/>
    <w:rsid w:val="000155FF"/>
    <w:rsid w:val="0001587D"/>
    <w:rsid w:val="00015973"/>
    <w:rsid w:val="000159B2"/>
    <w:rsid w:val="00015A88"/>
    <w:rsid w:val="00015BD6"/>
    <w:rsid w:val="00015C48"/>
    <w:rsid w:val="00015D04"/>
    <w:rsid w:val="0001618A"/>
    <w:rsid w:val="00016372"/>
    <w:rsid w:val="00016465"/>
    <w:rsid w:val="00016557"/>
    <w:rsid w:val="00016558"/>
    <w:rsid w:val="00016941"/>
    <w:rsid w:val="00016A54"/>
    <w:rsid w:val="00016CAB"/>
    <w:rsid w:val="00016E7A"/>
    <w:rsid w:val="00016F8B"/>
    <w:rsid w:val="000172D0"/>
    <w:rsid w:val="000172E3"/>
    <w:rsid w:val="0001734F"/>
    <w:rsid w:val="0001781D"/>
    <w:rsid w:val="00017BDA"/>
    <w:rsid w:val="00020032"/>
    <w:rsid w:val="000201A5"/>
    <w:rsid w:val="00020349"/>
    <w:rsid w:val="000203F5"/>
    <w:rsid w:val="0002074D"/>
    <w:rsid w:val="00020A62"/>
    <w:rsid w:val="00020F66"/>
    <w:rsid w:val="00020F85"/>
    <w:rsid w:val="000212A0"/>
    <w:rsid w:val="00021503"/>
    <w:rsid w:val="00021818"/>
    <w:rsid w:val="00021B26"/>
    <w:rsid w:val="00021BEA"/>
    <w:rsid w:val="00021C3E"/>
    <w:rsid w:val="00021C45"/>
    <w:rsid w:val="00021EC9"/>
    <w:rsid w:val="00021F67"/>
    <w:rsid w:val="00022154"/>
    <w:rsid w:val="000224F1"/>
    <w:rsid w:val="00022AE4"/>
    <w:rsid w:val="00022D8C"/>
    <w:rsid w:val="00023181"/>
    <w:rsid w:val="00023854"/>
    <w:rsid w:val="00023C4D"/>
    <w:rsid w:val="00023FF0"/>
    <w:rsid w:val="00024247"/>
    <w:rsid w:val="0002486E"/>
    <w:rsid w:val="000249F1"/>
    <w:rsid w:val="00024C40"/>
    <w:rsid w:val="00024D64"/>
    <w:rsid w:val="0002512F"/>
    <w:rsid w:val="0002513A"/>
    <w:rsid w:val="00025144"/>
    <w:rsid w:val="00025161"/>
    <w:rsid w:val="00025798"/>
    <w:rsid w:val="0002587C"/>
    <w:rsid w:val="000259DE"/>
    <w:rsid w:val="00025A00"/>
    <w:rsid w:val="00025AE3"/>
    <w:rsid w:val="00025CEE"/>
    <w:rsid w:val="00025DBD"/>
    <w:rsid w:val="00025E67"/>
    <w:rsid w:val="000260D0"/>
    <w:rsid w:val="0002616E"/>
    <w:rsid w:val="0002696E"/>
    <w:rsid w:val="000269B3"/>
    <w:rsid w:val="00026CE0"/>
    <w:rsid w:val="000272F9"/>
    <w:rsid w:val="0002749E"/>
    <w:rsid w:val="00027530"/>
    <w:rsid w:val="000275A9"/>
    <w:rsid w:val="0002761E"/>
    <w:rsid w:val="00027856"/>
    <w:rsid w:val="00027AE4"/>
    <w:rsid w:val="00027BB3"/>
    <w:rsid w:val="00027E3B"/>
    <w:rsid w:val="00030286"/>
    <w:rsid w:val="00030411"/>
    <w:rsid w:val="0003060F"/>
    <w:rsid w:val="0003065E"/>
    <w:rsid w:val="000308D4"/>
    <w:rsid w:val="00030B9E"/>
    <w:rsid w:val="0003103F"/>
    <w:rsid w:val="000313CB"/>
    <w:rsid w:val="00031555"/>
    <w:rsid w:val="0003162D"/>
    <w:rsid w:val="00031BD2"/>
    <w:rsid w:val="0003211A"/>
    <w:rsid w:val="00032502"/>
    <w:rsid w:val="00032599"/>
    <w:rsid w:val="00032720"/>
    <w:rsid w:val="00032976"/>
    <w:rsid w:val="00032B02"/>
    <w:rsid w:val="00032BA9"/>
    <w:rsid w:val="00032CD5"/>
    <w:rsid w:val="00032DD4"/>
    <w:rsid w:val="0003310B"/>
    <w:rsid w:val="000338B4"/>
    <w:rsid w:val="00033CB4"/>
    <w:rsid w:val="00033D71"/>
    <w:rsid w:val="00034021"/>
    <w:rsid w:val="000340BF"/>
    <w:rsid w:val="00034139"/>
    <w:rsid w:val="000342EB"/>
    <w:rsid w:val="00034396"/>
    <w:rsid w:val="0003440F"/>
    <w:rsid w:val="0003453A"/>
    <w:rsid w:val="000345FB"/>
    <w:rsid w:val="00034A0D"/>
    <w:rsid w:val="00034A8D"/>
    <w:rsid w:val="00034D4B"/>
    <w:rsid w:val="00034EF4"/>
    <w:rsid w:val="000352DE"/>
    <w:rsid w:val="000353E0"/>
    <w:rsid w:val="00035613"/>
    <w:rsid w:val="0003570E"/>
    <w:rsid w:val="00035CD9"/>
    <w:rsid w:val="0003625E"/>
    <w:rsid w:val="0003627B"/>
    <w:rsid w:val="00036514"/>
    <w:rsid w:val="0003651F"/>
    <w:rsid w:val="000369AB"/>
    <w:rsid w:val="00036A98"/>
    <w:rsid w:val="00036AB1"/>
    <w:rsid w:val="00036D3D"/>
    <w:rsid w:val="00036E20"/>
    <w:rsid w:val="00037124"/>
    <w:rsid w:val="00037388"/>
    <w:rsid w:val="000374ED"/>
    <w:rsid w:val="000375B9"/>
    <w:rsid w:val="000375D8"/>
    <w:rsid w:val="000376F4"/>
    <w:rsid w:val="00037A11"/>
    <w:rsid w:val="00037C0A"/>
    <w:rsid w:val="00037EDD"/>
    <w:rsid w:val="00040036"/>
    <w:rsid w:val="000402E8"/>
    <w:rsid w:val="0004087D"/>
    <w:rsid w:val="000409C8"/>
    <w:rsid w:val="00040BBA"/>
    <w:rsid w:val="00040D93"/>
    <w:rsid w:val="00040ED8"/>
    <w:rsid w:val="00040F41"/>
    <w:rsid w:val="00040F80"/>
    <w:rsid w:val="0004120E"/>
    <w:rsid w:val="00041298"/>
    <w:rsid w:val="000412A1"/>
    <w:rsid w:val="000416E4"/>
    <w:rsid w:val="0004178E"/>
    <w:rsid w:val="0004198C"/>
    <w:rsid w:val="00041BE0"/>
    <w:rsid w:val="00041D37"/>
    <w:rsid w:val="00041DAA"/>
    <w:rsid w:val="00041E70"/>
    <w:rsid w:val="00042271"/>
    <w:rsid w:val="00042C3D"/>
    <w:rsid w:val="00043025"/>
    <w:rsid w:val="0004304C"/>
    <w:rsid w:val="00043179"/>
    <w:rsid w:val="000433F6"/>
    <w:rsid w:val="0004360D"/>
    <w:rsid w:val="00043735"/>
    <w:rsid w:val="000437CD"/>
    <w:rsid w:val="0004383C"/>
    <w:rsid w:val="00043B74"/>
    <w:rsid w:val="00043BFE"/>
    <w:rsid w:val="00043F89"/>
    <w:rsid w:val="0004440F"/>
    <w:rsid w:val="00044DAC"/>
    <w:rsid w:val="00044EFB"/>
    <w:rsid w:val="00044F72"/>
    <w:rsid w:val="00045010"/>
    <w:rsid w:val="00045028"/>
    <w:rsid w:val="00045194"/>
    <w:rsid w:val="00045798"/>
    <w:rsid w:val="000458F4"/>
    <w:rsid w:val="00045B06"/>
    <w:rsid w:val="00045B6B"/>
    <w:rsid w:val="00045C4F"/>
    <w:rsid w:val="00045C96"/>
    <w:rsid w:val="00045CAF"/>
    <w:rsid w:val="00045D2B"/>
    <w:rsid w:val="00045E0A"/>
    <w:rsid w:val="000465CE"/>
    <w:rsid w:val="00046617"/>
    <w:rsid w:val="00046A8F"/>
    <w:rsid w:val="00046CB9"/>
    <w:rsid w:val="00046DCB"/>
    <w:rsid w:val="0004707F"/>
    <w:rsid w:val="0004718A"/>
    <w:rsid w:val="0004732D"/>
    <w:rsid w:val="00047466"/>
    <w:rsid w:val="0004761B"/>
    <w:rsid w:val="00047884"/>
    <w:rsid w:val="00047B17"/>
    <w:rsid w:val="00047D99"/>
    <w:rsid w:val="00047F3A"/>
    <w:rsid w:val="00050045"/>
    <w:rsid w:val="000500CC"/>
    <w:rsid w:val="00050228"/>
    <w:rsid w:val="00050363"/>
    <w:rsid w:val="0005042A"/>
    <w:rsid w:val="000508A6"/>
    <w:rsid w:val="000509FE"/>
    <w:rsid w:val="00050D1D"/>
    <w:rsid w:val="00050D66"/>
    <w:rsid w:val="000512A6"/>
    <w:rsid w:val="000515B0"/>
    <w:rsid w:val="00051949"/>
    <w:rsid w:val="00051A0A"/>
    <w:rsid w:val="00051A1B"/>
    <w:rsid w:val="000520A9"/>
    <w:rsid w:val="00052197"/>
    <w:rsid w:val="0005229E"/>
    <w:rsid w:val="00052529"/>
    <w:rsid w:val="00052541"/>
    <w:rsid w:val="000529B4"/>
    <w:rsid w:val="00052EE7"/>
    <w:rsid w:val="000531F8"/>
    <w:rsid w:val="00053238"/>
    <w:rsid w:val="00053395"/>
    <w:rsid w:val="00053413"/>
    <w:rsid w:val="000536AB"/>
    <w:rsid w:val="00053780"/>
    <w:rsid w:val="00053B8B"/>
    <w:rsid w:val="00053F42"/>
    <w:rsid w:val="00053F66"/>
    <w:rsid w:val="00053FB8"/>
    <w:rsid w:val="00054053"/>
    <w:rsid w:val="000542D4"/>
    <w:rsid w:val="000542F6"/>
    <w:rsid w:val="00054537"/>
    <w:rsid w:val="000548C2"/>
    <w:rsid w:val="000548FA"/>
    <w:rsid w:val="00054A37"/>
    <w:rsid w:val="00054D7D"/>
    <w:rsid w:val="00054E13"/>
    <w:rsid w:val="00054ED2"/>
    <w:rsid w:val="00055263"/>
    <w:rsid w:val="000554F7"/>
    <w:rsid w:val="00055A41"/>
    <w:rsid w:val="00055A56"/>
    <w:rsid w:val="00055EE7"/>
    <w:rsid w:val="000560C7"/>
    <w:rsid w:val="000566D6"/>
    <w:rsid w:val="0005697F"/>
    <w:rsid w:val="000569D4"/>
    <w:rsid w:val="00056D11"/>
    <w:rsid w:val="00056D19"/>
    <w:rsid w:val="00056F10"/>
    <w:rsid w:val="00057047"/>
    <w:rsid w:val="00057519"/>
    <w:rsid w:val="00057759"/>
    <w:rsid w:val="00057BA5"/>
    <w:rsid w:val="00057C58"/>
    <w:rsid w:val="00057DA0"/>
    <w:rsid w:val="00060319"/>
    <w:rsid w:val="00060746"/>
    <w:rsid w:val="00060C7B"/>
    <w:rsid w:val="00060D49"/>
    <w:rsid w:val="00061453"/>
    <w:rsid w:val="00061669"/>
    <w:rsid w:val="0006176B"/>
    <w:rsid w:val="000617FC"/>
    <w:rsid w:val="00061E21"/>
    <w:rsid w:val="00061E8D"/>
    <w:rsid w:val="00061FEB"/>
    <w:rsid w:val="00062059"/>
    <w:rsid w:val="0006225D"/>
    <w:rsid w:val="000622CD"/>
    <w:rsid w:val="000627EB"/>
    <w:rsid w:val="0006287F"/>
    <w:rsid w:val="000629FC"/>
    <w:rsid w:val="00062A14"/>
    <w:rsid w:val="00062A1B"/>
    <w:rsid w:val="0006343B"/>
    <w:rsid w:val="00063A1E"/>
    <w:rsid w:val="00063D33"/>
    <w:rsid w:val="00063EA0"/>
    <w:rsid w:val="00063EC4"/>
    <w:rsid w:val="00064152"/>
    <w:rsid w:val="00064194"/>
    <w:rsid w:val="000641CD"/>
    <w:rsid w:val="0006466B"/>
    <w:rsid w:val="00064922"/>
    <w:rsid w:val="00064A9D"/>
    <w:rsid w:val="00064B28"/>
    <w:rsid w:val="00064B32"/>
    <w:rsid w:val="00064FE1"/>
    <w:rsid w:val="00065350"/>
    <w:rsid w:val="00065440"/>
    <w:rsid w:val="00065917"/>
    <w:rsid w:val="00065D1E"/>
    <w:rsid w:val="00065D88"/>
    <w:rsid w:val="00065DAC"/>
    <w:rsid w:val="00065FB1"/>
    <w:rsid w:val="00066057"/>
    <w:rsid w:val="000660A2"/>
    <w:rsid w:val="00066CE7"/>
    <w:rsid w:val="00066E32"/>
    <w:rsid w:val="00066F02"/>
    <w:rsid w:val="000671F0"/>
    <w:rsid w:val="00067447"/>
    <w:rsid w:val="00067F95"/>
    <w:rsid w:val="0007025F"/>
    <w:rsid w:val="000705A6"/>
    <w:rsid w:val="00070768"/>
    <w:rsid w:val="000708E6"/>
    <w:rsid w:val="00070BAE"/>
    <w:rsid w:val="00070CFA"/>
    <w:rsid w:val="00070D44"/>
    <w:rsid w:val="00070E43"/>
    <w:rsid w:val="00070EBF"/>
    <w:rsid w:val="0007109C"/>
    <w:rsid w:val="0007121C"/>
    <w:rsid w:val="00071917"/>
    <w:rsid w:val="000719CD"/>
    <w:rsid w:val="00071ADC"/>
    <w:rsid w:val="00071DD7"/>
    <w:rsid w:val="000721A7"/>
    <w:rsid w:val="000722EB"/>
    <w:rsid w:val="000723A1"/>
    <w:rsid w:val="000723B5"/>
    <w:rsid w:val="00072594"/>
    <w:rsid w:val="00072714"/>
    <w:rsid w:val="00072C6B"/>
    <w:rsid w:val="00072D2B"/>
    <w:rsid w:val="00072E71"/>
    <w:rsid w:val="00072EAD"/>
    <w:rsid w:val="00072FE6"/>
    <w:rsid w:val="00073231"/>
    <w:rsid w:val="0007372C"/>
    <w:rsid w:val="00073754"/>
    <w:rsid w:val="00073EB5"/>
    <w:rsid w:val="000744A5"/>
    <w:rsid w:val="0007458C"/>
    <w:rsid w:val="00074A4E"/>
    <w:rsid w:val="00074B26"/>
    <w:rsid w:val="00074DAE"/>
    <w:rsid w:val="00074E3B"/>
    <w:rsid w:val="00074F4F"/>
    <w:rsid w:val="0007507B"/>
    <w:rsid w:val="000755A7"/>
    <w:rsid w:val="00075AF2"/>
    <w:rsid w:val="00075BA2"/>
    <w:rsid w:val="000767AB"/>
    <w:rsid w:val="000768B8"/>
    <w:rsid w:val="00076A73"/>
    <w:rsid w:val="00076A7C"/>
    <w:rsid w:val="00076BAB"/>
    <w:rsid w:val="00076DBC"/>
    <w:rsid w:val="00076F0F"/>
    <w:rsid w:val="000772A9"/>
    <w:rsid w:val="0007741C"/>
    <w:rsid w:val="00077445"/>
    <w:rsid w:val="00077757"/>
    <w:rsid w:val="00077825"/>
    <w:rsid w:val="00077B67"/>
    <w:rsid w:val="00077BB4"/>
    <w:rsid w:val="00077C26"/>
    <w:rsid w:val="00077C72"/>
    <w:rsid w:val="000802F1"/>
    <w:rsid w:val="00080812"/>
    <w:rsid w:val="00080859"/>
    <w:rsid w:val="00080944"/>
    <w:rsid w:val="000809BC"/>
    <w:rsid w:val="00080B07"/>
    <w:rsid w:val="00080D08"/>
    <w:rsid w:val="00080F9C"/>
    <w:rsid w:val="000811DD"/>
    <w:rsid w:val="00081281"/>
    <w:rsid w:val="000813FA"/>
    <w:rsid w:val="0008169F"/>
    <w:rsid w:val="000817A4"/>
    <w:rsid w:val="00081B34"/>
    <w:rsid w:val="00081D21"/>
    <w:rsid w:val="00081EDC"/>
    <w:rsid w:val="00081EEC"/>
    <w:rsid w:val="00081FB1"/>
    <w:rsid w:val="0008204C"/>
    <w:rsid w:val="000822A0"/>
    <w:rsid w:val="00082329"/>
    <w:rsid w:val="00082934"/>
    <w:rsid w:val="000829B2"/>
    <w:rsid w:val="00082D54"/>
    <w:rsid w:val="00082FE2"/>
    <w:rsid w:val="000833FD"/>
    <w:rsid w:val="000834BB"/>
    <w:rsid w:val="000835CF"/>
    <w:rsid w:val="000836C8"/>
    <w:rsid w:val="00083A84"/>
    <w:rsid w:val="00083B9C"/>
    <w:rsid w:val="00083CD7"/>
    <w:rsid w:val="00083D5C"/>
    <w:rsid w:val="00083FD1"/>
    <w:rsid w:val="00083FD9"/>
    <w:rsid w:val="00084345"/>
    <w:rsid w:val="000846CA"/>
    <w:rsid w:val="00084988"/>
    <w:rsid w:val="00084ACD"/>
    <w:rsid w:val="00084D67"/>
    <w:rsid w:val="000858B0"/>
    <w:rsid w:val="00085936"/>
    <w:rsid w:val="00085F77"/>
    <w:rsid w:val="000860EF"/>
    <w:rsid w:val="00086291"/>
    <w:rsid w:val="00086579"/>
    <w:rsid w:val="00086990"/>
    <w:rsid w:val="00087149"/>
    <w:rsid w:val="000871B7"/>
    <w:rsid w:val="000871DB"/>
    <w:rsid w:val="00087388"/>
    <w:rsid w:val="000876CE"/>
    <w:rsid w:val="0008770E"/>
    <w:rsid w:val="0008783D"/>
    <w:rsid w:val="00087BDB"/>
    <w:rsid w:val="00087F4A"/>
    <w:rsid w:val="00090254"/>
    <w:rsid w:val="000902E8"/>
    <w:rsid w:val="00090418"/>
    <w:rsid w:val="0009057A"/>
    <w:rsid w:val="000906E9"/>
    <w:rsid w:val="00090796"/>
    <w:rsid w:val="00090A51"/>
    <w:rsid w:val="00090B66"/>
    <w:rsid w:val="00090F10"/>
    <w:rsid w:val="000910C2"/>
    <w:rsid w:val="000915E6"/>
    <w:rsid w:val="0009161D"/>
    <w:rsid w:val="000916E1"/>
    <w:rsid w:val="00091784"/>
    <w:rsid w:val="00091D45"/>
    <w:rsid w:val="00091EFB"/>
    <w:rsid w:val="0009203A"/>
    <w:rsid w:val="0009203E"/>
    <w:rsid w:val="0009213C"/>
    <w:rsid w:val="00092398"/>
    <w:rsid w:val="00092721"/>
    <w:rsid w:val="000929FF"/>
    <w:rsid w:val="00092E96"/>
    <w:rsid w:val="000930CE"/>
    <w:rsid w:val="00093589"/>
    <w:rsid w:val="0009368D"/>
    <w:rsid w:val="00093AA8"/>
    <w:rsid w:val="00093B39"/>
    <w:rsid w:val="000940C0"/>
    <w:rsid w:val="00094286"/>
    <w:rsid w:val="00094392"/>
    <w:rsid w:val="000944AD"/>
    <w:rsid w:val="000944EC"/>
    <w:rsid w:val="0009454F"/>
    <w:rsid w:val="000947B9"/>
    <w:rsid w:val="0009486A"/>
    <w:rsid w:val="00094AD5"/>
    <w:rsid w:val="00094C03"/>
    <w:rsid w:val="00095057"/>
    <w:rsid w:val="000951DC"/>
    <w:rsid w:val="00095303"/>
    <w:rsid w:val="00095470"/>
    <w:rsid w:val="00095999"/>
    <w:rsid w:val="00096083"/>
    <w:rsid w:val="00096176"/>
    <w:rsid w:val="00096566"/>
    <w:rsid w:val="00096615"/>
    <w:rsid w:val="00096BEA"/>
    <w:rsid w:val="00096D62"/>
    <w:rsid w:val="00096DCD"/>
    <w:rsid w:val="00097122"/>
    <w:rsid w:val="00097315"/>
    <w:rsid w:val="0009737C"/>
    <w:rsid w:val="0009737D"/>
    <w:rsid w:val="0009742C"/>
    <w:rsid w:val="000977B4"/>
    <w:rsid w:val="00097916"/>
    <w:rsid w:val="0009797C"/>
    <w:rsid w:val="00097C77"/>
    <w:rsid w:val="00097E63"/>
    <w:rsid w:val="00097E75"/>
    <w:rsid w:val="000A0026"/>
    <w:rsid w:val="000A0625"/>
    <w:rsid w:val="000A0779"/>
    <w:rsid w:val="000A094E"/>
    <w:rsid w:val="000A09E7"/>
    <w:rsid w:val="000A0EC5"/>
    <w:rsid w:val="000A0FF0"/>
    <w:rsid w:val="000A119E"/>
    <w:rsid w:val="000A135F"/>
    <w:rsid w:val="000A15A6"/>
    <w:rsid w:val="000A17DC"/>
    <w:rsid w:val="000A1C48"/>
    <w:rsid w:val="000A1CD0"/>
    <w:rsid w:val="000A1FF8"/>
    <w:rsid w:val="000A23B2"/>
    <w:rsid w:val="000A24D9"/>
    <w:rsid w:val="000A252A"/>
    <w:rsid w:val="000A2584"/>
    <w:rsid w:val="000A25CF"/>
    <w:rsid w:val="000A26E0"/>
    <w:rsid w:val="000A28D7"/>
    <w:rsid w:val="000A2B13"/>
    <w:rsid w:val="000A2C57"/>
    <w:rsid w:val="000A2CFF"/>
    <w:rsid w:val="000A2D42"/>
    <w:rsid w:val="000A2E5D"/>
    <w:rsid w:val="000A3058"/>
    <w:rsid w:val="000A305F"/>
    <w:rsid w:val="000A33BC"/>
    <w:rsid w:val="000A3411"/>
    <w:rsid w:val="000A35CB"/>
    <w:rsid w:val="000A3609"/>
    <w:rsid w:val="000A36A1"/>
    <w:rsid w:val="000A381F"/>
    <w:rsid w:val="000A3EC1"/>
    <w:rsid w:val="000A414C"/>
    <w:rsid w:val="000A43D0"/>
    <w:rsid w:val="000A4B62"/>
    <w:rsid w:val="000A4D20"/>
    <w:rsid w:val="000A4DAC"/>
    <w:rsid w:val="000A50D0"/>
    <w:rsid w:val="000A5345"/>
    <w:rsid w:val="000A534F"/>
    <w:rsid w:val="000A5A13"/>
    <w:rsid w:val="000A5F43"/>
    <w:rsid w:val="000A60C7"/>
    <w:rsid w:val="000A60D4"/>
    <w:rsid w:val="000A64BA"/>
    <w:rsid w:val="000A64CD"/>
    <w:rsid w:val="000A68EE"/>
    <w:rsid w:val="000A69DE"/>
    <w:rsid w:val="000A6B5B"/>
    <w:rsid w:val="000A70AB"/>
    <w:rsid w:val="000A718C"/>
    <w:rsid w:val="000A724C"/>
    <w:rsid w:val="000A7292"/>
    <w:rsid w:val="000A7323"/>
    <w:rsid w:val="000A73CD"/>
    <w:rsid w:val="000A74C4"/>
    <w:rsid w:val="000A7677"/>
    <w:rsid w:val="000A7A5C"/>
    <w:rsid w:val="000A7AC4"/>
    <w:rsid w:val="000A7B83"/>
    <w:rsid w:val="000B046F"/>
    <w:rsid w:val="000B073E"/>
    <w:rsid w:val="000B07B4"/>
    <w:rsid w:val="000B0A1D"/>
    <w:rsid w:val="000B0EAB"/>
    <w:rsid w:val="000B116D"/>
    <w:rsid w:val="000B1538"/>
    <w:rsid w:val="000B1969"/>
    <w:rsid w:val="000B1C04"/>
    <w:rsid w:val="000B20F0"/>
    <w:rsid w:val="000B28A9"/>
    <w:rsid w:val="000B2B1D"/>
    <w:rsid w:val="000B2F20"/>
    <w:rsid w:val="000B320A"/>
    <w:rsid w:val="000B33AB"/>
    <w:rsid w:val="000B35E5"/>
    <w:rsid w:val="000B3A95"/>
    <w:rsid w:val="000B3AA3"/>
    <w:rsid w:val="000B3C08"/>
    <w:rsid w:val="000B3F93"/>
    <w:rsid w:val="000B4024"/>
    <w:rsid w:val="000B4698"/>
    <w:rsid w:val="000B49CA"/>
    <w:rsid w:val="000B4E41"/>
    <w:rsid w:val="000B5247"/>
    <w:rsid w:val="000B5420"/>
    <w:rsid w:val="000B5A91"/>
    <w:rsid w:val="000B5BF7"/>
    <w:rsid w:val="000B5F18"/>
    <w:rsid w:val="000B6158"/>
    <w:rsid w:val="000B655E"/>
    <w:rsid w:val="000B6588"/>
    <w:rsid w:val="000B668F"/>
    <w:rsid w:val="000B6AC0"/>
    <w:rsid w:val="000B6C91"/>
    <w:rsid w:val="000B7195"/>
    <w:rsid w:val="000B73A0"/>
    <w:rsid w:val="000B7653"/>
    <w:rsid w:val="000B7667"/>
    <w:rsid w:val="000B7C1F"/>
    <w:rsid w:val="000B7C7C"/>
    <w:rsid w:val="000C0025"/>
    <w:rsid w:val="000C00D2"/>
    <w:rsid w:val="000C01E4"/>
    <w:rsid w:val="000C029D"/>
    <w:rsid w:val="000C05C0"/>
    <w:rsid w:val="000C0658"/>
    <w:rsid w:val="000C0C44"/>
    <w:rsid w:val="000C11D6"/>
    <w:rsid w:val="000C1606"/>
    <w:rsid w:val="000C16EC"/>
    <w:rsid w:val="000C17A9"/>
    <w:rsid w:val="000C1A08"/>
    <w:rsid w:val="000C1EA2"/>
    <w:rsid w:val="000C222E"/>
    <w:rsid w:val="000C24B2"/>
    <w:rsid w:val="000C24C1"/>
    <w:rsid w:val="000C25FC"/>
    <w:rsid w:val="000C26B5"/>
    <w:rsid w:val="000C27AE"/>
    <w:rsid w:val="000C297C"/>
    <w:rsid w:val="000C2B30"/>
    <w:rsid w:val="000C2BFB"/>
    <w:rsid w:val="000C2C3D"/>
    <w:rsid w:val="000C2F63"/>
    <w:rsid w:val="000C2FD5"/>
    <w:rsid w:val="000C31B0"/>
    <w:rsid w:val="000C3482"/>
    <w:rsid w:val="000C349A"/>
    <w:rsid w:val="000C34BA"/>
    <w:rsid w:val="000C3642"/>
    <w:rsid w:val="000C36A8"/>
    <w:rsid w:val="000C388E"/>
    <w:rsid w:val="000C38F2"/>
    <w:rsid w:val="000C3C32"/>
    <w:rsid w:val="000C3DC5"/>
    <w:rsid w:val="000C3E4B"/>
    <w:rsid w:val="000C41AC"/>
    <w:rsid w:val="000C452E"/>
    <w:rsid w:val="000C4537"/>
    <w:rsid w:val="000C4A59"/>
    <w:rsid w:val="000C4DB1"/>
    <w:rsid w:val="000C4EB3"/>
    <w:rsid w:val="000C5079"/>
    <w:rsid w:val="000C54DE"/>
    <w:rsid w:val="000C5783"/>
    <w:rsid w:val="000C597B"/>
    <w:rsid w:val="000C5A21"/>
    <w:rsid w:val="000C5A68"/>
    <w:rsid w:val="000C5EDD"/>
    <w:rsid w:val="000C6009"/>
    <w:rsid w:val="000C6636"/>
    <w:rsid w:val="000C68EF"/>
    <w:rsid w:val="000C698C"/>
    <w:rsid w:val="000C6A2D"/>
    <w:rsid w:val="000C705E"/>
    <w:rsid w:val="000C71C9"/>
    <w:rsid w:val="000C71DC"/>
    <w:rsid w:val="000C7218"/>
    <w:rsid w:val="000C739D"/>
    <w:rsid w:val="000C73B7"/>
    <w:rsid w:val="000C76F6"/>
    <w:rsid w:val="000C7998"/>
    <w:rsid w:val="000C7CCC"/>
    <w:rsid w:val="000C7CF9"/>
    <w:rsid w:val="000C7ED9"/>
    <w:rsid w:val="000C7F8A"/>
    <w:rsid w:val="000C7FFD"/>
    <w:rsid w:val="000D0214"/>
    <w:rsid w:val="000D026A"/>
    <w:rsid w:val="000D0607"/>
    <w:rsid w:val="000D078D"/>
    <w:rsid w:val="000D08B2"/>
    <w:rsid w:val="000D0960"/>
    <w:rsid w:val="000D0E32"/>
    <w:rsid w:val="000D109D"/>
    <w:rsid w:val="000D11B8"/>
    <w:rsid w:val="000D14B3"/>
    <w:rsid w:val="000D1887"/>
    <w:rsid w:val="000D1C35"/>
    <w:rsid w:val="000D1E13"/>
    <w:rsid w:val="000D1E53"/>
    <w:rsid w:val="000D1EDB"/>
    <w:rsid w:val="000D223A"/>
    <w:rsid w:val="000D25C5"/>
    <w:rsid w:val="000D2822"/>
    <w:rsid w:val="000D28B1"/>
    <w:rsid w:val="000D28DD"/>
    <w:rsid w:val="000D2D8B"/>
    <w:rsid w:val="000D2E6A"/>
    <w:rsid w:val="000D31F4"/>
    <w:rsid w:val="000D32F1"/>
    <w:rsid w:val="000D356C"/>
    <w:rsid w:val="000D35A7"/>
    <w:rsid w:val="000D364B"/>
    <w:rsid w:val="000D3A3C"/>
    <w:rsid w:val="000D3F28"/>
    <w:rsid w:val="000D4148"/>
    <w:rsid w:val="000D4180"/>
    <w:rsid w:val="000D434C"/>
    <w:rsid w:val="000D4354"/>
    <w:rsid w:val="000D4436"/>
    <w:rsid w:val="000D45CC"/>
    <w:rsid w:val="000D468C"/>
    <w:rsid w:val="000D46CE"/>
    <w:rsid w:val="000D47FE"/>
    <w:rsid w:val="000D4C63"/>
    <w:rsid w:val="000D5090"/>
    <w:rsid w:val="000D52C9"/>
    <w:rsid w:val="000D560E"/>
    <w:rsid w:val="000D5C00"/>
    <w:rsid w:val="000D604D"/>
    <w:rsid w:val="000D63A8"/>
    <w:rsid w:val="000D63FE"/>
    <w:rsid w:val="000D65B3"/>
    <w:rsid w:val="000D6657"/>
    <w:rsid w:val="000D6827"/>
    <w:rsid w:val="000D6935"/>
    <w:rsid w:val="000D6B67"/>
    <w:rsid w:val="000D6C92"/>
    <w:rsid w:val="000D7335"/>
    <w:rsid w:val="000D738F"/>
    <w:rsid w:val="000D73B2"/>
    <w:rsid w:val="000D73FA"/>
    <w:rsid w:val="000D7533"/>
    <w:rsid w:val="000D7560"/>
    <w:rsid w:val="000D783B"/>
    <w:rsid w:val="000D78C5"/>
    <w:rsid w:val="000D798F"/>
    <w:rsid w:val="000D79CA"/>
    <w:rsid w:val="000D7A3D"/>
    <w:rsid w:val="000D7D99"/>
    <w:rsid w:val="000E006A"/>
    <w:rsid w:val="000E0414"/>
    <w:rsid w:val="000E07CE"/>
    <w:rsid w:val="000E085F"/>
    <w:rsid w:val="000E0A04"/>
    <w:rsid w:val="000E0BCA"/>
    <w:rsid w:val="000E0BCF"/>
    <w:rsid w:val="000E0EB1"/>
    <w:rsid w:val="000E1011"/>
    <w:rsid w:val="000E1087"/>
    <w:rsid w:val="000E10B9"/>
    <w:rsid w:val="000E13B4"/>
    <w:rsid w:val="000E13F1"/>
    <w:rsid w:val="000E16B5"/>
    <w:rsid w:val="000E17B0"/>
    <w:rsid w:val="000E1997"/>
    <w:rsid w:val="000E1C05"/>
    <w:rsid w:val="000E1E2A"/>
    <w:rsid w:val="000E21C2"/>
    <w:rsid w:val="000E22EF"/>
    <w:rsid w:val="000E231D"/>
    <w:rsid w:val="000E25F9"/>
    <w:rsid w:val="000E2862"/>
    <w:rsid w:val="000E2944"/>
    <w:rsid w:val="000E29F6"/>
    <w:rsid w:val="000E2DCC"/>
    <w:rsid w:val="000E2F47"/>
    <w:rsid w:val="000E32AA"/>
    <w:rsid w:val="000E32FD"/>
    <w:rsid w:val="000E35D8"/>
    <w:rsid w:val="000E38B9"/>
    <w:rsid w:val="000E398E"/>
    <w:rsid w:val="000E3CEA"/>
    <w:rsid w:val="000E3E3D"/>
    <w:rsid w:val="000E4268"/>
    <w:rsid w:val="000E429E"/>
    <w:rsid w:val="000E43F5"/>
    <w:rsid w:val="000E4458"/>
    <w:rsid w:val="000E46F8"/>
    <w:rsid w:val="000E4791"/>
    <w:rsid w:val="000E4CBD"/>
    <w:rsid w:val="000E501D"/>
    <w:rsid w:val="000E50C3"/>
    <w:rsid w:val="000E510B"/>
    <w:rsid w:val="000E5191"/>
    <w:rsid w:val="000E5230"/>
    <w:rsid w:val="000E52B9"/>
    <w:rsid w:val="000E53D6"/>
    <w:rsid w:val="000E5400"/>
    <w:rsid w:val="000E544C"/>
    <w:rsid w:val="000E56D1"/>
    <w:rsid w:val="000E5DD5"/>
    <w:rsid w:val="000E5E13"/>
    <w:rsid w:val="000E5E1B"/>
    <w:rsid w:val="000E5E60"/>
    <w:rsid w:val="000E5F6E"/>
    <w:rsid w:val="000E6153"/>
    <w:rsid w:val="000E6275"/>
    <w:rsid w:val="000E658C"/>
    <w:rsid w:val="000E66BD"/>
    <w:rsid w:val="000E6885"/>
    <w:rsid w:val="000E693E"/>
    <w:rsid w:val="000E6CAB"/>
    <w:rsid w:val="000E6CDF"/>
    <w:rsid w:val="000E6D13"/>
    <w:rsid w:val="000E6E31"/>
    <w:rsid w:val="000E70BA"/>
    <w:rsid w:val="000E7184"/>
    <w:rsid w:val="000E7218"/>
    <w:rsid w:val="000E7326"/>
    <w:rsid w:val="000E735F"/>
    <w:rsid w:val="000E792E"/>
    <w:rsid w:val="000E7B38"/>
    <w:rsid w:val="000E7E26"/>
    <w:rsid w:val="000F028C"/>
    <w:rsid w:val="000F0689"/>
    <w:rsid w:val="000F0A1E"/>
    <w:rsid w:val="000F0C77"/>
    <w:rsid w:val="000F0EFB"/>
    <w:rsid w:val="000F0F6B"/>
    <w:rsid w:val="000F0FE4"/>
    <w:rsid w:val="000F10FB"/>
    <w:rsid w:val="000F110F"/>
    <w:rsid w:val="000F12F6"/>
    <w:rsid w:val="000F1314"/>
    <w:rsid w:val="000F1447"/>
    <w:rsid w:val="000F1574"/>
    <w:rsid w:val="000F1990"/>
    <w:rsid w:val="000F1AE6"/>
    <w:rsid w:val="000F1DA5"/>
    <w:rsid w:val="000F1E43"/>
    <w:rsid w:val="000F2027"/>
    <w:rsid w:val="000F2659"/>
    <w:rsid w:val="000F26E7"/>
    <w:rsid w:val="000F29B7"/>
    <w:rsid w:val="000F2A67"/>
    <w:rsid w:val="000F2B65"/>
    <w:rsid w:val="000F2C43"/>
    <w:rsid w:val="000F2D3E"/>
    <w:rsid w:val="000F2DED"/>
    <w:rsid w:val="000F2E69"/>
    <w:rsid w:val="000F3263"/>
    <w:rsid w:val="000F32F7"/>
    <w:rsid w:val="000F3B56"/>
    <w:rsid w:val="000F3E77"/>
    <w:rsid w:val="000F3F47"/>
    <w:rsid w:val="000F3F84"/>
    <w:rsid w:val="000F495A"/>
    <w:rsid w:val="000F4961"/>
    <w:rsid w:val="000F4F7F"/>
    <w:rsid w:val="000F4FB8"/>
    <w:rsid w:val="000F5541"/>
    <w:rsid w:val="000F5A86"/>
    <w:rsid w:val="000F5DD6"/>
    <w:rsid w:val="000F5FBB"/>
    <w:rsid w:val="000F6051"/>
    <w:rsid w:val="000F6647"/>
    <w:rsid w:val="000F6704"/>
    <w:rsid w:val="000F6867"/>
    <w:rsid w:val="000F692C"/>
    <w:rsid w:val="000F69DC"/>
    <w:rsid w:val="000F7250"/>
    <w:rsid w:val="000F726B"/>
    <w:rsid w:val="000F747E"/>
    <w:rsid w:val="000F7679"/>
    <w:rsid w:val="000F7E8C"/>
    <w:rsid w:val="000F7F0A"/>
    <w:rsid w:val="000F7FBC"/>
    <w:rsid w:val="0010009E"/>
    <w:rsid w:val="001001F0"/>
    <w:rsid w:val="0010030A"/>
    <w:rsid w:val="0010044D"/>
    <w:rsid w:val="00100545"/>
    <w:rsid w:val="00100E03"/>
    <w:rsid w:val="00101139"/>
    <w:rsid w:val="001011D1"/>
    <w:rsid w:val="00101376"/>
    <w:rsid w:val="001013EE"/>
    <w:rsid w:val="00101452"/>
    <w:rsid w:val="001014C2"/>
    <w:rsid w:val="00101529"/>
    <w:rsid w:val="0010159D"/>
    <w:rsid w:val="0010171A"/>
    <w:rsid w:val="00101C3D"/>
    <w:rsid w:val="00101D6C"/>
    <w:rsid w:val="00101E5F"/>
    <w:rsid w:val="00101EBA"/>
    <w:rsid w:val="00101EEE"/>
    <w:rsid w:val="00102196"/>
    <w:rsid w:val="001021C3"/>
    <w:rsid w:val="00102238"/>
    <w:rsid w:val="00102409"/>
    <w:rsid w:val="00102890"/>
    <w:rsid w:val="00102A57"/>
    <w:rsid w:val="00102F43"/>
    <w:rsid w:val="0010338A"/>
    <w:rsid w:val="00103468"/>
    <w:rsid w:val="001035C2"/>
    <w:rsid w:val="00103603"/>
    <w:rsid w:val="001036E0"/>
    <w:rsid w:val="00103966"/>
    <w:rsid w:val="00103AEE"/>
    <w:rsid w:val="00103B40"/>
    <w:rsid w:val="00103BE5"/>
    <w:rsid w:val="00103CC4"/>
    <w:rsid w:val="00103E45"/>
    <w:rsid w:val="00104000"/>
    <w:rsid w:val="0010400C"/>
    <w:rsid w:val="00104013"/>
    <w:rsid w:val="0010408B"/>
    <w:rsid w:val="00104274"/>
    <w:rsid w:val="001044A4"/>
    <w:rsid w:val="00104CB0"/>
    <w:rsid w:val="00104DC4"/>
    <w:rsid w:val="00104E68"/>
    <w:rsid w:val="00105094"/>
    <w:rsid w:val="00105296"/>
    <w:rsid w:val="0010565F"/>
    <w:rsid w:val="001057E8"/>
    <w:rsid w:val="0010584E"/>
    <w:rsid w:val="00105989"/>
    <w:rsid w:val="001059EC"/>
    <w:rsid w:val="00105C4F"/>
    <w:rsid w:val="00105C71"/>
    <w:rsid w:val="00105CAC"/>
    <w:rsid w:val="00105EF1"/>
    <w:rsid w:val="00106049"/>
    <w:rsid w:val="001062E5"/>
    <w:rsid w:val="00106322"/>
    <w:rsid w:val="00106404"/>
    <w:rsid w:val="00106D53"/>
    <w:rsid w:val="00107102"/>
    <w:rsid w:val="001075F4"/>
    <w:rsid w:val="0010768D"/>
    <w:rsid w:val="00107827"/>
    <w:rsid w:val="00107B0C"/>
    <w:rsid w:val="00107DA1"/>
    <w:rsid w:val="00110104"/>
    <w:rsid w:val="001101A6"/>
    <w:rsid w:val="0011030F"/>
    <w:rsid w:val="00110853"/>
    <w:rsid w:val="00110DD7"/>
    <w:rsid w:val="00110E6E"/>
    <w:rsid w:val="00110F01"/>
    <w:rsid w:val="0011107A"/>
    <w:rsid w:val="001113D4"/>
    <w:rsid w:val="001116A2"/>
    <w:rsid w:val="00111775"/>
    <w:rsid w:val="00111857"/>
    <w:rsid w:val="001118DC"/>
    <w:rsid w:val="001119F9"/>
    <w:rsid w:val="00111BA4"/>
    <w:rsid w:val="00111BA6"/>
    <w:rsid w:val="00111EEC"/>
    <w:rsid w:val="00111EEE"/>
    <w:rsid w:val="00111F2B"/>
    <w:rsid w:val="0011202A"/>
    <w:rsid w:val="001124BC"/>
    <w:rsid w:val="00112571"/>
    <w:rsid w:val="001128A0"/>
    <w:rsid w:val="00112951"/>
    <w:rsid w:val="00112981"/>
    <w:rsid w:val="0011298F"/>
    <w:rsid w:val="00112CF0"/>
    <w:rsid w:val="00112D45"/>
    <w:rsid w:val="00112D92"/>
    <w:rsid w:val="00112E47"/>
    <w:rsid w:val="00112EED"/>
    <w:rsid w:val="00113258"/>
    <w:rsid w:val="001135EE"/>
    <w:rsid w:val="00113774"/>
    <w:rsid w:val="00113817"/>
    <w:rsid w:val="00113A9A"/>
    <w:rsid w:val="00113DFE"/>
    <w:rsid w:val="001140AB"/>
    <w:rsid w:val="001141F5"/>
    <w:rsid w:val="00114229"/>
    <w:rsid w:val="00114282"/>
    <w:rsid w:val="00114313"/>
    <w:rsid w:val="001144BF"/>
    <w:rsid w:val="0011484D"/>
    <w:rsid w:val="001148D0"/>
    <w:rsid w:val="00114923"/>
    <w:rsid w:val="00114988"/>
    <w:rsid w:val="00114C4B"/>
    <w:rsid w:val="00114F21"/>
    <w:rsid w:val="0011502C"/>
    <w:rsid w:val="00115117"/>
    <w:rsid w:val="00115139"/>
    <w:rsid w:val="001154E4"/>
    <w:rsid w:val="001156AC"/>
    <w:rsid w:val="001156D9"/>
    <w:rsid w:val="001159BB"/>
    <w:rsid w:val="001159F3"/>
    <w:rsid w:val="00116174"/>
    <w:rsid w:val="001162A8"/>
    <w:rsid w:val="0011641A"/>
    <w:rsid w:val="001169E0"/>
    <w:rsid w:val="00117AEE"/>
    <w:rsid w:val="00117BF6"/>
    <w:rsid w:val="00117F39"/>
    <w:rsid w:val="001201DE"/>
    <w:rsid w:val="001201F1"/>
    <w:rsid w:val="00120697"/>
    <w:rsid w:val="00120A56"/>
    <w:rsid w:val="00120ECB"/>
    <w:rsid w:val="00120FB6"/>
    <w:rsid w:val="0012122D"/>
    <w:rsid w:val="001212F6"/>
    <w:rsid w:val="00121407"/>
    <w:rsid w:val="0012166A"/>
    <w:rsid w:val="00121991"/>
    <w:rsid w:val="00121ABD"/>
    <w:rsid w:val="00121C55"/>
    <w:rsid w:val="00121CF0"/>
    <w:rsid w:val="00121E84"/>
    <w:rsid w:val="00122283"/>
    <w:rsid w:val="0012243A"/>
    <w:rsid w:val="001224C7"/>
    <w:rsid w:val="001225B4"/>
    <w:rsid w:val="001225CA"/>
    <w:rsid w:val="0012282E"/>
    <w:rsid w:val="00122BE2"/>
    <w:rsid w:val="00122DE6"/>
    <w:rsid w:val="00122FAC"/>
    <w:rsid w:val="00123683"/>
    <w:rsid w:val="0012371B"/>
    <w:rsid w:val="0012371C"/>
    <w:rsid w:val="001237AF"/>
    <w:rsid w:val="00123A67"/>
    <w:rsid w:val="00123B75"/>
    <w:rsid w:val="00123D96"/>
    <w:rsid w:val="00123DFF"/>
    <w:rsid w:val="00123FE9"/>
    <w:rsid w:val="00124373"/>
    <w:rsid w:val="00124445"/>
    <w:rsid w:val="00124A01"/>
    <w:rsid w:val="00124A0C"/>
    <w:rsid w:val="00124B7C"/>
    <w:rsid w:val="00124BF3"/>
    <w:rsid w:val="001251BE"/>
    <w:rsid w:val="001251D5"/>
    <w:rsid w:val="00125242"/>
    <w:rsid w:val="001257E1"/>
    <w:rsid w:val="00125828"/>
    <w:rsid w:val="00125AAF"/>
    <w:rsid w:val="00125F0C"/>
    <w:rsid w:val="00125FD7"/>
    <w:rsid w:val="001260A5"/>
    <w:rsid w:val="00126230"/>
    <w:rsid w:val="00126344"/>
    <w:rsid w:val="00126387"/>
    <w:rsid w:val="00126468"/>
    <w:rsid w:val="00126508"/>
    <w:rsid w:val="001266B3"/>
    <w:rsid w:val="001268FB"/>
    <w:rsid w:val="00126B32"/>
    <w:rsid w:val="00126F9B"/>
    <w:rsid w:val="00127043"/>
    <w:rsid w:val="001273A0"/>
    <w:rsid w:val="001274F4"/>
    <w:rsid w:val="0012750F"/>
    <w:rsid w:val="00127518"/>
    <w:rsid w:val="001275C4"/>
    <w:rsid w:val="00127685"/>
    <w:rsid w:val="001278E0"/>
    <w:rsid w:val="00127FCD"/>
    <w:rsid w:val="00130178"/>
    <w:rsid w:val="0013019C"/>
    <w:rsid w:val="001301B5"/>
    <w:rsid w:val="00130702"/>
    <w:rsid w:val="00130A4D"/>
    <w:rsid w:val="00130ACC"/>
    <w:rsid w:val="00130D66"/>
    <w:rsid w:val="00130DDF"/>
    <w:rsid w:val="00131668"/>
    <w:rsid w:val="001318AC"/>
    <w:rsid w:val="00131982"/>
    <w:rsid w:val="00131D8F"/>
    <w:rsid w:val="00131DF4"/>
    <w:rsid w:val="0013200C"/>
    <w:rsid w:val="00132388"/>
    <w:rsid w:val="00132AB2"/>
    <w:rsid w:val="00132E81"/>
    <w:rsid w:val="00132EA8"/>
    <w:rsid w:val="00132F23"/>
    <w:rsid w:val="00132FE0"/>
    <w:rsid w:val="001330DE"/>
    <w:rsid w:val="00133602"/>
    <w:rsid w:val="001336FC"/>
    <w:rsid w:val="00133A2C"/>
    <w:rsid w:val="00133EDF"/>
    <w:rsid w:val="00134732"/>
    <w:rsid w:val="00134AB9"/>
    <w:rsid w:val="00134BC9"/>
    <w:rsid w:val="00134C33"/>
    <w:rsid w:val="0013505C"/>
    <w:rsid w:val="0013509D"/>
    <w:rsid w:val="00135232"/>
    <w:rsid w:val="001355B8"/>
    <w:rsid w:val="001356F4"/>
    <w:rsid w:val="00135993"/>
    <w:rsid w:val="00135C53"/>
    <w:rsid w:val="00135D21"/>
    <w:rsid w:val="001365AF"/>
    <w:rsid w:val="00136603"/>
    <w:rsid w:val="0013662C"/>
    <w:rsid w:val="001366CF"/>
    <w:rsid w:val="00136846"/>
    <w:rsid w:val="00136B66"/>
    <w:rsid w:val="00136BDD"/>
    <w:rsid w:val="00136DC3"/>
    <w:rsid w:val="00136EA7"/>
    <w:rsid w:val="001370F4"/>
    <w:rsid w:val="00137D30"/>
    <w:rsid w:val="00140044"/>
    <w:rsid w:val="001401B9"/>
    <w:rsid w:val="00140393"/>
    <w:rsid w:val="0014046A"/>
    <w:rsid w:val="0014070D"/>
    <w:rsid w:val="001407B6"/>
    <w:rsid w:val="00140812"/>
    <w:rsid w:val="00140855"/>
    <w:rsid w:val="00140871"/>
    <w:rsid w:val="00140B0B"/>
    <w:rsid w:val="00140B1E"/>
    <w:rsid w:val="00140D3C"/>
    <w:rsid w:val="00140FAA"/>
    <w:rsid w:val="0014119C"/>
    <w:rsid w:val="001419F4"/>
    <w:rsid w:val="00141A92"/>
    <w:rsid w:val="00141CA9"/>
    <w:rsid w:val="00141D40"/>
    <w:rsid w:val="00142245"/>
    <w:rsid w:val="0014228E"/>
    <w:rsid w:val="00142A04"/>
    <w:rsid w:val="00142FAD"/>
    <w:rsid w:val="00143121"/>
    <w:rsid w:val="00143584"/>
    <w:rsid w:val="0014392A"/>
    <w:rsid w:val="0014396A"/>
    <w:rsid w:val="0014396B"/>
    <w:rsid w:val="00143D2E"/>
    <w:rsid w:val="001440AE"/>
    <w:rsid w:val="0014437D"/>
    <w:rsid w:val="001443E5"/>
    <w:rsid w:val="0014464A"/>
    <w:rsid w:val="001446CA"/>
    <w:rsid w:val="0014483A"/>
    <w:rsid w:val="00144856"/>
    <w:rsid w:val="00144BDB"/>
    <w:rsid w:val="00144F05"/>
    <w:rsid w:val="0014514F"/>
    <w:rsid w:val="0014521E"/>
    <w:rsid w:val="001454FD"/>
    <w:rsid w:val="00145789"/>
    <w:rsid w:val="00145B42"/>
    <w:rsid w:val="00145D20"/>
    <w:rsid w:val="00145E4A"/>
    <w:rsid w:val="00146127"/>
    <w:rsid w:val="001461F7"/>
    <w:rsid w:val="001462CB"/>
    <w:rsid w:val="00146BB4"/>
    <w:rsid w:val="00146E6D"/>
    <w:rsid w:val="00147DF7"/>
    <w:rsid w:val="00147E08"/>
    <w:rsid w:val="00147E69"/>
    <w:rsid w:val="00150165"/>
    <w:rsid w:val="001506AC"/>
    <w:rsid w:val="001507E6"/>
    <w:rsid w:val="00150A65"/>
    <w:rsid w:val="00150CA9"/>
    <w:rsid w:val="00150E86"/>
    <w:rsid w:val="00150EEA"/>
    <w:rsid w:val="00151243"/>
    <w:rsid w:val="001512DE"/>
    <w:rsid w:val="0015141E"/>
    <w:rsid w:val="001516FE"/>
    <w:rsid w:val="0015174D"/>
    <w:rsid w:val="0015211F"/>
    <w:rsid w:val="001522B2"/>
    <w:rsid w:val="0015235C"/>
    <w:rsid w:val="001523E7"/>
    <w:rsid w:val="0015276F"/>
    <w:rsid w:val="00152A6E"/>
    <w:rsid w:val="00152E59"/>
    <w:rsid w:val="001530D8"/>
    <w:rsid w:val="00153201"/>
    <w:rsid w:val="0015334B"/>
    <w:rsid w:val="001536FF"/>
    <w:rsid w:val="00153E0E"/>
    <w:rsid w:val="00153F1E"/>
    <w:rsid w:val="00153FFE"/>
    <w:rsid w:val="00154220"/>
    <w:rsid w:val="001545E0"/>
    <w:rsid w:val="001546CD"/>
    <w:rsid w:val="001548AB"/>
    <w:rsid w:val="00154C11"/>
    <w:rsid w:val="00154DA2"/>
    <w:rsid w:val="001551E1"/>
    <w:rsid w:val="0015553E"/>
    <w:rsid w:val="00155612"/>
    <w:rsid w:val="00155EE1"/>
    <w:rsid w:val="00156287"/>
    <w:rsid w:val="001564EE"/>
    <w:rsid w:val="00156633"/>
    <w:rsid w:val="0015677A"/>
    <w:rsid w:val="001568FA"/>
    <w:rsid w:val="00156BF1"/>
    <w:rsid w:val="00156D2B"/>
    <w:rsid w:val="00156E9E"/>
    <w:rsid w:val="0015707C"/>
    <w:rsid w:val="0015756C"/>
    <w:rsid w:val="00157924"/>
    <w:rsid w:val="0016035C"/>
    <w:rsid w:val="0016089A"/>
    <w:rsid w:val="00160970"/>
    <w:rsid w:val="00160AC5"/>
    <w:rsid w:val="00160EA4"/>
    <w:rsid w:val="00161260"/>
    <w:rsid w:val="001612CC"/>
    <w:rsid w:val="001616E3"/>
    <w:rsid w:val="0016171D"/>
    <w:rsid w:val="00161A64"/>
    <w:rsid w:val="00161C47"/>
    <w:rsid w:val="00161C4D"/>
    <w:rsid w:val="00161CCF"/>
    <w:rsid w:val="00161CEE"/>
    <w:rsid w:val="00161EE3"/>
    <w:rsid w:val="00161F8A"/>
    <w:rsid w:val="00162165"/>
    <w:rsid w:val="00162631"/>
    <w:rsid w:val="00162715"/>
    <w:rsid w:val="00162E95"/>
    <w:rsid w:val="00163266"/>
    <w:rsid w:val="00163317"/>
    <w:rsid w:val="0016338E"/>
    <w:rsid w:val="00163503"/>
    <w:rsid w:val="0016358B"/>
    <w:rsid w:val="00163651"/>
    <w:rsid w:val="001636E0"/>
    <w:rsid w:val="00163730"/>
    <w:rsid w:val="00163AA0"/>
    <w:rsid w:val="0016410C"/>
    <w:rsid w:val="001641FF"/>
    <w:rsid w:val="001647E0"/>
    <w:rsid w:val="00164B91"/>
    <w:rsid w:val="00164C4F"/>
    <w:rsid w:val="00165118"/>
    <w:rsid w:val="00165174"/>
    <w:rsid w:val="00165351"/>
    <w:rsid w:val="00165CAD"/>
    <w:rsid w:val="00165F4A"/>
    <w:rsid w:val="001663F6"/>
    <w:rsid w:val="00166559"/>
    <w:rsid w:val="00166745"/>
    <w:rsid w:val="00166BF8"/>
    <w:rsid w:val="00166EA3"/>
    <w:rsid w:val="00167164"/>
    <w:rsid w:val="00167196"/>
    <w:rsid w:val="001671D2"/>
    <w:rsid w:val="00167450"/>
    <w:rsid w:val="0016758C"/>
    <w:rsid w:val="001675C9"/>
    <w:rsid w:val="0016778D"/>
    <w:rsid w:val="00167873"/>
    <w:rsid w:val="00167AAA"/>
    <w:rsid w:val="00167AE6"/>
    <w:rsid w:val="00167D07"/>
    <w:rsid w:val="00167D54"/>
    <w:rsid w:val="00167F70"/>
    <w:rsid w:val="0017020C"/>
    <w:rsid w:val="001702CA"/>
    <w:rsid w:val="001702CF"/>
    <w:rsid w:val="001706BF"/>
    <w:rsid w:val="001706E4"/>
    <w:rsid w:val="0017095C"/>
    <w:rsid w:val="0017097E"/>
    <w:rsid w:val="00170ABE"/>
    <w:rsid w:val="00170E19"/>
    <w:rsid w:val="00170E37"/>
    <w:rsid w:val="00170EA1"/>
    <w:rsid w:val="00170EC6"/>
    <w:rsid w:val="001712CB"/>
    <w:rsid w:val="00171539"/>
    <w:rsid w:val="00171768"/>
    <w:rsid w:val="001719C7"/>
    <w:rsid w:val="00171AA6"/>
    <w:rsid w:val="00171AFC"/>
    <w:rsid w:val="00171B44"/>
    <w:rsid w:val="00171D64"/>
    <w:rsid w:val="00172405"/>
    <w:rsid w:val="00172537"/>
    <w:rsid w:val="00172581"/>
    <w:rsid w:val="001727DB"/>
    <w:rsid w:val="001729A0"/>
    <w:rsid w:val="00172D6F"/>
    <w:rsid w:val="00172DFD"/>
    <w:rsid w:val="001730EE"/>
    <w:rsid w:val="0017321E"/>
    <w:rsid w:val="0017325A"/>
    <w:rsid w:val="00173297"/>
    <w:rsid w:val="001735BB"/>
    <w:rsid w:val="00173784"/>
    <w:rsid w:val="00173D1F"/>
    <w:rsid w:val="00173D9A"/>
    <w:rsid w:val="00174457"/>
    <w:rsid w:val="0017445D"/>
    <w:rsid w:val="001748CC"/>
    <w:rsid w:val="00174ECC"/>
    <w:rsid w:val="00175079"/>
    <w:rsid w:val="001753BA"/>
    <w:rsid w:val="00175537"/>
    <w:rsid w:val="00175875"/>
    <w:rsid w:val="001758A4"/>
    <w:rsid w:val="00175A7B"/>
    <w:rsid w:val="00175AE5"/>
    <w:rsid w:val="00175D0F"/>
    <w:rsid w:val="00175DB8"/>
    <w:rsid w:val="00175E57"/>
    <w:rsid w:val="00175FFC"/>
    <w:rsid w:val="00176013"/>
    <w:rsid w:val="0017658A"/>
    <w:rsid w:val="00176A2D"/>
    <w:rsid w:val="00176F38"/>
    <w:rsid w:val="00176F55"/>
    <w:rsid w:val="00176FEB"/>
    <w:rsid w:val="00177135"/>
    <w:rsid w:val="0017741F"/>
    <w:rsid w:val="00177572"/>
    <w:rsid w:val="001776C9"/>
    <w:rsid w:val="0017770D"/>
    <w:rsid w:val="0017785D"/>
    <w:rsid w:val="00177881"/>
    <w:rsid w:val="00177C06"/>
    <w:rsid w:val="00177D05"/>
    <w:rsid w:val="00177E59"/>
    <w:rsid w:val="00180201"/>
    <w:rsid w:val="001802D2"/>
    <w:rsid w:val="001804A3"/>
    <w:rsid w:val="0018053E"/>
    <w:rsid w:val="0018058D"/>
    <w:rsid w:val="001805AB"/>
    <w:rsid w:val="00180838"/>
    <w:rsid w:val="00180859"/>
    <w:rsid w:val="001810F4"/>
    <w:rsid w:val="001812C4"/>
    <w:rsid w:val="0018167E"/>
    <w:rsid w:val="0018172D"/>
    <w:rsid w:val="0018174A"/>
    <w:rsid w:val="0018190F"/>
    <w:rsid w:val="00181B22"/>
    <w:rsid w:val="00181B66"/>
    <w:rsid w:val="00181CB2"/>
    <w:rsid w:val="00181CFA"/>
    <w:rsid w:val="00181DA9"/>
    <w:rsid w:val="00181EBF"/>
    <w:rsid w:val="001825DA"/>
    <w:rsid w:val="001826E3"/>
    <w:rsid w:val="00182746"/>
    <w:rsid w:val="001827B0"/>
    <w:rsid w:val="00182C42"/>
    <w:rsid w:val="00182D34"/>
    <w:rsid w:val="00182F22"/>
    <w:rsid w:val="00182F61"/>
    <w:rsid w:val="00182F9A"/>
    <w:rsid w:val="0018306A"/>
    <w:rsid w:val="00183295"/>
    <w:rsid w:val="001832B0"/>
    <w:rsid w:val="001833AD"/>
    <w:rsid w:val="0018357C"/>
    <w:rsid w:val="00183656"/>
    <w:rsid w:val="00183812"/>
    <w:rsid w:val="00183945"/>
    <w:rsid w:val="00183CE7"/>
    <w:rsid w:val="00184089"/>
    <w:rsid w:val="001841D6"/>
    <w:rsid w:val="001844D1"/>
    <w:rsid w:val="00184814"/>
    <w:rsid w:val="00184993"/>
    <w:rsid w:val="00184BAC"/>
    <w:rsid w:val="00185989"/>
    <w:rsid w:val="00185B7F"/>
    <w:rsid w:val="00185DF5"/>
    <w:rsid w:val="001865D6"/>
    <w:rsid w:val="001866C3"/>
    <w:rsid w:val="00186BF0"/>
    <w:rsid w:val="00186E82"/>
    <w:rsid w:val="001870EE"/>
    <w:rsid w:val="00187268"/>
    <w:rsid w:val="001873D9"/>
    <w:rsid w:val="00187717"/>
    <w:rsid w:val="00187847"/>
    <w:rsid w:val="00187A8B"/>
    <w:rsid w:val="00187EFB"/>
    <w:rsid w:val="0019024B"/>
    <w:rsid w:val="00190371"/>
    <w:rsid w:val="001903DF"/>
    <w:rsid w:val="00190423"/>
    <w:rsid w:val="001904EF"/>
    <w:rsid w:val="001904F3"/>
    <w:rsid w:val="00190550"/>
    <w:rsid w:val="00190727"/>
    <w:rsid w:val="00190E90"/>
    <w:rsid w:val="001913C7"/>
    <w:rsid w:val="00191A58"/>
    <w:rsid w:val="00191EB3"/>
    <w:rsid w:val="00191F8A"/>
    <w:rsid w:val="00191FE8"/>
    <w:rsid w:val="001920CC"/>
    <w:rsid w:val="001920F7"/>
    <w:rsid w:val="001922D5"/>
    <w:rsid w:val="001922E2"/>
    <w:rsid w:val="00192600"/>
    <w:rsid w:val="001929C7"/>
    <w:rsid w:val="00192DBA"/>
    <w:rsid w:val="00193213"/>
    <w:rsid w:val="0019323A"/>
    <w:rsid w:val="0019342E"/>
    <w:rsid w:val="00193466"/>
    <w:rsid w:val="00193562"/>
    <w:rsid w:val="00193587"/>
    <w:rsid w:val="00193817"/>
    <w:rsid w:val="001938C2"/>
    <w:rsid w:val="00193A45"/>
    <w:rsid w:val="00193D46"/>
    <w:rsid w:val="00193F4D"/>
    <w:rsid w:val="0019439D"/>
    <w:rsid w:val="00194642"/>
    <w:rsid w:val="00194876"/>
    <w:rsid w:val="00194A35"/>
    <w:rsid w:val="00194BAD"/>
    <w:rsid w:val="00194D0A"/>
    <w:rsid w:val="00194EE4"/>
    <w:rsid w:val="0019500B"/>
    <w:rsid w:val="001952EE"/>
    <w:rsid w:val="0019566A"/>
    <w:rsid w:val="0019575E"/>
    <w:rsid w:val="001957C6"/>
    <w:rsid w:val="00195F78"/>
    <w:rsid w:val="00195F99"/>
    <w:rsid w:val="00196241"/>
    <w:rsid w:val="001962A8"/>
    <w:rsid w:val="0019638A"/>
    <w:rsid w:val="00196500"/>
    <w:rsid w:val="001968D1"/>
    <w:rsid w:val="00196A2D"/>
    <w:rsid w:val="00196F08"/>
    <w:rsid w:val="00196FE8"/>
    <w:rsid w:val="001972EC"/>
    <w:rsid w:val="001975E7"/>
    <w:rsid w:val="001976AB"/>
    <w:rsid w:val="0019771F"/>
    <w:rsid w:val="00197CA1"/>
    <w:rsid w:val="00197F0C"/>
    <w:rsid w:val="001A0043"/>
    <w:rsid w:val="001A0044"/>
    <w:rsid w:val="001A0055"/>
    <w:rsid w:val="001A04EC"/>
    <w:rsid w:val="001A0513"/>
    <w:rsid w:val="001A0616"/>
    <w:rsid w:val="001A0755"/>
    <w:rsid w:val="001A0852"/>
    <w:rsid w:val="001A09A1"/>
    <w:rsid w:val="001A0A5B"/>
    <w:rsid w:val="001A116F"/>
    <w:rsid w:val="001A13B3"/>
    <w:rsid w:val="001A1701"/>
    <w:rsid w:val="001A1AB3"/>
    <w:rsid w:val="001A1E06"/>
    <w:rsid w:val="001A215F"/>
    <w:rsid w:val="001A2B51"/>
    <w:rsid w:val="001A2B86"/>
    <w:rsid w:val="001A325A"/>
    <w:rsid w:val="001A3754"/>
    <w:rsid w:val="001A3935"/>
    <w:rsid w:val="001A3BD6"/>
    <w:rsid w:val="001A3C2D"/>
    <w:rsid w:val="001A3C30"/>
    <w:rsid w:val="001A3DD2"/>
    <w:rsid w:val="001A3EF0"/>
    <w:rsid w:val="001A40BE"/>
    <w:rsid w:val="001A40F3"/>
    <w:rsid w:val="001A417F"/>
    <w:rsid w:val="001A49E7"/>
    <w:rsid w:val="001A4CDC"/>
    <w:rsid w:val="001A4D72"/>
    <w:rsid w:val="001A4E1F"/>
    <w:rsid w:val="001A5203"/>
    <w:rsid w:val="001A52C4"/>
    <w:rsid w:val="001A541A"/>
    <w:rsid w:val="001A5552"/>
    <w:rsid w:val="001A58B0"/>
    <w:rsid w:val="001A5A2F"/>
    <w:rsid w:val="001A5B0D"/>
    <w:rsid w:val="001A5B9F"/>
    <w:rsid w:val="001A6010"/>
    <w:rsid w:val="001A68CD"/>
    <w:rsid w:val="001A6B07"/>
    <w:rsid w:val="001A6BD6"/>
    <w:rsid w:val="001A6F1C"/>
    <w:rsid w:val="001A7285"/>
    <w:rsid w:val="001A72F6"/>
    <w:rsid w:val="001A773F"/>
    <w:rsid w:val="001A78D0"/>
    <w:rsid w:val="001A78EB"/>
    <w:rsid w:val="001A79C7"/>
    <w:rsid w:val="001A79D8"/>
    <w:rsid w:val="001A7B32"/>
    <w:rsid w:val="001A7B78"/>
    <w:rsid w:val="001A7D32"/>
    <w:rsid w:val="001A7D7F"/>
    <w:rsid w:val="001B00BC"/>
    <w:rsid w:val="001B01AE"/>
    <w:rsid w:val="001B0307"/>
    <w:rsid w:val="001B0331"/>
    <w:rsid w:val="001B0487"/>
    <w:rsid w:val="001B061E"/>
    <w:rsid w:val="001B0804"/>
    <w:rsid w:val="001B0D58"/>
    <w:rsid w:val="001B1035"/>
    <w:rsid w:val="001B121E"/>
    <w:rsid w:val="001B133B"/>
    <w:rsid w:val="001B1410"/>
    <w:rsid w:val="001B1465"/>
    <w:rsid w:val="001B1489"/>
    <w:rsid w:val="001B1685"/>
    <w:rsid w:val="001B17BA"/>
    <w:rsid w:val="001B17CF"/>
    <w:rsid w:val="001B1A3F"/>
    <w:rsid w:val="001B2290"/>
    <w:rsid w:val="001B23D0"/>
    <w:rsid w:val="001B2813"/>
    <w:rsid w:val="001B2F1D"/>
    <w:rsid w:val="001B2F83"/>
    <w:rsid w:val="001B2FAB"/>
    <w:rsid w:val="001B3084"/>
    <w:rsid w:val="001B308D"/>
    <w:rsid w:val="001B31BD"/>
    <w:rsid w:val="001B32F7"/>
    <w:rsid w:val="001B33CC"/>
    <w:rsid w:val="001B34C8"/>
    <w:rsid w:val="001B353E"/>
    <w:rsid w:val="001B3B0B"/>
    <w:rsid w:val="001B3B8C"/>
    <w:rsid w:val="001B3C2C"/>
    <w:rsid w:val="001B3D22"/>
    <w:rsid w:val="001B3E11"/>
    <w:rsid w:val="001B3E52"/>
    <w:rsid w:val="001B3EC7"/>
    <w:rsid w:val="001B4003"/>
    <w:rsid w:val="001B4170"/>
    <w:rsid w:val="001B4462"/>
    <w:rsid w:val="001B4591"/>
    <w:rsid w:val="001B4E90"/>
    <w:rsid w:val="001B4F72"/>
    <w:rsid w:val="001B515B"/>
    <w:rsid w:val="001B549F"/>
    <w:rsid w:val="001B54FF"/>
    <w:rsid w:val="001B5689"/>
    <w:rsid w:val="001B5A8F"/>
    <w:rsid w:val="001B608C"/>
    <w:rsid w:val="001B621D"/>
    <w:rsid w:val="001B6550"/>
    <w:rsid w:val="001B682D"/>
    <w:rsid w:val="001B6C87"/>
    <w:rsid w:val="001B6D86"/>
    <w:rsid w:val="001B6DDA"/>
    <w:rsid w:val="001B6E68"/>
    <w:rsid w:val="001B70FA"/>
    <w:rsid w:val="001B7441"/>
    <w:rsid w:val="001B761C"/>
    <w:rsid w:val="001B7A58"/>
    <w:rsid w:val="001B7A7B"/>
    <w:rsid w:val="001B7D34"/>
    <w:rsid w:val="001C005D"/>
    <w:rsid w:val="001C02C0"/>
    <w:rsid w:val="001C0504"/>
    <w:rsid w:val="001C0724"/>
    <w:rsid w:val="001C1069"/>
    <w:rsid w:val="001C10FB"/>
    <w:rsid w:val="001C1457"/>
    <w:rsid w:val="001C1BC7"/>
    <w:rsid w:val="001C1F95"/>
    <w:rsid w:val="001C217B"/>
    <w:rsid w:val="001C217F"/>
    <w:rsid w:val="001C220D"/>
    <w:rsid w:val="001C2275"/>
    <w:rsid w:val="001C2357"/>
    <w:rsid w:val="001C2461"/>
    <w:rsid w:val="001C251C"/>
    <w:rsid w:val="001C258E"/>
    <w:rsid w:val="001C25A0"/>
    <w:rsid w:val="001C25A9"/>
    <w:rsid w:val="001C28D9"/>
    <w:rsid w:val="001C29F9"/>
    <w:rsid w:val="001C2BB4"/>
    <w:rsid w:val="001C2C0E"/>
    <w:rsid w:val="001C2D48"/>
    <w:rsid w:val="001C2FE2"/>
    <w:rsid w:val="001C3083"/>
    <w:rsid w:val="001C34BD"/>
    <w:rsid w:val="001C352C"/>
    <w:rsid w:val="001C3660"/>
    <w:rsid w:val="001C377F"/>
    <w:rsid w:val="001C398E"/>
    <w:rsid w:val="001C3C80"/>
    <w:rsid w:val="001C40AF"/>
    <w:rsid w:val="001C4119"/>
    <w:rsid w:val="001C4464"/>
    <w:rsid w:val="001C45FD"/>
    <w:rsid w:val="001C46B1"/>
    <w:rsid w:val="001C49A8"/>
    <w:rsid w:val="001C49D6"/>
    <w:rsid w:val="001C4BCF"/>
    <w:rsid w:val="001C4C0F"/>
    <w:rsid w:val="001C4C66"/>
    <w:rsid w:val="001C4E07"/>
    <w:rsid w:val="001C4ECC"/>
    <w:rsid w:val="001C50C4"/>
    <w:rsid w:val="001C50E5"/>
    <w:rsid w:val="001C524E"/>
    <w:rsid w:val="001C5340"/>
    <w:rsid w:val="001C53CC"/>
    <w:rsid w:val="001C5601"/>
    <w:rsid w:val="001C56CF"/>
    <w:rsid w:val="001C5C98"/>
    <w:rsid w:val="001C5D9B"/>
    <w:rsid w:val="001C5E81"/>
    <w:rsid w:val="001C5EA9"/>
    <w:rsid w:val="001C612B"/>
    <w:rsid w:val="001C6A0D"/>
    <w:rsid w:val="001C6E2D"/>
    <w:rsid w:val="001C6EDF"/>
    <w:rsid w:val="001C7105"/>
    <w:rsid w:val="001C73BB"/>
    <w:rsid w:val="001C78A1"/>
    <w:rsid w:val="001C79AB"/>
    <w:rsid w:val="001C7BF3"/>
    <w:rsid w:val="001C7FB3"/>
    <w:rsid w:val="001D0137"/>
    <w:rsid w:val="001D05DA"/>
    <w:rsid w:val="001D08C3"/>
    <w:rsid w:val="001D0A67"/>
    <w:rsid w:val="001D0B10"/>
    <w:rsid w:val="001D0C55"/>
    <w:rsid w:val="001D0DF3"/>
    <w:rsid w:val="001D101A"/>
    <w:rsid w:val="001D11D5"/>
    <w:rsid w:val="001D14A8"/>
    <w:rsid w:val="001D1661"/>
    <w:rsid w:val="001D1B5E"/>
    <w:rsid w:val="001D1C08"/>
    <w:rsid w:val="001D1E58"/>
    <w:rsid w:val="001D20FA"/>
    <w:rsid w:val="001D24CC"/>
    <w:rsid w:val="001D2A2C"/>
    <w:rsid w:val="001D2D90"/>
    <w:rsid w:val="001D2E2A"/>
    <w:rsid w:val="001D2E61"/>
    <w:rsid w:val="001D3208"/>
    <w:rsid w:val="001D3572"/>
    <w:rsid w:val="001D3831"/>
    <w:rsid w:val="001D3870"/>
    <w:rsid w:val="001D388A"/>
    <w:rsid w:val="001D3964"/>
    <w:rsid w:val="001D3A3F"/>
    <w:rsid w:val="001D3A80"/>
    <w:rsid w:val="001D3D00"/>
    <w:rsid w:val="001D4209"/>
    <w:rsid w:val="001D43F9"/>
    <w:rsid w:val="001D44C2"/>
    <w:rsid w:val="001D458A"/>
    <w:rsid w:val="001D4592"/>
    <w:rsid w:val="001D472C"/>
    <w:rsid w:val="001D48C3"/>
    <w:rsid w:val="001D4AA4"/>
    <w:rsid w:val="001D5138"/>
    <w:rsid w:val="001D5616"/>
    <w:rsid w:val="001D590C"/>
    <w:rsid w:val="001D5A20"/>
    <w:rsid w:val="001D5C7B"/>
    <w:rsid w:val="001D5CD2"/>
    <w:rsid w:val="001D61CA"/>
    <w:rsid w:val="001D62C3"/>
    <w:rsid w:val="001D6944"/>
    <w:rsid w:val="001D6B18"/>
    <w:rsid w:val="001D6C5E"/>
    <w:rsid w:val="001D71AD"/>
    <w:rsid w:val="001D774A"/>
    <w:rsid w:val="001D797A"/>
    <w:rsid w:val="001D7B30"/>
    <w:rsid w:val="001D7CA8"/>
    <w:rsid w:val="001D7CDD"/>
    <w:rsid w:val="001E0220"/>
    <w:rsid w:val="001E02D5"/>
    <w:rsid w:val="001E0394"/>
    <w:rsid w:val="001E09C6"/>
    <w:rsid w:val="001E0E26"/>
    <w:rsid w:val="001E0E45"/>
    <w:rsid w:val="001E101F"/>
    <w:rsid w:val="001E108F"/>
    <w:rsid w:val="001E134F"/>
    <w:rsid w:val="001E14F1"/>
    <w:rsid w:val="001E15BD"/>
    <w:rsid w:val="001E19EE"/>
    <w:rsid w:val="001E1A53"/>
    <w:rsid w:val="001E1AE2"/>
    <w:rsid w:val="001E1C6B"/>
    <w:rsid w:val="001E200F"/>
    <w:rsid w:val="001E20E6"/>
    <w:rsid w:val="001E2196"/>
    <w:rsid w:val="001E23CD"/>
    <w:rsid w:val="001E2411"/>
    <w:rsid w:val="001E24C0"/>
    <w:rsid w:val="001E279C"/>
    <w:rsid w:val="001E285C"/>
    <w:rsid w:val="001E28B4"/>
    <w:rsid w:val="001E2ABE"/>
    <w:rsid w:val="001E3306"/>
    <w:rsid w:val="001E3349"/>
    <w:rsid w:val="001E360C"/>
    <w:rsid w:val="001E375E"/>
    <w:rsid w:val="001E3811"/>
    <w:rsid w:val="001E3934"/>
    <w:rsid w:val="001E3A7C"/>
    <w:rsid w:val="001E3B25"/>
    <w:rsid w:val="001E3BCF"/>
    <w:rsid w:val="001E3E36"/>
    <w:rsid w:val="001E419B"/>
    <w:rsid w:val="001E41A2"/>
    <w:rsid w:val="001E428A"/>
    <w:rsid w:val="001E494B"/>
    <w:rsid w:val="001E4972"/>
    <w:rsid w:val="001E49B2"/>
    <w:rsid w:val="001E4B0C"/>
    <w:rsid w:val="001E4BBB"/>
    <w:rsid w:val="001E4BF5"/>
    <w:rsid w:val="001E4D9E"/>
    <w:rsid w:val="001E556A"/>
    <w:rsid w:val="001E5818"/>
    <w:rsid w:val="001E6170"/>
    <w:rsid w:val="001E6332"/>
    <w:rsid w:val="001E6533"/>
    <w:rsid w:val="001E6F4E"/>
    <w:rsid w:val="001E6FAB"/>
    <w:rsid w:val="001E71AF"/>
    <w:rsid w:val="001E71BA"/>
    <w:rsid w:val="001E7894"/>
    <w:rsid w:val="001E7932"/>
    <w:rsid w:val="001E79FD"/>
    <w:rsid w:val="001F032D"/>
    <w:rsid w:val="001F03D8"/>
    <w:rsid w:val="001F0564"/>
    <w:rsid w:val="001F05A6"/>
    <w:rsid w:val="001F076A"/>
    <w:rsid w:val="001F0C65"/>
    <w:rsid w:val="001F1125"/>
    <w:rsid w:val="001F15E8"/>
    <w:rsid w:val="001F161E"/>
    <w:rsid w:val="001F1835"/>
    <w:rsid w:val="001F190F"/>
    <w:rsid w:val="001F19AA"/>
    <w:rsid w:val="001F19D7"/>
    <w:rsid w:val="001F1BDC"/>
    <w:rsid w:val="001F1BF3"/>
    <w:rsid w:val="001F1D4B"/>
    <w:rsid w:val="001F2142"/>
    <w:rsid w:val="001F241E"/>
    <w:rsid w:val="001F2573"/>
    <w:rsid w:val="001F26D4"/>
    <w:rsid w:val="001F3072"/>
    <w:rsid w:val="001F3552"/>
    <w:rsid w:val="001F3584"/>
    <w:rsid w:val="001F3ABB"/>
    <w:rsid w:val="001F3E73"/>
    <w:rsid w:val="001F3ECD"/>
    <w:rsid w:val="001F3FAB"/>
    <w:rsid w:val="001F4285"/>
    <w:rsid w:val="001F47E3"/>
    <w:rsid w:val="001F4FA7"/>
    <w:rsid w:val="001F5505"/>
    <w:rsid w:val="001F561B"/>
    <w:rsid w:val="001F5962"/>
    <w:rsid w:val="001F598E"/>
    <w:rsid w:val="001F59E0"/>
    <w:rsid w:val="001F5A6F"/>
    <w:rsid w:val="001F615B"/>
    <w:rsid w:val="001F624A"/>
    <w:rsid w:val="001F62DB"/>
    <w:rsid w:val="001F63A6"/>
    <w:rsid w:val="001F63CC"/>
    <w:rsid w:val="001F65EC"/>
    <w:rsid w:val="001F67A5"/>
    <w:rsid w:val="001F67A6"/>
    <w:rsid w:val="001F6B59"/>
    <w:rsid w:val="001F6E01"/>
    <w:rsid w:val="001F6FB1"/>
    <w:rsid w:val="001F71D8"/>
    <w:rsid w:val="001F71EB"/>
    <w:rsid w:val="001F74E9"/>
    <w:rsid w:val="001F790E"/>
    <w:rsid w:val="001F7B59"/>
    <w:rsid w:val="001F7BBD"/>
    <w:rsid w:val="001F7FA9"/>
    <w:rsid w:val="001F7FB5"/>
    <w:rsid w:val="0020009B"/>
    <w:rsid w:val="0020037F"/>
    <w:rsid w:val="00200401"/>
    <w:rsid w:val="0020060A"/>
    <w:rsid w:val="0020097E"/>
    <w:rsid w:val="00200F70"/>
    <w:rsid w:val="002013FB"/>
    <w:rsid w:val="00201768"/>
    <w:rsid w:val="002017F4"/>
    <w:rsid w:val="00201855"/>
    <w:rsid w:val="00201C00"/>
    <w:rsid w:val="00201DCA"/>
    <w:rsid w:val="002022E5"/>
    <w:rsid w:val="0020244F"/>
    <w:rsid w:val="002024AE"/>
    <w:rsid w:val="0020254D"/>
    <w:rsid w:val="00202594"/>
    <w:rsid w:val="002027C6"/>
    <w:rsid w:val="00202905"/>
    <w:rsid w:val="00202B8A"/>
    <w:rsid w:val="00202C7D"/>
    <w:rsid w:val="00202EDD"/>
    <w:rsid w:val="002031C9"/>
    <w:rsid w:val="002031F9"/>
    <w:rsid w:val="0020322E"/>
    <w:rsid w:val="0020355A"/>
    <w:rsid w:val="002038D7"/>
    <w:rsid w:val="00203F20"/>
    <w:rsid w:val="002041BC"/>
    <w:rsid w:val="002041F9"/>
    <w:rsid w:val="00204468"/>
    <w:rsid w:val="002044C3"/>
    <w:rsid w:val="0020458E"/>
    <w:rsid w:val="00204E26"/>
    <w:rsid w:val="00204EA3"/>
    <w:rsid w:val="00204F07"/>
    <w:rsid w:val="00205438"/>
    <w:rsid w:val="00205917"/>
    <w:rsid w:val="00205DDB"/>
    <w:rsid w:val="00206421"/>
    <w:rsid w:val="00206554"/>
    <w:rsid w:val="00206756"/>
    <w:rsid w:val="002067CA"/>
    <w:rsid w:val="00206907"/>
    <w:rsid w:val="00206909"/>
    <w:rsid w:val="0020696E"/>
    <w:rsid w:val="00206A18"/>
    <w:rsid w:val="00206A3E"/>
    <w:rsid w:val="00206AF6"/>
    <w:rsid w:val="00206C3F"/>
    <w:rsid w:val="002072FB"/>
    <w:rsid w:val="002076DE"/>
    <w:rsid w:val="00207754"/>
    <w:rsid w:val="002077E7"/>
    <w:rsid w:val="002077F5"/>
    <w:rsid w:val="00207982"/>
    <w:rsid w:val="00207A12"/>
    <w:rsid w:val="00207B6A"/>
    <w:rsid w:val="00207E31"/>
    <w:rsid w:val="0021033E"/>
    <w:rsid w:val="00210572"/>
    <w:rsid w:val="002108BD"/>
    <w:rsid w:val="00210A73"/>
    <w:rsid w:val="00210B63"/>
    <w:rsid w:val="00210C97"/>
    <w:rsid w:val="00211100"/>
    <w:rsid w:val="00211107"/>
    <w:rsid w:val="002112AA"/>
    <w:rsid w:val="002113E4"/>
    <w:rsid w:val="0021199A"/>
    <w:rsid w:val="002119E1"/>
    <w:rsid w:val="00212189"/>
    <w:rsid w:val="00212274"/>
    <w:rsid w:val="00212739"/>
    <w:rsid w:val="00212814"/>
    <w:rsid w:val="00212ACC"/>
    <w:rsid w:val="00212B19"/>
    <w:rsid w:val="00212BC3"/>
    <w:rsid w:val="00212DED"/>
    <w:rsid w:val="00212F2F"/>
    <w:rsid w:val="00213382"/>
    <w:rsid w:val="002136EF"/>
    <w:rsid w:val="00213776"/>
    <w:rsid w:val="002137C2"/>
    <w:rsid w:val="00213814"/>
    <w:rsid w:val="00213918"/>
    <w:rsid w:val="002139C2"/>
    <w:rsid w:val="00213ACF"/>
    <w:rsid w:val="00214028"/>
    <w:rsid w:val="00214326"/>
    <w:rsid w:val="002144DF"/>
    <w:rsid w:val="00214505"/>
    <w:rsid w:val="00214A44"/>
    <w:rsid w:val="00214ED1"/>
    <w:rsid w:val="00214FB6"/>
    <w:rsid w:val="002155D6"/>
    <w:rsid w:val="00215620"/>
    <w:rsid w:val="00215AE8"/>
    <w:rsid w:val="00215C23"/>
    <w:rsid w:val="00215D28"/>
    <w:rsid w:val="00215ECC"/>
    <w:rsid w:val="00215FB4"/>
    <w:rsid w:val="002160CE"/>
    <w:rsid w:val="002160ED"/>
    <w:rsid w:val="002169F1"/>
    <w:rsid w:val="00217345"/>
    <w:rsid w:val="002174BE"/>
    <w:rsid w:val="00217541"/>
    <w:rsid w:val="002178F3"/>
    <w:rsid w:val="002179A0"/>
    <w:rsid w:val="002179BE"/>
    <w:rsid w:val="00217F85"/>
    <w:rsid w:val="00220016"/>
    <w:rsid w:val="00220455"/>
    <w:rsid w:val="00220840"/>
    <w:rsid w:val="002209B8"/>
    <w:rsid w:val="00220CFB"/>
    <w:rsid w:val="00220D6C"/>
    <w:rsid w:val="00220E9D"/>
    <w:rsid w:val="00221038"/>
    <w:rsid w:val="002211B1"/>
    <w:rsid w:val="002212D6"/>
    <w:rsid w:val="00221383"/>
    <w:rsid w:val="0022158B"/>
    <w:rsid w:val="00221B5A"/>
    <w:rsid w:val="00221B8F"/>
    <w:rsid w:val="00221BE0"/>
    <w:rsid w:val="00221DF8"/>
    <w:rsid w:val="00222099"/>
    <w:rsid w:val="00222145"/>
    <w:rsid w:val="00222166"/>
    <w:rsid w:val="002221BC"/>
    <w:rsid w:val="0022221C"/>
    <w:rsid w:val="00222293"/>
    <w:rsid w:val="00222311"/>
    <w:rsid w:val="00222A8E"/>
    <w:rsid w:val="00222D9A"/>
    <w:rsid w:val="00223230"/>
    <w:rsid w:val="0022326E"/>
    <w:rsid w:val="002233C6"/>
    <w:rsid w:val="002233F6"/>
    <w:rsid w:val="002235DD"/>
    <w:rsid w:val="002237AA"/>
    <w:rsid w:val="00223880"/>
    <w:rsid w:val="00223AF8"/>
    <w:rsid w:val="00223E58"/>
    <w:rsid w:val="00224607"/>
    <w:rsid w:val="0022461F"/>
    <w:rsid w:val="0022474F"/>
    <w:rsid w:val="002247D6"/>
    <w:rsid w:val="0022489D"/>
    <w:rsid w:val="002248E6"/>
    <w:rsid w:val="00224FDD"/>
    <w:rsid w:val="0022508A"/>
    <w:rsid w:val="00225119"/>
    <w:rsid w:val="00225128"/>
    <w:rsid w:val="00225206"/>
    <w:rsid w:val="002252D7"/>
    <w:rsid w:val="00225505"/>
    <w:rsid w:val="002259B4"/>
    <w:rsid w:val="00225EF3"/>
    <w:rsid w:val="0022619D"/>
    <w:rsid w:val="00226441"/>
    <w:rsid w:val="00226DAA"/>
    <w:rsid w:val="00226DB5"/>
    <w:rsid w:val="00226E70"/>
    <w:rsid w:val="002270AD"/>
    <w:rsid w:val="00227475"/>
    <w:rsid w:val="00227726"/>
    <w:rsid w:val="00227A70"/>
    <w:rsid w:val="00227DBA"/>
    <w:rsid w:val="00227F80"/>
    <w:rsid w:val="002303E4"/>
    <w:rsid w:val="00230413"/>
    <w:rsid w:val="00230938"/>
    <w:rsid w:val="00230B52"/>
    <w:rsid w:val="00230E1F"/>
    <w:rsid w:val="0023118F"/>
    <w:rsid w:val="00231479"/>
    <w:rsid w:val="0023151C"/>
    <w:rsid w:val="0023197A"/>
    <w:rsid w:val="00231C67"/>
    <w:rsid w:val="00231F18"/>
    <w:rsid w:val="002322E2"/>
    <w:rsid w:val="002325ED"/>
    <w:rsid w:val="002328A2"/>
    <w:rsid w:val="00232EF8"/>
    <w:rsid w:val="00232F14"/>
    <w:rsid w:val="00233198"/>
    <w:rsid w:val="00233932"/>
    <w:rsid w:val="00233A50"/>
    <w:rsid w:val="00233CBB"/>
    <w:rsid w:val="00233DA2"/>
    <w:rsid w:val="00233EA9"/>
    <w:rsid w:val="00233F0B"/>
    <w:rsid w:val="002341F6"/>
    <w:rsid w:val="00234216"/>
    <w:rsid w:val="00234742"/>
    <w:rsid w:val="00234D63"/>
    <w:rsid w:val="00234F68"/>
    <w:rsid w:val="00235246"/>
    <w:rsid w:val="002354E9"/>
    <w:rsid w:val="00235A34"/>
    <w:rsid w:val="00236459"/>
    <w:rsid w:val="0023669B"/>
    <w:rsid w:val="00236912"/>
    <w:rsid w:val="0023695C"/>
    <w:rsid w:val="00236A1D"/>
    <w:rsid w:val="00236AEF"/>
    <w:rsid w:val="00236B20"/>
    <w:rsid w:val="00236B35"/>
    <w:rsid w:val="002370FD"/>
    <w:rsid w:val="00237660"/>
    <w:rsid w:val="002376AD"/>
    <w:rsid w:val="00237AD2"/>
    <w:rsid w:val="00237B06"/>
    <w:rsid w:val="00237B4F"/>
    <w:rsid w:val="00237C9E"/>
    <w:rsid w:val="00237CFA"/>
    <w:rsid w:val="00237D64"/>
    <w:rsid w:val="00237FD4"/>
    <w:rsid w:val="00237FE0"/>
    <w:rsid w:val="0024007A"/>
    <w:rsid w:val="002400B0"/>
    <w:rsid w:val="00240188"/>
    <w:rsid w:val="00240673"/>
    <w:rsid w:val="002406DD"/>
    <w:rsid w:val="0024094D"/>
    <w:rsid w:val="0024119B"/>
    <w:rsid w:val="0024123F"/>
    <w:rsid w:val="00241268"/>
    <w:rsid w:val="002415D3"/>
    <w:rsid w:val="002416AC"/>
    <w:rsid w:val="0024173E"/>
    <w:rsid w:val="00241998"/>
    <w:rsid w:val="00241D0F"/>
    <w:rsid w:val="00241D90"/>
    <w:rsid w:val="00241E8C"/>
    <w:rsid w:val="00241FC8"/>
    <w:rsid w:val="00242041"/>
    <w:rsid w:val="00242183"/>
    <w:rsid w:val="00242273"/>
    <w:rsid w:val="0024247C"/>
    <w:rsid w:val="002424C0"/>
    <w:rsid w:val="00242E1D"/>
    <w:rsid w:val="00242F0B"/>
    <w:rsid w:val="0024321B"/>
    <w:rsid w:val="00243362"/>
    <w:rsid w:val="0024348C"/>
    <w:rsid w:val="00243518"/>
    <w:rsid w:val="00243765"/>
    <w:rsid w:val="0024388C"/>
    <w:rsid w:val="00243D97"/>
    <w:rsid w:val="00243F41"/>
    <w:rsid w:val="002446A7"/>
    <w:rsid w:val="00244864"/>
    <w:rsid w:val="00244F18"/>
    <w:rsid w:val="0024539A"/>
    <w:rsid w:val="00245482"/>
    <w:rsid w:val="002457C0"/>
    <w:rsid w:val="0024588D"/>
    <w:rsid w:val="00245912"/>
    <w:rsid w:val="002459A9"/>
    <w:rsid w:val="00245A5F"/>
    <w:rsid w:val="00245AF3"/>
    <w:rsid w:val="00245B32"/>
    <w:rsid w:val="00245BF5"/>
    <w:rsid w:val="00245F72"/>
    <w:rsid w:val="002469C8"/>
    <w:rsid w:val="00246A9B"/>
    <w:rsid w:val="00246B58"/>
    <w:rsid w:val="00246C15"/>
    <w:rsid w:val="00246D83"/>
    <w:rsid w:val="00246F5C"/>
    <w:rsid w:val="00246FCE"/>
    <w:rsid w:val="002471A8"/>
    <w:rsid w:val="002471BC"/>
    <w:rsid w:val="00247638"/>
    <w:rsid w:val="002476D8"/>
    <w:rsid w:val="00247734"/>
    <w:rsid w:val="00247CDD"/>
    <w:rsid w:val="00247EF2"/>
    <w:rsid w:val="0025083B"/>
    <w:rsid w:val="0025085E"/>
    <w:rsid w:val="0025094B"/>
    <w:rsid w:val="002509EB"/>
    <w:rsid w:val="00250C87"/>
    <w:rsid w:val="00250F45"/>
    <w:rsid w:val="00251117"/>
    <w:rsid w:val="002514E9"/>
    <w:rsid w:val="00251B42"/>
    <w:rsid w:val="00251B59"/>
    <w:rsid w:val="00251D9E"/>
    <w:rsid w:val="00252256"/>
    <w:rsid w:val="00252DD1"/>
    <w:rsid w:val="00252E58"/>
    <w:rsid w:val="00252FDE"/>
    <w:rsid w:val="0025338E"/>
    <w:rsid w:val="0025385A"/>
    <w:rsid w:val="00253924"/>
    <w:rsid w:val="002539CC"/>
    <w:rsid w:val="00253AB5"/>
    <w:rsid w:val="00254345"/>
    <w:rsid w:val="002548AC"/>
    <w:rsid w:val="002548E9"/>
    <w:rsid w:val="002549D6"/>
    <w:rsid w:val="00254BA3"/>
    <w:rsid w:val="00254BAB"/>
    <w:rsid w:val="00254BC8"/>
    <w:rsid w:val="00254C74"/>
    <w:rsid w:val="00254D05"/>
    <w:rsid w:val="00254F08"/>
    <w:rsid w:val="00254F83"/>
    <w:rsid w:val="002550CB"/>
    <w:rsid w:val="00255233"/>
    <w:rsid w:val="002552ED"/>
    <w:rsid w:val="00255527"/>
    <w:rsid w:val="002555D2"/>
    <w:rsid w:val="00255A41"/>
    <w:rsid w:val="00255C15"/>
    <w:rsid w:val="00255D44"/>
    <w:rsid w:val="00255DD2"/>
    <w:rsid w:val="00255E6D"/>
    <w:rsid w:val="00255EE0"/>
    <w:rsid w:val="00255F7A"/>
    <w:rsid w:val="00256001"/>
    <w:rsid w:val="00256339"/>
    <w:rsid w:val="002563B8"/>
    <w:rsid w:val="0025642B"/>
    <w:rsid w:val="00256721"/>
    <w:rsid w:val="00256755"/>
    <w:rsid w:val="00256AE8"/>
    <w:rsid w:val="00256BC1"/>
    <w:rsid w:val="00256BF6"/>
    <w:rsid w:val="00256EAE"/>
    <w:rsid w:val="0025760C"/>
    <w:rsid w:val="0025762A"/>
    <w:rsid w:val="00257665"/>
    <w:rsid w:val="00257A81"/>
    <w:rsid w:val="00257B02"/>
    <w:rsid w:val="00257CFE"/>
    <w:rsid w:val="002600E6"/>
    <w:rsid w:val="00260474"/>
    <w:rsid w:val="002604EC"/>
    <w:rsid w:val="00260775"/>
    <w:rsid w:val="002608AC"/>
    <w:rsid w:val="002608D0"/>
    <w:rsid w:val="002608FA"/>
    <w:rsid w:val="00260C2B"/>
    <w:rsid w:val="00260DD0"/>
    <w:rsid w:val="00260F27"/>
    <w:rsid w:val="00261197"/>
    <w:rsid w:val="00261230"/>
    <w:rsid w:val="002614AC"/>
    <w:rsid w:val="002619D6"/>
    <w:rsid w:val="00261A88"/>
    <w:rsid w:val="00261AE4"/>
    <w:rsid w:val="00261B2C"/>
    <w:rsid w:val="00261C48"/>
    <w:rsid w:val="0026219A"/>
    <w:rsid w:val="00262335"/>
    <w:rsid w:val="00262350"/>
    <w:rsid w:val="002623A6"/>
    <w:rsid w:val="00262588"/>
    <w:rsid w:val="002627E9"/>
    <w:rsid w:val="002629A8"/>
    <w:rsid w:val="00262B27"/>
    <w:rsid w:val="00262B92"/>
    <w:rsid w:val="00262E8D"/>
    <w:rsid w:val="00262F2B"/>
    <w:rsid w:val="0026332C"/>
    <w:rsid w:val="002633FE"/>
    <w:rsid w:val="0026365D"/>
    <w:rsid w:val="002639A7"/>
    <w:rsid w:val="00263AF5"/>
    <w:rsid w:val="00263D3C"/>
    <w:rsid w:val="00263F4E"/>
    <w:rsid w:val="00263F5F"/>
    <w:rsid w:val="002641DF"/>
    <w:rsid w:val="00264241"/>
    <w:rsid w:val="0026433C"/>
    <w:rsid w:val="002648B1"/>
    <w:rsid w:val="00264A08"/>
    <w:rsid w:val="00264BFD"/>
    <w:rsid w:val="00264C18"/>
    <w:rsid w:val="002652FE"/>
    <w:rsid w:val="00265568"/>
    <w:rsid w:val="002655CF"/>
    <w:rsid w:val="00265BC8"/>
    <w:rsid w:val="00265BD4"/>
    <w:rsid w:val="00265C9B"/>
    <w:rsid w:val="00265D62"/>
    <w:rsid w:val="00265E29"/>
    <w:rsid w:val="002660EA"/>
    <w:rsid w:val="0026626D"/>
    <w:rsid w:val="0026636C"/>
    <w:rsid w:val="002669E1"/>
    <w:rsid w:val="0026735E"/>
    <w:rsid w:val="00267535"/>
    <w:rsid w:val="00267B2A"/>
    <w:rsid w:val="00267BCF"/>
    <w:rsid w:val="00267CD3"/>
    <w:rsid w:val="00267E17"/>
    <w:rsid w:val="002701C9"/>
    <w:rsid w:val="002702D2"/>
    <w:rsid w:val="002707D3"/>
    <w:rsid w:val="00270D79"/>
    <w:rsid w:val="00270FD4"/>
    <w:rsid w:val="002712C4"/>
    <w:rsid w:val="00271417"/>
    <w:rsid w:val="00271476"/>
    <w:rsid w:val="00271489"/>
    <w:rsid w:val="002718F2"/>
    <w:rsid w:val="00271983"/>
    <w:rsid w:val="00271C3A"/>
    <w:rsid w:val="00271E27"/>
    <w:rsid w:val="00271F8E"/>
    <w:rsid w:val="00272323"/>
    <w:rsid w:val="002726BF"/>
    <w:rsid w:val="00272946"/>
    <w:rsid w:val="00272CC5"/>
    <w:rsid w:val="0027321C"/>
    <w:rsid w:val="002737A1"/>
    <w:rsid w:val="00273A62"/>
    <w:rsid w:val="00273C6B"/>
    <w:rsid w:val="00273DEE"/>
    <w:rsid w:val="00273E0A"/>
    <w:rsid w:val="002744C6"/>
    <w:rsid w:val="0027450C"/>
    <w:rsid w:val="0027457E"/>
    <w:rsid w:val="0027472C"/>
    <w:rsid w:val="002747E2"/>
    <w:rsid w:val="0027481F"/>
    <w:rsid w:val="002749E1"/>
    <w:rsid w:val="00274BBA"/>
    <w:rsid w:val="00274D20"/>
    <w:rsid w:val="00274D9A"/>
    <w:rsid w:val="00274DD8"/>
    <w:rsid w:val="00275070"/>
    <w:rsid w:val="0027511E"/>
    <w:rsid w:val="0027514B"/>
    <w:rsid w:val="002752CE"/>
    <w:rsid w:val="002753BF"/>
    <w:rsid w:val="00275779"/>
    <w:rsid w:val="00275931"/>
    <w:rsid w:val="00275D70"/>
    <w:rsid w:val="00275E59"/>
    <w:rsid w:val="00275FA1"/>
    <w:rsid w:val="002763CB"/>
    <w:rsid w:val="00276534"/>
    <w:rsid w:val="0027667D"/>
    <w:rsid w:val="002766BC"/>
    <w:rsid w:val="00276830"/>
    <w:rsid w:val="0027687B"/>
    <w:rsid w:val="00276990"/>
    <w:rsid w:val="002769D4"/>
    <w:rsid w:val="00276BF9"/>
    <w:rsid w:val="00276E99"/>
    <w:rsid w:val="00277306"/>
    <w:rsid w:val="0027734F"/>
    <w:rsid w:val="002773D2"/>
    <w:rsid w:val="002777C7"/>
    <w:rsid w:val="00277B99"/>
    <w:rsid w:val="00277D61"/>
    <w:rsid w:val="00277FA0"/>
    <w:rsid w:val="00280602"/>
    <w:rsid w:val="0028085A"/>
    <w:rsid w:val="00280B95"/>
    <w:rsid w:val="00280DFC"/>
    <w:rsid w:val="00280F15"/>
    <w:rsid w:val="002811A1"/>
    <w:rsid w:val="002811EA"/>
    <w:rsid w:val="0028174A"/>
    <w:rsid w:val="0028174F"/>
    <w:rsid w:val="0028184C"/>
    <w:rsid w:val="0028191A"/>
    <w:rsid w:val="00281E09"/>
    <w:rsid w:val="00281E39"/>
    <w:rsid w:val="00281FA9"/>
    <w:rsid w:val="002823BE"/>
    <w:rsid w:val="00282553"/>
    <w:rsid w:val="00282713"/>
    <w:rsid w:val="00282FD9"/>
    <w:rsid w:val="002830B4"/>
    <w:rsid w:val="002831A9"/>
    <w:rsid w:val="0028331F"/>
    <w:rsid w:val="00283339"/>
    <w:rsid w:val="00283CEB"/>
    <w:rsid w:val="00283E5C"/>
    <w:rsid w:val="002840BD"/>
    <w:rsid w:val="00284191"/>
    <w:rsid w:val="00284236"/>
    <w:rsid w:val="00284579"/>
    <w:rsid w:val="00284687"/>
    <w:rsid w:val="0028477B"/>
    <w:rsid w:val="002847C3"/>
    <w:rsid w:val="0028496A"/>
    <w:rsid w:val="002849A8"/>
    <w:rsid w:val="00284A38"/>
    <w:rsid w:val="00284C0A"/>
    <w:rsid w:val="00284C35"/>
    <w:rsid w:val="00284E07"/>
    <w:rsid w:val="00285122"/>
    <w:rsid w:val="00285446"/>
    <w:rsid w:val="0028563A"/>
    <w:rsid w:val="002856BA"/>
    <w:rsid w:val="0028593D"/>
    <w:rsid w:val="00285AEF"/>
    <w:rsid w:val="00285D19"/>
    <w:rsid w:val="00285E95"/>
    <w:rsid w:val="00286408"/>
    <w:rsid w:val="002864F8"/>
    <w:rsid w:val="0028687C"/>
    <w:rsid w:val="00286973"/>
    <w:rsid w:val="00286A07"/>
    <w:rsid w:val="00286B57"/>
    <w:rsid w:val="00286D96"/>
    <w:rsid w:val="002870BB"/>
    <w:rsid w:val="0028710C"/>
    <w:rsid w:val="0028710E"/>
    <w:rsid w:val="002874F4"/>
    <w:rsid w:val="00287831"/>
    <w:rsid w:val="00287F0C"/>
    <w:rsid w:val="0029009B"/>
    <w:rsid w:val="00291074"/>
    <w:rsid w:val="00291100"/>
    <w:rsid w:val="00291680"/>
    <w:rsid w:val="00291988"/>
    <w:rsid w:val="002919CC"/>
    <w:rsid w:val="00291B25"/>
    <w:rsid w:val="00291DB6"/>
    <w:rsid w:val="00291F20"/>
    <w:rsid w:val="00292614"/>
    <w:rsid w:val="00292822"/>
    <w:rsid w:val="002928F6"/>
    <w:rsid w:val="00292A78"/>
    <w:rsid w:val="00292DEF"/>
    <w:rsid w:val="00292E48"/>
    <w:rsid w:val="00293013"/>
    <w:rsid w:val="0029305F"/>
    <w:rsid w:val="00293122"/>
    <w:rsid w:val="00293250"/>
    <w:rsid w:val="0029333A"/>
    <w:rsid w:val="002935BB"/>
    <w:rsid w:val="002937D0"/>
    <w:rsid w:val="00293805"/>
    <w:rsid w:val="00293A85"/>
    <w:rsid w:val="00293CBD"/>
    <w:rsid w:val="00293DB5"/>
    <w:rsid w:val="00293FD5"/>
    <w:rsid w:val="0029402B"/>
    <w:rsid w:val="002941EB"/>
    <w:rsid w:val="0029438E"/>
    <w:rsid w:val="002945B5"/>
    <w:rsid w:val="002945CE"/>
    <w:rsid w:val="00294BA3"/>
    <w:rsid w:val="002953B6"/>
    <w:rsid w:val="002954DD"/>
    <w:rsid w:val="00295973"/>
    <w:rsid w:val="00295DE7"/>
    <w:rsid w:val="00295F6B"/>
    <w:rsid w:val="00296053"/>
    <w:rsid w:val="002962E3"/>
    <w:rsid w:val="002966A0"/>
    <w:rsid w:val="00296C27"/>
    <w:rsid w:val="00296D16"/>
    <w:rsid w:val="00296F17"/>
    <w:rsid w:val="002970D1"/>
    <w:rsid w:val="0029750F"/>
    <w:rsid w:val="0029764F"/>
    <w:rsid w:val="00297A26"/>
    <w:rsid w:val="00297EFC"/>
    <w:rsid w:val="002A012A"/>
    <w:rsid w:val="002A0909"/>
    <w:rsid w:val="002A0AD9"/>
    <w:rsid w:val="002A0B44"/>
    <w:rsid w:val="002A0F2C"/>
    <w:rsid w:val="002A0F31"/>
    <w:rsid w:val="002A102F"/>
    <w:rsid w:val="002A117F"/>
    <w:rsid w:val="002A13BF"/>
    <w:rsid w:val="002A1480"/>
    <w:rsid w:val="002A17D5"/>
    <w:rsid w:val="002A1813"/>
    <w:rsid w:val="002A2006"/>
    <w:rsid w:val="002A2321"/>
    <w:rsid w:val="002A2426"/>
    <w:rsid w:val="002A25D9"/>
    <w:rsid w:val="002A2665"/>
    <w:rsid w:val="002A2B32"/>
    <w:rsid w:val="002A2E0A"/>
    <w:rsid w:val="002A303B"/>
    <w:rsid w:val="002A3DB6"/>
    <w:rsid w:val="002A4362"/>
    <w:rsid w:val="002A456D"/>
    <w:rsid w:val="002A46AE"/>
    <w:rsid w:val="002A46FC"/>
    <w:rsid w:val="002A4780"/>
    <w:rsid w:val="002A498E"/>
    <w:rsid w:val="002A5041"/>
    <w:rsid w:val="002A5191"/>
    <w:rsid w:val="002A524A"/>
    <w:rsid w:val="002A533A"/>
    <w:rsid w:val="002A53CB"/>
    <w:rsid w:val="002A5491"/>
    <w:rsid w:val="002A5613"/>
    <w:rsid w:val="002A5668"/>
    <w:rsid w:val="002A5850"/>
    <w:rsid w:val="002A5ABA"/>
    <w:rsid w:val="002A5D66"/>
    <w:rsid w:val="002A5D7A"/>
    <w:rsid w:val="002A5FAB"/>
    <w:rsid w:val="002A6233"/>
    <w:rsid w:val="002A63A3"/>
    <w:rsid w:val="002A642D"/>
    <w:rsid w:val="002A6568"/>
    <w:rsid w:val="002A66DE"/>
    <w:rsid w:val="002A6782"/>
    <w:rsid w:val="002A6818"/>
    <w:rsid w:val="002A69CA"/>
    <w:rsid w:val="002A6A9D"/>
    <w:rsid w:val="002A6D61"/>
    <w:rsid w:val="002A6D8E"/>
    <w:rsid w:val="002A6DA0"/>
    <w:rsid w:val="002A6E47"/>
    <w:rsid w:val="002A7092"/>
    <w:rsid w:val="002A7318"/>
    <w:rsid w:val="002A73B4"/>
    <w:rsid w:val="002A74DF"/>
    <w:rsid w:val="002A7543"/>
    <w:rsid w:val="002A76DF"/>
    <w:rsid w:val="002A7907"/>
    <w:rsid w:val="002A7C5E"/>
    <w:rsid w:val="002A7C81"/>
    <w:rsid w:val="002A7CB2"/>
    <w:rsid w:val="002B0144"/>
    <w:rsid w:val="002B0167"/>
    <w:rsid w:val="002B0369"/>
    <w:rsid w:val="002B05AF"/>
    <w:rsid w:val="002B0D19"/>
    <w:rsid w:val="002B1156"/>
    <w:rsid w:val="002B1497"/>
    <w:rsid w:val="002B1522"/>
    <w:rsid w:val="002B179D"/>
    <w:rsid w:val="002B1C2B"/>
    <w:rsid w:val="002B1DDE"/>
    <w:rsid w:val="002B1E89"/>
    <w:rsid w:val="002B20C7"/>
    <w:rsid w:val="002B2153"/>
    <w:rsid w:val="002B21A7"/>
    <w:rsid w:val="002B21D4"/>
    <w:rsid w:val="002B2302"/>
    <w:rsid w:val="002B286E"/>
    <w:rsid w:val="002B2CEB"/>
    <w:rsid w:val="002B2E97"/>
    <w:rsid w:val="002B33CE"/>
    <w:rsid w:val="002B3431"/>
    <w:rsid w:val="002B344D"/>
    <w:rsid w:val="002B34E9"/>
    <w:rsid w:val="002B3599"/>
    <w:rsid w:val="002B36FB"/>
    <w:rsid w:val="002B37C8"/>
    <w:rsid w:val="002B395F"/>
    <w:rsid w:val="002B396E"/>
    <w:rsid w:val="002B3BF8"/>
    <w:rsid w:val="002B3CD0"/>
    <w:rsid w:val="002B3E43"/>
    <w:rsid w:val="002B4186"/>
    <w:rsid w:val="002B482E"/>
    <w:rsid w:val="002B503D"/>
    <w:rsid w:val="002B50B8"/>
    <w:rsid w:val="002B51C9"/>
    <w:rsid w:val="002B54CB"/>
    <w:rsid w:val="002B5815"/>
    <w:rsid w:val="002B5A68"/>
    <w:rsid w:val="002B5B80"/>
    <w:rsid w:val="002B5BE6"/>
    <w:rsid w:val="002B5D04"/>
    <w:rsid w:val="002B6234"/>
    <w:rsid w:val="002B6423"/>
    <w:rsid w:val="002B6692"/>
    <w:rsid w:val="002B669C"/>
    <w:rsid w:val="002B681A"/>
    <w:rsid w:val="002B681D"/>
    <w:rsid w:val="002B6870"/>
    <w:rsid w:val="002B6924"/>
    <w:rsid w:val="002B6A0D"/>
    <w:rsid w:val="002B6AC8"/>
    <w:rsid w:val="002B6DE6"/>
    <w:rsid w:val="002B714E"/>
    <w:rsid w:val="002B721E"/>
    <w:rsid w:val="002B7420"/>
    <w:rsid w:val="002B7700"/>
    <w:rsid w:val="002B7855"/>
    <w:rsid w:val="002B7931"/>
    <w:rsid w:val="002B7BAD"/>
    <w:rsid w:val="002B7EF8"/>
    <w:rsid w:val="002C01D6"/>
    <w:rsid w:val="002C01E0"/>
    <w:rsid w:val="002C031D"/>
    <w:rsid w:val="002C0435"/>
    <w:rsid w:val="002C0862"/>
    <w:rsid w:val="002C0D34"/>
    <w:rsid w:val="002C0E25"/>
    <w:rsid w:val="002C104F"/>
    <w:rsid w:val="002C188E"/>
    <w:rsid w:val="002C1A91"/>
    <w:rsid w:val="002C1B28"/>
    <w:rsid w:val="002C20F3"/>
    <w:rsid w:val="002C2579"/>
    <w:rsid w:val="002C2682"/>
    <w:rsid w:val="002C274C"/>
    <w:rsid w:val="002C27EA"/>
    <w:rsid w:val="002C27F9"/>
    <w:rsid w:val="002C2A53"/>
    <w:rsid w:val="002C2B3F"/>
    <w:rsid w:val="002C2B8A"/>
    <w:rsid w:val="002C2E2A"/>
    <w:rsid w:val="002C2E77"/>
    <w:rsid w:val="002C2E9C"/>
    <w:rsid w:val="002C2FEB"/>
    <w:rsid w:val="002C2FFD"/>
    <w:rsid w:val="002C3114"/>
    <w:rsid w:val="002C3548"/>
    <w:rsid w:val="002C35A3"/>
    <w:rsid w:val="002C38C7"/>
    <w:rsid w:val="002C3C75"/>
    <w:rsid w:val="002C3DD9"/>
    <w:rsid w:val="002C4027"/>
    <w:rsid w:val="002C40C8"/>
    <w:rsid w:val="002C410A"/>
    <w:rsid w:val="002C411F"/>
    <w:rsid w:val="002C417F"/>
    <w:rsid w:val="002C420A"/>
    <w:rsid w:val="002C438E"/>
    <w:rsid w:val="002C465F"/>
    <w:rsid w:val="002C4998"/>
    <w:rsid w:val="002C53B8"/>
    <w:rsid w:val="002C53F8"/>
    <w:rsid w:val="002C558B"/>
    <w:rsid w:val="002C573C"/>
    <w:rsid w:val="002C5824"/>
    <w:rsid w:val="002C590F"/>
    <w:rsid w:val="002C5A71"/>
    <w:rsid w:val="002C5A95"/>
    <w:rsid w:val="002C5AFC"/>
    <w:rsid w:val="002C5B3B"/>
    <w:rsid w:val="002C5D7D"/>
    <w:rsid w:val="002C62ED"/>
    <w:rsid w:val="002C635C"/>
    <w:rsid w:val="002C6563"/>
    <w:rsid w:val="002C681E"/>
    <w:rsid w:val="002C6B29"/>
    <w:rsid w:val="002C6DB4"/>
    <w:rsid w:val="002C724E"/>
    <w:rsid w:val="002C7506"/>
    <w:rsid w:val="002C7719"/>
    <w:rsid w:val="002D0A20"/>
    <w:rsid w:val="002D0A66"/>
    <w:rsid w:val="002D0B49"/>
    <w:rsid w:val="002D0C56"/>
    <w:rsid w:val="002D0C99"/>
    <w:rsid w:val="002D1009"/>
    <w:rsid w:val="002D151E"/>
    <w:rsid w:val="002D157D"/>
    <w:rsid w:val="002D16C9"/>
    <w:rsid w:val="002D16EB"/>
    <w:rsid w:val="002D18A8"/>
    <w:rsid w:val="002D1D21"/>
    <w:rsid w:val="002D1D9A"/>
    <w:rsid w:val="002D222B"/>
    <w:rsid w:val="002D2289"/>
    <w:rsid w:val="002D2DBA"/>
    <w:rsid w:val="002D3758"/>
    <w:rsid w:val="002D37ED"/>
    <w:rsid w:val="002D3871"/>
    <w:rsid w:val="002D3F0F"/>
    <w:rsid w:val="002D3FCA"/>
    <w:rsid w:val="002D4113"/>
    <w:rsid w:val="002D41A7"/>
    <w:rsid w:val="002D42AF"/>
    <w:rsid w:val="002D42FE"/>
    <w:rsid w:val="002D46AB"/>
    <w:rsid w:val="002D4A0E"/>
    <w:rsid w:val="002D4ECF"/>
    <w:rsid w:val="002D50D0"/>
    <w:rsid w:val="002D51E1"/>
    <w:rsid w:val="002D51F2"/>
    <w:rsid w:val="002D5508"/>
    <w:rsid w:val="002D5755"/>
    <w:rsid w:val="002D57F4"/>
    <w:rsid w:val="002D5F10"/>
    <w:rsid w:val="002D5F8C"/>
    <w:rsid w:val="002D615D"/>
    <w:rsid w:val="002D6446"/>
    <w:rsid w:val="002D655C"/>
    <w:rsid w:val="002D681D"/>
    <w:rsid w:val="002D689C"/>
    <w:rsid w:val="002D690A"/>
    <w:rsid w:val="002D6A6E"/>
    <w:rsid w:val="002D6C74"/>
    <w:rsid w:val="002D6D49"/>
    <w:rsid w:val="002D781D"/>
    <w:rsid w:val="002D791C"/>
    <w:rsid w:val="002D79AE"/>
    <w:rsid w:val="002D7A24"/>
    <w:rsid w:val="002E0131"/>
    <w:rsid w:val="002E06FF"/>
    <w:rsid w:val="002E0708"/>
    <w:rsid w:val="002E0765"/>
    <w:rsid w:val="002E0C93"/>
    <w:rsid w:val="002E0D9C"/>
    <w:rsid w:val="002E1035"/>
    <w:rsid w:val="002E10C9"/>
    <w:rsid w:val="002E113E"/>
    <w:rsid w:val="002E1174"/>
    <w:rsid w:val="002E1837"/>
    <w:rsid w:val="002E199F"/>
    <w:rsid w:val="002E1A2E"/>
    <w:rsid w:val="002E1B5A"/>
    <w:rsid w:val="002E1EBC"/>
    <w:rsid w:val="002E22E4"/>
    <w:rsid w:val="002E27C7"/>
    <w:rsid w:val="002E289B"/>
    <w:rsid w:val="002E292B"/>
    <w:rsid w:val="002E2BD3"/>
    <w:rsid w:val="002E3356"/>
    <w:rsid w:val="002E3447"/>
    <w:rsid w:val="002E3596"/>
    <w:rsid w:val="002E3654"/>
    <w:rsid w:val="002E377B"/>
    <w:rsid w:val="002E37CB"/>
    <w:rsid w:val="002E3B01"/>
    <w:rsid w:val="002E43CB"/>
    <w:rsid w:val="002E47B7"/>
    <w:rsid w:val="002E47DA"/>
    <w:rsid w:val="002E481A"/>
    <w:rsid w:val="002E48F6"/>
    <w:rsid w:val="002E4E9E"/>
    <w:rsid w:val="002E5360"/>
    <w:rsid w:val="002E54BE"/>
    <w:rsid w:val="002E55AF"/>
    <w:rsid w:val="002E55B8"/>
    <w:rsid w:val="002E5624"/>
    <w:rsid w:val="002E5709"/>
    <w:rsid w:val="002E57B9"/>
    <w:rsid w:val="002E582E"/>
    <w:rsid w:val="002E58B3"/>
    <w:rsid w:val="002E5C1C"/>
    <w:rsid w:val="002E5D57"/>
    <w:rsid w:val="002E5FF5"/>
    <w:rsid w:val="002E6132"/>
    <w:rsid w:val="002E627B"/>
    <w:rsid w:val="002E64EB"/>
    <w:rsid w:val="002E6CFC"/>
    <w:rsid w:val="002E6DD1"/>
    <w:rsid w:val="002E6E2D"/>
    <w:rsid w:val="002E6EB6"/>
    <w:rsid w:val="002E7415"/>
    <w:rsid w:val="002E799F"/>
    <w:rsid w:val="002F04A2"/>
    <w:rsid w:val="002F08D8"/>
    <w:rsid w:val="002F09D0"/>
    <w:rsid w:val="002F09D1"/>
    <w:rsid w:val="002F0D21"/>
    <w:rsid w:val="002F1698"/>
    <w:rsid w:val="002F1AA1"/>
    <w:rsid w:val="002F1AD4"/>
    <w:rsid w:val="002F1B19"/>
    <w:rsid w:val="002F1CAB"/>
    <w:rsid w:val="002F1E7C"/>
    <w:rsid w:val="002F1FFA"/>
    <w:rsid w:val="002F2028"/>
    <w:rsid w:val="002F204F"/>
    <w:rsid w:val="002F22B7"/>
    <w:rsid w:val="002F2314"/>
    <w:rsid w:val="002F281B"/>
    <w:rsid w:val="002F291F"/>
    <w:rsid w:val="002F2A40"/>
    <w:rsid w:val="002F2C3B"/>
    <w:rsid w:val="002F2C6B"/>
    <w:rsid w:val="002F3186"/>
    <w:rsid w:val="002F3284"/>
    <w:rsid w:val="002F34E0"/>
    <w:rsid w:val="002F356A"/>
    <w:rsid w:val="002F3AEC"/>
    <w:rsid w:val="002F3CEE"/>
    <w:rsid w:val="002F3EAB"/>
    <w:rsid w:val="002F4078"/>
    <w:rsid w:val="002F4408"/>
    <w:rsid w:val="002F4872"/>
    <w:rsid w:val="002F4A35"/>
    <w:rsid w:val="002F4C08"/>
    <w:rsid w:val="002F5201"/>
    <w:rsid w:val="002F523D"/>
    <w:rsid w:val="002F5421"/>
    <w:rsid w:val="002F5473"/>
    <w:rsid w:val="002F557C"/>
    <w:rsid w:val="002F56A0"/>
    <w:rsid w:val="002F58A8"/>
    <w:rsid w:val="002F59F1"/>
    <w:rsid w:val="002F60F6"/>
    <w:rsid w:val="002F618A"/>
    <w:rsid w:val="002F6351"/>
    <w:rsid w:val="002F6354"/>
    <w:rsid w:val="002F65AB"/>
    <w:rsid w:val="002F67AA"/>
    <w:rsid w:val="002F6861"/>
    <w:rsid w:val="002F7233"/>
    <w:rsid w:val="002F77F3"/>
    <w:rsid w:val="002F7C64"/>
    <w:rsid w:val="002F7EA7"/>
    <w:rsid w:val="002F7F4F"/>
    <w:rsid w:val="00300023"/>
    <w:rsid w:val="00300301"/>
    <w:rsid w:val="0030033F"/>
    <w:rsid w:val="00300714"/>
    <w:rsid w:val="003008F8"/>
    <w:rsid w:val="00300932"/>
    <w:rsid w:val="00300A2F"/>
    <w:rsid w:val="00301247"/>
    <w:rsid w:val="00301475"/>
    <w:rsid w:val="00301686"/>
    <w:rsid w:val="00301819"/>
    <w:rsid w:val="00301C39"/>
    <w:rsid w:val="00301F6E"/>
    <w:rsid w:val="00302383"/>
    <w:rsid w:val="00302678"/>
    <w:rsid w:val="00302727"/>
    <w:rsid w:val="00302824"/>
    <w:rsid w:val="0030282B"/>
    <w:rsid w:val="003028D7"/>
    <w:rsid w:val="00303011"/>
    <w:rsid w:val="0030327D"/>
    <w:rsid w:val="0030359C"/>
    <w:rsid w:val="00303AE7"/>
    <w:rsid w:val="00303D23"/>
    <w:rsid w:val="00303D39"/>
    <w:rsid w:val="00304098"/>
    <w:rsid w:val="00304212"/>
    <w:rsid w:val="003044CC"/>
    <w:rsid w:val="003046FF"/>
    <w:rsid w:val="0030484F"/>
    <w:rsid w:val="00304872"/>
    <w:rsid w:val="00304905"/>
    <w:rsid w:val="00304931"/>
    <w:rsid w:val="00304980"/>
    <w:rsid w:val="00304D76"/>
    <w:rsid w:val="00304F2D"/>
    <w:rsid w:val="003050EA"/>
    <w:rsid w:val="003051D3"/>
    <w:rsid w:val="00305776"/>
    <w:rsid w:val="003059D8"/>
    <w:rsid w:val="00305AD1"/>
    <w:rsid w:val="00305CCA"/>
    <w:rsid w:val="00305D79"/>
    <w:rsid w:val="0030604D"/>
    <w:rsid w:val="003061CB"/>
    <w:rsid w:val="0030622C"/>
    <w:rsid w:val="003063A9"/>
    <w:rsid w:val="00306489"/>
    <w:rsid w:val="003069B2"/>
    <w:rsid w:val="00306C17"/>
    <w:rsid w:val="00306EE2"/>
    <w:rsid w:val="0030708B"/>
    <w:rsid w:val="003071DA"/>
    <w:rsid w:val="003072BE"/>
    <w:rsid w:val="003072D2"/>
    <w:rsid w:val="003074CD"/>
    <w:rsid w:val="00307915"/>
    <w:rsid w:val="0031077C"/>
    <w:rsid w:val="00310792"/>
    <w:rsid w:val="00310A1F"/>
    <w:rsid w:val="00310BE2"/>
    <w:rsid w:val="00310C2B"/>
    <w:rsid w:val="00310CC9"/>
    <w:rsid w:val="00310E23"/>
    <w:rsid w:val="003115CD"/>
    <w:rsid w:val="00311EB3"/>
    <w:rsid w:val="003120E4"/>
    <w:rsid w:val="003121A7"/>
    <w:rsid w:val="00312280"/>
    <w:rsid w:val="0031236C"/>
    <w:rsid w:val="003124AE"/>
    <w:rsid w:val="003128E5"/>
    <w:rsid w:val="00312B0C"/>
    <w:rsid w:val="00312E66"/>
    <w:rsid w:val="00313138"/>
    <w:rsid w:val="00313288"/>
    <w:rsid w:val="003132BD"/>
    <w:rsid w:val="00313708"/>
    <w:rsid w:val="00313948"/>
    <w:rsid w:val="0031395E"/>
    <w:rsid w:val="00313A16"/>
    <w:rsid w:val="00313B1E"/>
    <w:rsid w:val="00313B98"/>
    <w:rsid w:val="0031405E"/>
    <w:rsid w:val="003144E6"/>
    <w:rsid w:val="00314764"/>
    <w:rsid w:val="00314C95"/>
    <w:rsid w:val="00314DEB"/>
    <w:rsid w:val="00315089"/>
    <w:rsid w:val="00315325"/>
    <w:rsid w:val="00315368"/>
    <w:rsid w:val="00315641"/>
    <w:rsid w:val="003156B9"/>
    <w:rsid w:val="00315743"/>
    <w:rsid w:val="00315920"/>
    <w:rsid w:val="00315A8F"/>
    <w:rsid w:val="00315A9C"/>
    <w:rsid w:val="00315E9B"/>
    <w:rsid w:val="00315FCC"/>
    <w:rsid w:val="0031650F"/>
    <w:rsid w:val="00316537"/>
    <w:rsid w:val="003165E5"/>
    <w:rsid w:val="00316B11"/>
    <w:rsid w:val="00316B62"/>
    <w:rsid w:val="00316BA5"/>
    <w:rsid w:val="00316E78"/>
    <w:rsid w:val="00317017"/>
    <w:rsid w:val="0031713A"/>
    <w:rsid w:val="003172F2"/>
    <w:rsid w:val="003173B0"/>
    <w:rsid w:val="003173B8"/>
    <w:rsid w:val="0031755F"/>
    <w:rsid w:val="003175B2"/>
    <w:rsid w:val="00317708"/>
    <w:rsid w:val="00317959"/>
    <w:rsid w:val="00317BBD"/>
    <w:rsid w:val="0032020B"/>
    <w:rsid w:val="00320404"/>
    <w:rsid w:val="00320A05"/>
    <w:rsid w:val="00320D64"/>
    <w:rsid w:val="00320E63"/>
    <w:rsid w:val="00320E8F"/>
    <w:rsid w:val="003211CC"/>
    <w:rsid w:val="00321353"/>
    <w:rsid w:val="003215EE"/>
    <w:rsid w:val="003219AF"/>
    <w:rsid w:val="00321B0C"/>
    <w:rsid w:val="00321F91"/>
    <w:rsid w:val="003220F7"/>
    <w:rsid w:val="003221D5"/>
    <w:rsid w:val="0032270F"/>
    <w:rsid w:val="00322770"/>
    <w:rsid w:val="00322BF4"/>
    <w:rsid w:val="003231ED"/>
    <w:rsid w:val="00323296"/>
    <w:rsid w:val="003235B6"/>
    <w:rsid w:val="0032363D"/>
    <w:rsid w:val="003239B4"/>
    <w:rsid w:val="00323A9C"/>
    <w:rsid w:val="00323B09"/>
    <w:rsid w:val="00323B74"/>
    <w:rsid w:val="00323B86"/>
    <w:rsid w:val="00323DBF"/>
    <w:rsid w:val="00323DCE"/>
    <w:rsid w:val="00323DEF"/>
    <w:rsid w:val="00324109"/>
    <w:rsid w:val="00324138"/>
    <w:rsid w:val="003242BA"/>
    <w:rsid w:val="003243B6"/>
    <w:rsid w:val="003243EE"/>
    <w:rsid w:val="0032466E"/>
    <w:rsid w:val="00324836"/>
    <w:rsid w:val="00324A58"/>
    <w:rsid w:val="00324B85"/>
    <w:rsid w:val="00324CFD"/>
    <w:rsid w:val="00325067"/>
    <w:rsid w:val="003250E3"/>
    <w:rsid w:val="003251FD"/>
    <w:rsid w:val="0032527F"/>
    <w:rsid w:val="003255D2"/>
    <w:rsid w:val="0032572D"/>
    <w:rsid w:val="003257CF"/>
    <w:rsid w:val="00325827"/>
    <w:rsid w:val="00325C98"/>
    <w:rsid w:val="00325D0F"/>
    <w:rsid w:val="00325D18"/>
    <w:rsid w:val="00325E88"/>
    <w:rsid w:val="00325E9B"/>
    <w:rsid w:val="0032607B"/>
    <w:rsid w:val="0032659E"/>
    <w:rsid w:val="00326962"/>
    <w:rsid w:val="00326B5F"/>
    <w:rsid w:val="00326DA3"/>
    <w:rsid w:val="0032734C"/>
    <w:rsid w:val="00327386"/>
    <w:rsid w:val="00327B07"/>
    <w:rsid w:val="00330214"/>
    <w:rsid w:val="00330216"/>
    <w:rsid w:val="003304B8"/>
    <w:rsid w:val="00330746"/>
    <w:rsid w:val="00330C1D"/>
    <w:rsid w:val="00330C77"/>
    <w:rsid w:val="00330F0B"/>
    <w:rsid w:val="00330F9C"/>
    <w:rsid w:val="00330FAF"/>
    <w:rsid w:val="00331023"/>
    <w:rsid w:val="00331084"/>
    <w:rsid w:val="00331224"/>
    <w:rsid w:val="003312C2"/>
    <w:rsid w:val="003312CC"/>
    <w:rsid w:val="00331510"/>
    <w:rsid w:val="003316C5"/>
    <w:rsid w:val="003317B2"/>
    <w:rsid w:val="003319AD"/>
    <w:rsid w:val="00331C30"/>
    <w:rsid w:val="00331CC1"/>
    <w:rsid w:val="00331D1A"/>
    <w:rsid w:val="00332046"/>
    <w:rsid w:val="0033222E"/>
    <w:rsid w:val="003322A4"/>
    <w:rsid w:val="0033230E"/>
    <w:rsid w:val="00332319"/>
    <w:rsid w:val="00332560"/>
    <w:rsid w:val="003326B9"/>
    <w:rsid w:val="003327EA"/>
    <w:rsid w:val="00332A6D"/>
    <w:rsid w:val="00332AE3"/>
    <w:rsid w:val="00332F5C"/>
    <w:rsid w:val="00332FA7"/>
    <w:rsid w:val="00333170"/>
    <w:rsid w:val="003337D8"/>
    <w:rsid w:val="0033382B"/>
    <w:rsid w:val="00333AA0"/>
    <w:rsid w:val="00333B93"/>
    <w:rsid w:val="00333D53"/>
    <w:rsid w:val="00333FE3"/>
    <w:rsid w:val="003342B8"/>
    <w:rsid w:val="003346A0"/>
    <w:rsid w:val="00334A3C"/>
    <w:rsid w:val="00334BE1"/>
    <w:rsid w:val="00335084"/>
    <w:rsid w:val="00335423"/>
    <w:rsid w:val="00335796"/>
    <w:rsid w:val="00335A00"/>
    <w:rsid w:val="00335A08"/>
    <w:rsid w:val="00335B0D"/>
    <w:rsid w:val="00335B49"/>
    <w:rsid w:val="00335CA6"/>
    <w:rsid w:val="00335DF4"/>
    <w:rsid w:val="00335E22"/>
    <w:rsid w:val="00335ED4"/>
    <w:rsid w:val="00335EF1"/>
    <w:rsid w:val="0033609E"/>
    <w:rsid w:val="003360B1"/>
    <w:rsid w:val="003361C3"/>
    <w:rsid w:val="00336269"/>
    <w:rsid w:val="00336A3A"/>
    <w:rsid w:val="0033700D"/>
    <w:rsid w:val="0033708D"/>
    <w:rsid w:val="00337293"/>
    <w:rsid w:val="00337680"/>
    <w:rsid w:val="003379C2"/>
    <w:rsid w:val="003379D6"/>
    <w:rsid w:val="00337A39"/>
    <w:rsid w:val="00340027"/>
    <w:rsid w:val="0034045B"/>
    <w:rsid w:val="003406C4"/>
    <w:rsid w:val="003406E2"/>
    <w:rsid w:val="003406F9"/>
    <w:rsid w:val="00340CBC"/>
    <w:rsid w:val="00340E11"/>
    <w:rsid w:val="00341252"/>
    <w:rsid w:val="003413A7"/>
    <w:rsid w:val="003418F5"/>
    <w:rsid w:val="00341BC6"/>
    <w:rsid w:val="00341DBE"/>
    <w:rsid w:val="00341DCF"/>
    <w:rsid w:val="003420AF"/>
    <w:rsid w:val="00342169"/>
    <w:rsid w:val="00342434"/>
    <w:rsid w:val="00342C6F"/>
    <w:rsid w:val="00342E23"/>
    <w:rsid w:val="00343022"/>
    <w:rsid w:val="00343170"/>
    <w:rsid w:val="0034334A"/>
    <w:rsid w:val="003434F4"/>
    <w:rsid w:val="00343A25"/>
    <w:rsid w:val="00343EA1"/>
    <w:rsid w:val="00344144"/>
    <w:rsid w:val="0034423D"/>
    <w:rsid w:val="003445DA"/>
    <w:rsid w:val="003446E0"/>
    <w:rsid w:val="00344AF1"/>
    <w:rsid w:val="00344C63"/>
    <w:rsid w:val="00344C9F"/>
    <w:rsid w:val="0034502C"/>
    <w:rsid w:val="00345045"/>
    <w:rsid w:val="0034507F"/>
    <w:rsid w:val="0034554A"/>
    <w:rsid w:val="003456EF"/>
    <w:rsid w:val="0034592A"/>
    <w:rsid w:val="00345BBD"/>
    <w:rsid w:val="00345BC1"/>
    <w:rsid w:val="00345FAD"/>
    <w:rsid w:val="00346029"/>
    <w:rsid w:val="003463AD"/>
    <w:rsid w:val="00346B43"/>
    <w:rsid w:val="00346DC6"/>
    <w:rsid w:val="00347008"/>
    <w:rsid w:val="003470F8"/>
    <w:rsid w:val="0034728D"/>
    <w:rsid w:val="003472D4"/>
    <w:rsid w:val="003475E1"/>
    <w:rsid w:val="00347771"/>
    <w:rsid w:val="00347A03"/>
    <w:rsid w:val="00347E36"/>
    <w:rsid w:val="003502DA"/>
    <w:rsid w:val="003503E1"/>
    <w:rsid w:val="0035070F"/>
    <w:rsid w:val="0035078A"/>
    <w:rsid w:val="0035089E"/>
    <w:rsid w:val="00350E00"/>
    <w:rsid w:val="00350F7A"/>
    <w:rsid w:val="0035104B"/>
    <w:rsid w:val="00351593"/>
    <w:rsid w:val="003516C7"/>
    <w:rsid w:val="0035175A"/>
    <w:rsid w:val="00351A98"/>
    <w:rsid w:val="00351CCC"/>
    <w:rsid w:val="00351D7A"/>
    <w:rsid w:val="00351E65"/>
    <w:rsid w:val="00351F93"/>
    <w:rsid w:val="00352001"/>
    <w:rsid w:val="003520D9"/>
    <w:rsid w:val="003521AA"/>
    <w:rsid w:val="003521F6"/>
    <w:rsid w:val="003527A1"/>
    <w:rsid w:val="003529D0"/>
    <w:rsid w:val="00352AE6"/>
    <w:rsid w:val="00352FD3"/>
    <w:rsid w:val="003533F0"/>
    <w:rsid w:val="0035344A"/>
    <w:rsid w:val="0035356D"/>
    <w:rsid w:val="00353712"/>
    <w:rsid w:val="00353EC9"/>
    <w:rsid w:val="0035410B"/>
    <w:rsid w:val="003542E5"/>
    <w:rsid w:val="00354565"/>
    <w:rsid w:val="0035483B"/>
    <w:rsid w:val="00354A16"/>
    <w:rsid w:val="00354A93"/>
    <w:rsid w:val="00354BCE"/>
    <w:rsid w:val="00354C33"/>
    <w:rsid w:val="0035522C"/>
    <w:rsid w:val="00355252"/>
    <w:rsid w:val="0035593E"/>
    <w:rsid w:val="003559C1"/>
    <w:rsid w:val="00355A6C"/>
    <w:rsid w:val="00355BAD"/>
    <w:rsid w:val="00355C7E"/>
    <w:rsid w:val="00355DA6"/>
    <w:rsid w:val="00356353"/>
    <w:rsid w:val="00356536"/>
    <w:rsid w:val="00356584"/>
    <w:rsid w:val="003566E5"/>
    <w:rsid w:val="003567BD"/>
    <w:rsid w:val="003569E3"/>
    <w:rsid w:val="00356AE7"/>
    <w:rsid w:val="00356DE4"/>
    <w:rsid w:val="0035708D"/>
    <w:rsid w:val="00357330"/>
    <w:rsid w:val="003574B6"/>
    <w:rsid w:val="00357592"/>
    <w:rsid w:val="003578B8"/>
    <w:rsid w:val="00357B9A"/>
    <w:rsid w:val="00357C3E"/>
    <w:rsid w:val="00357FB1"/>
    <w:rsid w:val="00360053"/>
    <w:rsid w:val="003601A1"/>
    <w:rsid w:val="003606DB"/>
    <w:rsid w:val="003607A4"/>
    <w:rsid w:val="0036081C"/>
    <w:rsid w:val="00360858"/>
    <w:rsid w:val="00360D20"/>
    <w:rsid w:val="00361875"/>
    <w:rsid w:val="00361965"/>
    <w:rsid w:val="00361ABE"/>
    <w:rsid w:val="00361B1C"/>
    <w:rsid w:val="00361B56"/>
    <w:rsid w:val="00361C04"/>
    <w:rsid w:val="00361C55"/>
    <w:rsid w:val="00361C78"/>
    <w:rsid w:val="00361C8A"/>
    <w:rsid w:val="00361CE1"/>
    <w:rsid w:val="00361FEA"/>
    <w:rsid w:val="00362148"/>
    <w:rsid w:val="00362181"/>
    <w:rsid w:val="003621A6"/>
    <w:rsid w:val="003621CF"/>
    <w:rsid w:val="003625D6"/>
    <w:rsid w:val="00362DB5"/>
    <w:rsid w:val="00362EE8"/>
    <w:rsid w:val="003631F1"/>
    <w:rsid w:val="003632EA"/>
    <w:rsid w:val="00363325"/>
    <w:rsid w:val="00363581"/>
    <w:rsid w:val="0036366F"/>
    <w:rsid w:val="003636DB"/>
    <w:rsid w:val="003637A4"/>
    <w:rsid w:val="003638CF"/>
    <w:rsid w:val="00363E87"/>
    <w:rsid w:val="00363F4D"/>
    <w:rsid w:val="00364010"/>
    <w:rsid w:val="003642B3"/>
    <w:rsid w:val="003643D7"/>
    <w:rsid w:val="00364A40"/>
    <w:rsid w:val="003653AB"/>
    <w:rsid w:val="003655B6"/>
    <w:rsid w:val="003658D9"/>
    <w:rsid w:val="00365A7E"/>
    <w:rsid w:val="00365D40"/>
    <w:rsid w:val="00366007"/>
    <w:rsid w:val="0036602F"/>
    <w:rsid w:val="0036650F"/>
    <w:rsid w:val="00366976"/>
    <w:rsid w:val="00366B26"/>
    <w:rsid w:val="00366FBB"/>
    <w:rsid w:val="003670E2"/>
    <w:rsid w:val="00367108"/>
    <w:rsid w:val="00367351"/>
    <w:rsid w:val="003678AB"/>
    <w:rsid w:val="00367AD9"/>
    <w:rsid w:val="00367C2A"/>
    <w:rsid w:val="00367DB6"/>
    <w:rsid w:val="00367E5A"/>
    <w:rsid w:val="00367ED1"/>
    <w:rsid w:val="003705DB"/>
    <w:rsid w:val="0037076B"/>
    <w:rsid w:val="003707D3"/>
    <w:rsid w:val="00370A64"/>
    <w:rsid w:val="00370C0E"/>
    <w:rsid w:val="00370C96"/>
    <w:rsid w:val="003711C7"/>
    <w:rsid w:val="0037128F"/>
    <w:rsid w:val="00371579"/>
    <w:rsid w:val="003717A6"/>
    <w:rsid w:val="00371B81"/>
    <w:rsid w:val="00371C55"/>
    <w:rsid w:val="00371CCE"/>
    <w:rsid w:val="00372C69"/>
    <w:rsid w:val="00372C84"/>
    <w:rsid w:val="00372D6A"/>
    <w:rsid w:val="00372E75"/>
    <w:rsid w:val="00373400"/>
    <w:rsid w:val="0037376F"/>
    <w:rsid w:val="00373A7C"/>
    <w:rsid w:val="00373B73"/>
    <w:rsid w:val="00373C81"/>
    <w:rsid w:val="003740FB"/>
    <w:rsid w:val="00374B37"/>
    <w:rsid w:val="00374D68"/>
    <w:rsid w:val="00374DBF"/>
    <w:rsid w:val="00375088"/>
    <w:rsid w:val="0037548C"/>
    <w:rsid w:val="00375575"/>
    <w:rsid w:val="00375584"/>
    <w:rsid w:val="00375995"/>
    <w:rsid w:val="003759FA"/>
    <w:rsid w:val="00375B36"/>
    <w:rsid w:val="00375F0A"/>
    <w:rsid w:val="00376033"/>
    <w:rsid w:val="00376640"/>
    <w:rsid w:val="00376971"/>
    <w:rsid w:val="00377712"/>
    <w:rsid w:val="00377DC4"/>
    <w:rsid w:val="00377E63"/>
    <w:rsid w:val="00377E68"/>
    <w:rsid w:val="00377E8D"/>
    <w:rsid w:val="00380359"/>
    <w:rsid w:val="003803A5"/>
    <w:rsid w:val="003803AD"/>
    <w:rsid w:val="0038047A"/>
    <w:rsid w:val="00380614"/>
    <w:rsid w:val="00380641"/>
    <w:rsid w:val="00380923"/>
    <w:rsid w:val="00380A20"/>
    <w:rsid w:val="00380A79"/>
    <w:rsid w:val="00380C47"/>
    <w:rsid w:val="00380E3D"/>
    <w:rsid w:val="00380EA4"/>
    <w:rsid w:val="00380FCE"/>
    <w:rsid w:val="00381167"/>
    <w:rsid w:val="00381263"/>
    <w:rsid w:val="0038137A"/>
    <w:rsid w:val="00381A9A"/>
    <w:rsid w:val="00381C1C"/>
    <w:rsid w:val="0038207A"/>
    <w:rsid w:val="00382112"/>
    <w:rsid w:val="003824AE"/>
    <w:rsid w:val="00382535"/>
    <w:rsid w:val="00382587"/>
    <w:rsid w:val="0038262C"/>
    <w:rsid w:val="003826D6"/>
    <w:rsid w:val="003829EA"/>
    <w:rsid w:val="00382A5B"/>
    <w:rsid w:val="00382C85"/>
    <w:rsid w:val="0038361F"/>
    <w:rsid w:val="00383B71"/>
    <w:rsid w:val="00383B83"/>
    <w:rsid w:val="00383B95"/>
    <w:rsid w:val="00383CB3"/>
    <w:rsid w:val="00383D95"/>
    <w:rsid w:val="00384016"/>
    <w:rsid w:val="0038401D"/>
    <w:rsid w:val="003846A7"/>
    <w:rsid w:val="0038479C"/>
    <w:rsid w:val="00384805"/>
    <w:rsid w:val="0038493F"/>
    <w:rsid w:val="00384ADA"/>
    <w:rsid w:val="00384B81"/>
    <w:rsid w:val="0038538E"/>
    <w:rsid w:val="00385626"/>
    <w:rsid w:val="0038563B"/>
    <w:rsid w:val="003856D5"/>
    <w:rsid w:val="003858EE"/>
    <w:rsid w:val="00385930"/>
    <w:rsid w:val="003859BB"/>
    <w:rsid w:val="00385DDA"/>
    <w:rsid w:val="00386361"/>
    <w:rsid w:val="00386393"/>
    <w:rsid w:val="003864CD"/>
    <w:rsid w:val="0038696A"/>
    <w:rsid w:val="00386ADE"/>
    <w:rsid w:val="00386D6E"/>
    <w:rsid w:val="0038704C"/>
    <w:rsid w:val="00387327"/>
    <w:rsid w:val="0038741B"/>
    <w:rsid w:val="00387784"/>
    <w:rsid w:val="00387790"/>
    <w:rsid w:val="003878DD"/>
    <w:rsid w:val="00387B75"/>
    <w:rsid w:val="00387CA5"/>
    <w:rsid w:val="00387FE7"/>
    <w:rsid w:val="003900F6"/>
    <w:rsid w:val="00390215"/>
    <w:rsid w:val="00390324"/>
    <w:rsid w:val="00390BD5"/>
    <w:rsid w:val="00390C55"/>
    <w:rsid w:val="00390D30"/>
    <w:rsid w:val="003910F5"/>
    <w:rsid w:val="003912AE"/>
    <w:rsid w:val="003914A4"/>
    <w:rsid w:val="0039166F"/>
    <w:rsid w:val="00391692"/>
    <w:rsid w:val="00391C6E"/>
    <w:rsid w:val="00391ED8"/>
    <w:rsid w:val="0039238F"/>
    <w:rsid w:val="003924C9"/>
    <w:rsid w:val="0039254B"/>
    <w:rsid w:val="003928F6"/>
    <w:rsid w:val="00392A03"/>
    <w:rsid w:val="00392E1C"/>
    <w:rsid w:val="003934CB"/>
    <w:rsid w:val="0039391D"/>
    <w:rsid w:val="00393995"/>
    <w:rsid w:val="00393BC0"/>
    <w:rsid w:val="00393C5F"/>
    <w:rsid w:val="00393E16"/>
    <w:rsid w:val="00394079"/>
    <w:rsid w:val="00394141"/>
    <w:rsid w:val="003943CA"/>
    <w:rsid w:val="003943DA"/>
    <w:rsid w:val="003948B6"/>
    <w:rsid w:val="00394920"/>
    <w:rsid w:val="00394B0D"/>
    <w:rsid w:val="00394CF6"/>
    <w:rsid w:val="00394D0B"/>
    <w:rsid w:val="003952F2"/>
    <w:rsid w:val="003955A7"/>
    <w:rsid w:val="003956B6"/>
    <w:rsid w:val="0039570B"/>
    <w:rsid w:val="00395848"/>
    <w:rsid w:val="00395921"/>
    <w:rsid w:val="00395941"/>
    <w:rsid w:val="00395A66"/>
    <w:rsid w:val="00395A87"/>
    <w:rsid w:val="00395B4A"/>
    <w:rsid w:val="003960CA"/>
    <w:rsid w:val="00396139"/>
    <w:rsid w:val="00396176"/>
    <w:rsid w:val="0039620E"/>
    <w:rsid w:val="003962AC"/>
    <w:rsid w:val="00396368"/>
    <w:rsid w:val="0039649D"/>
    <w:rsid w:val="003967E5"/>
    <w:rsid w:val="00396853"/>
    <w:rsid w:val="0039690D"/>
    <w:rsid w:val="00396AE3"/>
    <w:rsid w:val="00396B30"/>
    <w:rsid w:val="00396C52"/>
    <w:rsid w:val="00396E5D"/>
    <w:rsid w:val="00396E5F"/>
    <w:rsid w:val="0039706C"/>
    <w:rsid w:val="003974EE"/>
    <w:rsid w:val="003977BB"/>
    <w:rsid w:val="00397CCD"/>
    <w:rsid w:val="00397F3B"/>
    <w:rsid w:val="00397FAA"/>
    <w:rsid w:val="003A0369"/>
    <w:rsid w:val="003A0542"/>
    <w:rsid w:val="003A07F1"/>
    <w:rsid w:val="003A0874"/>
    <w:rsid w:val="003A0AE4"/>
    <w:rsid w:val="003A0D21"/>
    <w:rsid w:val="003A0DE8"/>
    <w:rsid w:val="003A0E41"/>
    <w:rsid w:val="003A130D"/>
    <w:rsid w:val="003A16A4"/>
    <w:rsid w:val="003A1A63"/>
    <w:rsid w:val="003A1B1B"/>
    <w:rsid w:val="003A1E6B"/>
    <w:rsid w:val="003A27A2"/>
    <w:rsid w:val="003A2899"/>
    <w:rsid w:val="003A2B87"/>
    <w:rsid w:val="003A2C9A"/>
    <w:rsid w:val="003A2CB0"/>
    <w:rsid w:val="003A2E1B"/>
    <w:rsid w:val="003A2E20"/>
    <w:rsid w:val="003A2E81"/>
    <w:rsid w:val="003A2EB1"/>
    <w:rsid w:val="003A2F19"/>
    <w:rsid w:val="003A3196"/>
    <w:rsid w:val="003A4159"/>
    <w:rsid w:val="003A4415"/>
    <w:rsid w:val="003A44FE"/>
    <w:rsid w:val="003A46F8"/>
    <w:rsid w:val="003A4734"/>
    <w:rsid w:val="003A482D"/>
    <w:rsid w:val="003A48A7"/>
    <w:rsid w:val="003A48B3"/>
    <w:rsid w:val="003A4959"/>
    <w:rsid w:val="003A49BE"/>
    <w:rsid w:val="003A4BA2"/>
    <w:rsid w:val="003A4FD1"/>
    <w:rsid w:val="003A5141"/>
    <w:rsid w:val="003A5576"/>
    <w:rsid w:val="003A5A4B"/>
    <w:rsid w:val="003A5C33"/>
    <w:rsid w:val="003A5DD2"/>
    <w:rsid w:val="003A5DE8"/>
    <w:rsid w:val="003A5EAF"/>
    <w:rsid w:val="003A601F"/>
    <w:rsid w:val="003A61D6"/>
    <w:rsid w:val="003A62FD"/>
    <w:rsid w:val="003A67A6"/>
    <w:rsid w:val="003A68B3"/>
    <w:rsid w:val="003A6C42"/>
    <w:rsid w:val="003A720E"/>
    <w:rsid w:val="003A76C9"/>
    <w:rsid w:val="003A7720"/>
    <w:rsid w:val="003A7961"/>
    <w:rsid w:val="003A7966"/>
    <w:rsid w:val="003A7977"/>
    <w:rsid w:val="003A7A0D"/>
    <w:rsid w:val="003A7A1C"/>
    <w:rsid w:val="003A7BD4"/>
    <w:rsid w:val="003B004F"/>
    <w:rsid w:val="003B00A1"/>
    <w:rsid w:val="003B016B"/>
    <w:rsid w:val="003B05D4"/>
    <w:rsid w:val="003B08EF"/>
    <w:rsid w:val="003B0C59"/>
    <w:rsid w:val="003B109E"/>
    <w:rsid w:val="003B10C0"/>
    <w:rsid w:val="003B16FA"/>
    <w:rsid w:val="003B1817"/>
    <w:rsid w:val="003B1957"/>
    <w:rsid w:val="003B1A96"/>
    <w:rsid w:val="003B1AE1"/>
    <w:rsid w:val="003B1CDF"/>
    <w:rsid w:val="003B1EE8"/>
    <w:rsid w:val="003B1F3A"/>
    <w:rsid w:val="003B1F48"/>
    <w:rsid w:val="003B1F58"/>
    <w:rsid w:val="003B2098"/>
    <w:rsid w:val="003B21DD"/>
    <w:rsid w:val="003B259D"/>
    <w:rsid w:val="003B25A5"/>
    <w:rsid w:val="003B26DA"/>
    <w:rsid w:val="003B27CA"/>
    <w:rsid w:val="003B32B3"/>
    <w:rsid w:val="003B3815"/>
    <w:rsid w:val="003B3833"/>
    <w:rsid w:val="003B38AF"/>
    <w:rsid w:val="003B393F"/>
    <w:rsid w:val="003B3B49"/>
    <w:rsid w:val="003B3ED7"/>
    <w:rsid w:val="003B3FC9"/>
    <w:rsid w:val="003B4027"/>
    <w:rsid w:val="003B4135"/>
    <w:rsid w:val="003B41C5"/>
    <w:rsid w:val="003B4387"/>
    <w:rsid w:val="003B4560"/>
    <w:rsid w:val="003B458B"/>
    <w:rsid w:val="003B463A"/>
    <w:rsid w:val="003B466B"/>
    <w:rsid w:val="003B47A6"/>
    <w:rsid w:val="003B4B86"/>
    <w:rsid w:val="003B5112"/>
    <w:rsid w:val="003B51F9"/>
    <w:rsid w:val="003B525C"/>
    <w:rsid w:val="003B5374"/>
    <w:rsid w:val="003B5619"/>
    <w:rsid w:val="003B5658"/>
    <w:rsid w:val="003B5AB8"/>
    <w:rsid w:val="003B5E72"/>
    <w:rsid w:val="003B5FC3"/>
    <w:rsid w:val="003B61E8"/>
    <w:rsid w:val="003B664C"/>
    <w:rsid w:val="003B67AD"/>
    <w:rsid w:val="003B683F"/>
    <w:rsid w:val="003B6C76"/>
    <w:rsid w:val="003B6F61"/>
    <w:rsid w:val="003B6FCF"/>
    <w:rsid w:val="003B729A"/>
    <w:rsid w:val="003B731A"/>
    <w:rsid w:val="003B75CE"/>
    <w:rsid w:val="003B7619"/>
    <w:rsid w:val="003B76F7"/>
    <w:rsid w:val="003B7700"/>
    <w:rsid w:val="003C0102"/>
    <w:rsid w:val="003C0140"/>
    <w:rsid w:val="003C0392"/>
    <w:rsid w:val="003C0656"/>
    <w:rsid w:val="003C0BE8"/>
    <w:rsid w:val="003C0F64"/>
    <w:rsid w:val="003C105A"/>
    <w:rsid w:val="003C1303"/>
    <w:rsid w:val="003C1582"/>
    <w:rsid w:val="003C15AF"/>
    <w:rsid w:val="003C1811"/>
    <w:rsid w:val="003C1904"/>
    <w:rsid w:val="003C1A88"/>
    <w:rsid w:val="003C1BDE"/>
    <w:rsid w:val="003C1BE7"/>
    <w:rsid w:val="003C1C11"/>
    <w:rsid w:val="003C1C95"/>
    <w:rsid w:val="003C1F3B"/>
    <w:rsid w:val="003C20E1"/>
    <w:rsid w:val="003C213D"/>
    <w:rsid w:val="003C21BC"/>
    <w:rsid w:val="003C21C8"/>
    <w:rsid w:val="003C228F"/>
    <w:rsid w:val="003C2395"/>
    <w:rsid w:val="003C23D2"/>
    <w:rsid w:val="003C254B"/>
    <w:rsid w:val="003C26D4"/>
    <w:rsid w:val="003C289B"/>
    <w:rsid w:val="003C29D8"/>
    <w:rsid w:val="003C2B61"/>
    <w:rsid w:val="003C2F72"/>
    <w:rsid w:val="003C32C8"/>
    <w:rsid w:val="003C352D"/>
    <w:rsid w:val="003C36CE"/>
    <w:rsid w:val="003C36D0"/>
    <w:rsid w:val="003C371C"/>
    <w:rsid w:val="003C389F"/>
    <w:rsid w:val="003C3932"/>
    <w:rsid w:val="003C3AB5"/>
    <w:rsid w:val="003C3E85"/>
    <w:rsid w:val="003C3EC4"/>
    <w:rsid w:val="003C40B5"/>
    <w:rsid w:val="003C4137"/>
    <w:rsid w:val="003C428A"/>
    <w:rsid w:val="003C432F"/>
    <w:rsid w:val="003C463A"/>
    <w:rsid w:val="003C4781"/>
    <w:rsid w:val="003C4983"/>
    <w:rsid w:val="003C4BB6"/>
    <w:rsid w:val="003C4D0E"/>
    <w:rsid w:val="003C4DA8"/>
    <w:rsid w:val="003C4E4F"/>
    <w:rsid w:val="003C5064"/>
    <w:rsid w:val="003C5187"/>
    <w:rsid w:val="003C54E7"/>
    <w:rsid w:val="003C5507"/>
    <w:rsid w:val="003C574E"/>
    <w:rsid w:val="003C57BF"/>
    <w:rsid w:val="003C5880"/>
    <w:rsid w:val="003C5B32"/>
    <w:rsid w:val="003C5C90"/>
    <w:rsid w:val="003C5CA2"/>
    <w:rsid w:val="003C63F7"/>
    <w:rsid w:val="003C682B"/>
    <w:rsid w:val="003C6A7A"/>
    <w:rsid w:val="003C6BA4"/>
    <w:rsid w:val="003C6BD3"/>
    <w:rsid w:val="003C6C76"/>
    <w:rsid w:val="003C6D87"/>
    <w:rsid w:val="003C7188"/>
    <w:rsid w:val="003C7490"/>
    <w:rsid w:val="003C77F3"/>
    <w:rsid w:val="003C783C"/>
    <w:rsid w:val="003C78C8"/>
    <w:rsid w:val="003C7930"/>
    <w:rsid w:val="003C7B7C"/>
    <w:rsid w:val="003C7C76"/>
    <w:rsid w:val="003C7CBD"/>
    <w:rsid w:val="003C7E82"/>
    <w:rsid w:val="003C7E8D"/>
    <w:rsid w:val="003D02B2"/>
    <w:rsid w:val="003D05D5"/>
    <w:rsid w:val="003D0678"/>
    <w:rsid w:val="003D0829"/>
    <w:rsid w:val="003D08E4"/>
    <w:rsid w:val="003D110F"/>
    <w:rsid w:val="003D1569"/>
    <w:rsid w:val="003D1730"/>
    <w:rsid w:val="003D19D4"/>
    <w:rsid w:val="003D1B95"/>
    <w:rsid w:val="003D1E60"/>
    <w:rsid w:val="003D1FD5"/>
    <w:rsid w:val="003D203B"/>
    <w:rsid w:val="003D2AAA"/>
    <w:rsid w:val="003D2AC0"/>
    <w:rsid w:val="003D2D4E"/>
    <w:rsid w:val="003D35C9"/>
    <w:rsid w:val="003D3B01"/>
    <w:rsid w:val="003D414D"/>
    <w:rsid w:val="003D4476"/>
    <w:rsid w:val="003D44D8"/>
    <w:rsid w:val="003D44EC"/>
    <w:rsid w:val="003D4AE4"/>
    <w:rsid w:val="003D4DEB"/>
    <w:rsid w:val="003D5231"/>
    <w:rsid w:val="003D5544"/>
    <w:rsid w:val="003D560B"/>
    <w:rsid w:val="003D56C1"/>
    <w:rsid w:val="003D5979"/>
    <w:rsid w:val="003D5B46"/>
    <w:rsid w:val="003D5B57"/>
    <w:rsid w:val="003D5D30"/>
    <w:rsid w:val="003D5EA0"/>
    <w:rsid w:val="003D5EEF"/>
    <w:rsid w:val="003D60A7"/>
    <w:rsid w:val="003D6585"/>
    <w:rsid w:val="003D65C3"/>
    <w:rsid w:val="003D68BA"/>
    <w:rsid w:val="003D6F08"/>
    <w:rsid w:val="003D7558"/>
    <w:rsid w:val="003D7C1A"/>
    <w:rsid w:val="003D7D5A"/>
    <w:rsid w:val="003D7EB9"/>
    <w:rsid w:val="003D7ED8"/>
    <w:rsid w:val="003E00B5"/>
    <w:rsid w:val="003E0141"/>
    <w:rsid w:val="003E066E"/>
    <w:rsid w:val="003E0774"/>
    <w:rsid w:val="003E0786"/>
    <w:rsid w:val="003E07C5"/>
    <w:rsid w:val="003E0F73"/>
    <w:rsid w:val="003E11AA"/>
    <w:rsid w:val="003E131C"/>
    <w:rsid w:val="003E14F7"/>
    <w:rsid w:val="003E15DE"/>
    <w:rsid w:val="003E1CD8"/>
    <w:rsid w:val="003E1D23"/>
    <w:rsid w:val="003E239D"/>
    <w:rsid w:val="003E261A"/>
    <w:rsid w:val="003E27FA"/>
    <w:rsid w:val="003E28C5"/>
    <w:rsid w:val="003E2C11"/>
    <w:rsid w:val="003E2D95"/>
    <w:rsid w:val="003E2DA4"/>
    <w:rsid w:val="003E2FE9"/>
    <w:rsid w:val="003E313F"/>
    <w:rsid w:val="003E31D4"/>
    <w:rsid w:val="003E3444"/>
    <w:rsid w:val="003E3832"/>
    <w:rsid w:val="003E39DA"/>
    <w:rsid w:val="003E3E1C"/>
    <w:rsid w:val="003E400C"/>
    <w:rsid w:val="003E41B5"/>
    <w:rsid w:val="003E4478"/>
    <w:rsid w:val="003E44E7"/>
    <w:rsid w:val="003E4855"/>
    <w:rsid w:val="003E4BB0"/>
    <w:rsid w:val="003E4C55"/>
    <w:rsid w:val="003E4D96"/>
    <w:rsid w:val="003E4DEC"/>
    <w:rsid w:val="003E500A"/>
    <w:rsid w:val="003E52B3"/>
    <w:rsid w:val="003E593D"/>
    <w:rsid w:val="003E5A33"/>
    <w:rsid w:val="003E5B28"/>
    <w:rsid w:val="003E600A"/>
    <w:rsid w:val="003E626C"/>
    <w:rsid w:val="003E6282"/>
    <w:rsid w:val="003E6685"/>
    <w:rsid w:val="003E6DEB"/>
    <w:rsid w:val="003E7067"/>
    <w:rsid w:val="003E759E"/>
    <w:rsid w:val="003E78EA"/>
    <w:rsid w:val="003E7D4D"/>
    <w:rsid w:val="003E7E0E"/>
    <w:rsid w:val="003E7E7D"/>
    <w:rsid w:val="003F003F"/>
    <w:rsid w:val="003F005F"/>
    <w:rsid w:val="003F027D"/>
    <w:rsid w:val="003F02B0"/>
    <w:rsid w:val="003F0413"/>
    <w:rsid w:val="003F08F5"/>
    <w:rsid w:val="003F0AEE"/>
    <w:rsid w:val="003F0AF8"/>
    <w:rsid w:val="003F0CC3"/>
    <w:rsid w:val="003F1156"/>
    <w:rsid w:val="003F1463"/>
    <w:rsid w:val="003F14D5"/>
    <w:rsid w:val="003F15C1"/>
    <w:rsid w:val="003F15D7"/>
    <w:rsid w:val="003F1987"/>
    <w:rsid w:val="003F19E3"/>
    <w:rsid w:val="003F1C8A"/>
    <w:rsid w:val="003F1C8F"/>
    <w:rsid w:val="003F2463"/>
    <w:rsid w:val="003F24AD"/>
    <w:rsid w:val="003F2709"/>
    <w:rsid w:val="003F275D"/>
    <w:rsid w:val="003F2C05"/>
    <w:rsid w:val="003F2DC6"/>
    <w:rsid w:val="003F3077"/>
    <w:rsid w:val="003F3425"/>
    <w:rsid w:val="003F3A21"/>
    <w:rsid w:val="003F3C39"/>
    <w:rsid w:val="003F3EB4"/>
    <w:rsid w:val="003F40D0"/>
    <w:rsid w:val="003F4498"/>
    <w:rsid w:val="003F4546"/>
    <w:rsid w:val="003F46A4"/>
    <w:rsid w:val="003F4A75"/>
    <w:rsid w:val="003F4AB9"/>
    <w:rsid w:val="003F4E2F"/>
    <w:rsid w:val="003F4E33"/>
    <w:rsid w:val="003F4E99"/>
    <w:rsid w:val="003F4EF4"/>
    <w:rsid w:val="003F4F3A"/>
    <w:rsid w:val="003F5061"/>
    <w:rsid w:val="003F5113"/>
    <w:rsid w:val="003F5161"/>
    <w:rsid w:val="003F52C2"/>
    <w:rsid w:val="003F52DC"/>
    <w:rsid w:val="003F53F2"/>
    <w:rsid w:val="003F54AE"/>
    <w:rsid w:val="003F5C99"/>
    <w:rsid w:val="003F5E19"/>
    <w:rsid w:val="003F605F"/>
    <w:rsid w:val="003F60DA"/>
    <w:rsid w:val="003F617A"/>
    <w:rsid w:val="003F63E5"/>
    <w:rsid w:val="003F6A48"/>
    <w:rsid w:val="003F6B96"/>
    <w:rsid w:val="003F6DA3"/>
    <w:rsid w:val="003F6DCE"/>
    <w:rsid w:val="003F6F3F"/>
    <w:rsid w:val="003F72F7"/>
    <w:rsid w:val="003F7489"/>
    <w:rsid w:val="003F75A9"/>
    <w:rsid w:val="003F760A"/>
    <w:rsid w:val="003F7AA7"/>
    <w:rsid w:val="003F7B09"/>
    <w:rsid w:val="003F7B30"/>
    <w:rsid w:val="003F7D11"/>
    <w:rsid w:val="003F7D7A"/>
    <w:rsid w:val="003F7E73"/>
    <w:rsid w:val="003F7F78"/>
    <w:rsid w:val="0040017B"/>
    <w:rsid w:val="00400234"/>
    <w:rsid w:val="004002AA"/>
    <w:rsid w:val="00400856"/>
    <w:rsid w:val="00400CFC"/>
    <w:rsid w:val="00400E1B"/>
    <w:rsid w:val="00400FA8"/>
    <w:rsid w:val="004010E0"/>
    <w:rsid w:val="00401401"/>
    <w:rsid w:val="0040198B"/>
    <w:rsid w:val="00401C14"/>
    <w:rsid w:val="00401C19"/>
    <w:rsid w:val="004020E1"/>
    <w:rsid w:val="004021E8"/>
    <w:rsid w:val="00402447"/>
    <w:rsid w:val="004028A9"/>
    <w:rsid w:val="004028CA"/>
    <w:rsid w:val="00402996"/>
    <w:rsid w:val="00402A33"/>
    <w:rsid w:val="00402AF5"/>
    <w:rsid w:val="00402EB5"/>
    <w:rsid w:val="00403073"/>
    <w:rsid w:val="0040355F"/>
    <w:rsid w:val="004035F2"/>
    <w:rsid w:val="0040383F"/>
    <w:rsid w:val="0040398E"/>
    <w:rsid w:val="00403B7E"/>
    <w:rsid w:val="00403D3A"/>
    <w:rsid w:val="00403F47"/>
    <w:rsid w:val="004043E0"/>
    <w:rsid w:val="00404500"/>
    <w:rsid w:val="00404816"/>
    <w:rsid w:val="00404D61"/>
    <w:rsid w:val="0040568C"/>
    <w:rsid w:val="0040571B"/>
    <w:rsid w:val="00405726"/>
    <w:rsid w:val="004057C5"/>
    <w:rsid w:val="00405865"/>
    <w:rsid w:val="00405A38"/>
    <w:rsid w:val="00405C29"/>
    <w:rsid w:val="00405CA2"/>
    <w:rsid w:val="00405EAB"/>
    <w:rsid w:val="00405F12"/>
    <w:rsid w:val="004060C9"/>
    <w:rsid w:val="00406353"/>
    <w:rsid w:val="00406382"/>
    <w:rsid w:val="00406741"/>
    <w:rsid w:val="00406793"/>
    <w:rsid w:val="00406927"/>
    <w:rsid w:val="00406ECB"/>
    <w:rsid w:val="0040701C"/>
    <w:rsid w:val="00407148"/>
    <w:rsid w:val="004071CC"/>
    <w:rsid w:val="00407270"/>
    <w:rsid w:val="00407C13"/>
    <w:rsid w:val="00407CF5"/>
    <w:rsid w:val="00407E97"/>
    <w:rsid w:val="00410303"/>
    <w:rsid w:val="00410388"/>
    <w:rsid w:val="004105E2"/>
    <w:rsid w:val="00410604"/>
    <w:rsid w:val="00410827"/>
    <w:rsid w:val="004108E9"/>
    <w:rsid w:val="00410CB8"/>
    <w:rsid w:val="00410D6C"/>
    <w:rsid w:val="00410DEA"/>
    <w:rsid w:val="00411189"/>
    <w:rsid w:val="0041174C"/>
    <w:rsid w:val="004118C7"/>
    <w:rsid w:val="00411980"/>
    <w:rsid w:val="00411F7A"/>
    <w:rsid w:val="00412175"/>
    <w:rsid w:val="00412AA3"/>
    <w:rsid w:val="00412B93"/>
    <w:rsid w:val="00412E08"/>
    <w:rsid w:val="00412FC6"/>
    <w:rsid w:val="00412FC8"/>
    <w:rsid w:val="00412FCF"/>
    <w:rsid w:val="004132AB"/>
    <w:rsid w:val="0041331C"/>
    <w:rsid w:val="00413348"/>
    <w:rsid w:val="00413632"/>
    <w:rsid w:val="004139C8"/>
    <w:rsid w:val="004139E0"/>
    <w:rsid w:val="00413A75"/>
    <w:rsid w:val="00413B22"/>
    <w:rsid w:val="00413DF8"/>
    <w:rsid w:val="0041402C"/>
    <w:rsid w:val="00414292"/>
    <w:rsid w:val="004144AA"/>
    <w:rsid w:val="00414507"/>
    <w:rsid w:val="0041465F"/>
    <w:rsid w:val="00414C7A"/>
    <w:rsid w:val="00414F3B"/>
    <w:rsid w:val="004150C2"/>
    <w:rsid w:val="004150D6"/>
    <w:rsid w:val="00415126"/>
    <w:rsid w:val="004152FB"/>
    <w:rsid w:val="0041561D"/>
    <w:rsid w:val="00415B7F"/>
    <w:rsid w:val="00415E22"/>
    <w:rsid w:val="00415F9B"/>
    <w:rsid w:val="004160B0"/>
    <w:rsid w:val="004162A0"/>
    <w:rsid w:val="00416332"/>
    <w:rsid w:val="0041647A"/>
    <w:rsid w:val="00416633"/>
    <w:rsid w:val="004168EC"/>
    <w:rsid w:val="00416946"/>
    <w:rsid w:val="00416A34"/>
    <w:rsid w:val="00416CE6"/>
    <w:rsid w:val="00416D6C"/>
    <w:rsid w:val="00416ED1"/>
    <w:rsid w:val="0041703A"/>
    <w:rsid w:val="00417080"/>
    <w:rsid w:val="004171CC"/>
    <w:rsid w:val="004171EB"/>
    <w:rsid w:val="00417427"/>
    <w:rsid w:val="004174B6"/>
    <w:rsid w:val="00417851"/>
    <w:rsid w:val="0041795F"/>
    <w:rsid w:val="00417A10"/>
    <w:rsid w:val="00417A2A"/>
    <w:rsid w:val="00417CB6"/>
    <w:rsid w:val="00417E13"/>
    <w:rsid w:val="00417E1A"/>
    <w:rsid w:val="00417E2B"/>
    <w:rsid w:val="0042023B"/>
    <w:rsid w:val="004202C0"/>
    <w:rsid w:val="00420AB7"/>
    <w:rsid w:val="00420B56"/>
    <w:rsid w:val="00420DF0"/>
    <w:rsid w:val="00421020"/>
    <w:rsid w:val="00421050"/>
    <w:rsid w:val="0042155B"/>
    <w:rsid w:val="00421560"/>
    <w:rsid w:val="004216F8"/>
    <w:rsid w:val="004217A4"/>
    <w:rsid w:val="004217B4"/>
    <w:rsid w:val="004218F1"/>
    <w:rsid w:val="00421CDD"/>
    <w:rsid w:val="00421DB5"/>
    <w:rsid w:val="00422864"/>
    <w:rsid w:val="00422A7F"/>
    <w:rsid w:val="00422B65"/>
    <w:rsid w:val="00422CD4"/>
    <w:rsid w:val="00422D4A"/>
    <w:rsid w:val="00422F1F"/>
    <w:rsid w:val="00423525"/>
    <w:rsid w:val="00423848"/>
    <w:rsid w:val="0042385F"/>
    <w:rsid w:val="0042389F"/>
    <w:rsid w:val="0042398A"/>
    <w:rsid w:val="00423ABA"/>
    <w:rsid w:val="00423EB8"/>
    <w:rsid w:val="00424054"/>
    <w:rsid w:val="0042435E"/>
    <w:rsid w:val="00424400"/>
    <w:rsid w:val="00424559"/>
    <w:rsid w:val="0042473B"/>
    <w:rsid w:val="00424B55"/>
    <w:rsid w:val="00424B65"/>
    <w:rsid w:val="00424B82"/>
    <w:rsid w:val="00424F60"/>
    <w:rsid w:val="00425055"/>
    <w:rsid w:val="00425191"/>
    <w:rsid w:val="0042522A"/>
    <w:rsid w:val="00425404"/>
    <w:rsid w:val="004257D9"/>
    <w:rsid w:val="00426201"/>
    <w:rsid w:val="00426202"/>
    <w:rsid w:val="00426260"/>
    <w:rsid w:val="004268B3"/>
    <w:rsid w:val="00426D12"/>
    <w:rsid w:val="004272B7"/>
    <w:rsid w:val="00427488"/>
    <w:rsid w:val="004275C5"/>
    <w:rsid w:val="0042769E"/>
    <w:rsid w:val="0042778A"/>
    <w:rsid w:val="00427B5A"/>
    <w:rsid w:val="00427B75"/>
    <w:rsid w:val="00427BC6"/>
    <w:rsid w:val="00427C0D"/>
    <w:rsid w:val="00427F08"/>
    <w:rsid w:val="00427F1A"/>
    <w:rsid w:val="00427F9A"/>
    <w:rsid w:val="00427FE0"/>
    <w:rsid w:val="00430242"/>
    <w:rsid w:val="00430514"/>
    <w:rsid w:val="00430864"/>
    <w:rsid w:val="004308BB"/>
    <w:rsid w:val="00430A72"/>
    <w:rsid w:val="00430AA3"/>
    <w:rsid w:val="00430EE7"/>
    <w:rsid w:val="00430EFF"/>
    <w:rsid w:val="004311D4"/>
    <w:rsid w:val="0043126E"/>
    <w:rsid w:val="00431608"/>
    <w:rsid w:val="004318B1"/>
    <w:rsid w:val="004319DD"/>
    <w:rsid w:val="00431A11"/>
    <w:rsid w:val="00431A16"/>
    <w:rsid w:val="00431BC0"/>
    <w:rsid w:val="00431C4A"/>
    <w:rsid w:val="0043204C"/>
    <w:rsid w:val="00432544"/>
    <w:rsid w:val="00432839"/>
    <w:rsid w:val="00432A26"/>
    <w:rsid w:val="00432BA3"/>
    <w:rsid w:val="00432C99"/>
    <w:rsid w:val="00433339"/>
    <w:rsid w:val="00433446"/>
    <w:rsid w:val="0043345C"/>
    <w:rsid w:val="004334F3"/>
    <w:rsid w:val="00433699"/>
    <w:rsid w:val="004336C2"/>
    <w:rsid w:val="004336E6"/>
    <w:rsid w:val="00433946"/>
    <w:rsid w:val="00433C55"/>
    <w:rsid w:val="00433FAB"/>
    <w:rsid w:val="00433FE5"/>
    <w:rsid w:val="0043413D"/>
    <w:rsid w:val="00434260"/>
    <w:rsid w:val="004344D6"/>
    <w:rsid w:val="004345B4"/>
    <w:rsid w:val="0043474E"/>
    <w:rsid w:val="0043494C"/>
    <w:rsid w:val="00435138"/>
    <w:rsid w:val="00435274"/>
    <w:rsid w:val="0043527C"/>
    <w:rsid w:val="004354E6"/>
    <w:rsid w:val="00435A96"/>
    <w:rsid w:val="00435EB7"/>
    <w:rsid w:val="00435F63"/>
    <w:rsid w:val="0043612C"/>
    <w:rsid w:val="00436407"/>
    <w:rsid w:val="004366BA"/>
    <w:rsid w:val="00436856"/>
    <w:rsid w:val="00436A31"/>
    <w:rsid w:val="00436AC8"/>
    <w:rsid w:val="00436BCF"/>
    <w:rsid w:val="00437280"/>
    <w:rsid w:val="004376E5"/>
    <w:rsid w:val="0043785B"/>
    <w:rsid w:val="00437CE1"/>
    <w:rsid w:val="00437D54"/>
    <w:rsid w:val="00437D6F"/>
    <w:rsid w:val="00437E19"/>
    <w:rsid w:val="00437FDF"/>
    <w:rsid w:val="00440377"/>
    <w:rsid w:val="004406C7"/>
    <w:rsid w:val="004408C6"/>
    <w:rsid w:val="004408CA"/>
    <w:rsid w:val="004409B4"/>
    <w:rsid w:val="00440A3C"/>
    <w:rsid w:val="00440EEC"/>
    <w:rsid w:val="00440F69"/>
    <w:rsid w:val="0044150E"/>
    <w:rsid w:val="0044156C"/>
    <w:rsid w:val="00441A24"/>
    <w:rsid w:val="004422BF"/>
    <w:rsid w:val="0044252B"/>
    <w:rsid w:val="0044252E"/>
    <w:rsid w:val="00442722"/>
    <w:rsid w:val="004428A2"/>
    <w:rsid w:val="004429BF"/>
    <w:rsid w:val="00442EF8"/>
    <w:rsid w:val="0044306C"/>
    <w:rsid w:val="00443138"/>
    <w:rsid w:val="004435E2"/>
    <w:rsid w:val="0044360C"/>
    <w:rsid w:val="004437CF"/>
    <w:rsid w:val="00443A53"/>
    <w:rsid w:val="00443B54"/>
    <w:rsid w:val="00443B60"/>
    <w:rsid w:val="00443CE5"/>
    <w:rsid w:val="00443D48"/>
    <w:rsid w:val="00443EA5"/>
    <w:rsid w:val="00443ECF"/>
    <w:rsid w:val="00443F7B"/>
    <w:rsid w:val="00443FC4"/>
    <w:rsid w:val="00443FDF"/>
    <w:rsid w:val="0044414B"/>
    <w:rsid w:val="00444161"/>
    <w:rsid w:val="004441E8"/>
    <w:rsid w:val="004444A3"/>
    <w:rsid w:val="00444648"/>
    <w:rsid w:val="00444689"/>
    <w:rsid w:val="00444828"/>
    <w:rsid w:val="0044486D"/>
    <w:rsid w:val="00444A22"/>
    <w:rsid w:val="00444A25"/>
    <w:rsid w:val="00444AD9"/>
    <w:rsid w:val="004452A3"/>
    <w:rsid w:val="004452FF"/>
    <w:rsid w:val="004453B1"/>
    <w:rsid w:val="004455B7"/>
    <w:rsid w:val="004458FF"/>
    <w:rsid w:val="004459A0"/>
    <w:rsid w:val="00445B35"/>
    <w:rsid w:val="00445BC7"/>
    <w:rsid w:val="00445FA7"/>
    <w:rsid w:val="00446423"/>
    <w:rsid w:val="0044646A"/>
    <w:rsid w:val="004465C3"/>
    <w:rsid w:val="004469D9"/>
    <w:rsid w:val="00446BCB"/>
    <w:rsid w:val="00446CBD"/>
    <w:rsid w:val="00446DE0"/>
    <w:rsid w:val="00446E07"/>
    <w:rsid w:val="00447131"/>
    <w:rsid w:val="004471F8"/>
    <w:rsid w:val="00447331"/>
    <w:rsid w:val="00447459"/>
    <w:rsid w:val="004474DA"/>
    <w:rsid w:val="00447A8D"/>
    <w:rsid w:val="00447B5F"/>
    <w:rsid w:val="00447C1C"/>
    <w:rsid w:val="00447CAC"/>
    <w:rsid w:val="00450985"/>
    <w:rsid w:val="00450AB7"/>
    <w:rsid w:val="00450AD9"/>
    <w:rsid w:val="00450BEB"/>
    <w:rsid w:val="00450E5D"/>
    <w:rsid w:val="00451799"/>
    <w:rsid w:val="0045179B"/>
    <w:rsid w:val="004518D6"/>
    <w:rsid w:val="00451BC7"/>
    <w:rsid w:val="00451C09"/>
    <w:rsid w:val="00451C1C"/>
    <w:rsid w:val="00451EDB"/>
    <w:rsid w:val="004521D9"/>
    <w:rsid w:val="00452349"/>
    <w:rsid w:val="004523F4"/>
    <w:rsid w:val="00452A6C"/>
    <w:rsid w:val="00452AEB"/>
    <w:rsid w:val="00452AEE"/>
    <w:rsid w:val="00453153"/>
    <w:rsid w:val="00453190"/>
    <w:rsid w:val="004533EA"/>
    <w:rsid w:val="0045388A"/>
    <w:rsid w:val="004544BE"/>
    <w:rsid w:val="00454849"/>
    <w:rsid w:val="00454853"/>
    <w:rsid w:val="0045487F"/>
    <w:rsid w:val="00454AD2"/>
    <w:rsid w:val="00454FC7"/>
    <w:rsid w:val="00455162"/>
    <w:rsid w:val="0045528B"/>
    <w:rsid w:val="004552DA"/>
    <w:rsid w:val="00455334"/>
    <w:rsid w:val="0045589A"/>
    <w:rsid w:val="00455C2A"/>
    <w:rsid w:val="00455E95"/>
    <w:rsid w:val="00455F36"/>
    <w:rsid w:val="00456293"/>
    <w:rsid w:val="004565CC"/>
    <w:rsid w:val="00456747"/>
    <w:rsid w:val="00456C70"/>
    <w:rsid w:val="00456D96"/>
    <w:rsid w:val="004573ED"/>
    <w:rsid w:val="0045742F"/>
    <w:rsid w:val="0045750B"/>
    <w:rsid w:val="004575EA"/>
    <w:rsid w:val="0045790B"/>
    <w:rsid w:val="00457A7E"/>
    <w:rsid w:val="00457C40"/>
    <w:rsid w:val="004602D7"/>
    <w:rsid w:val="00460340"/>
    <w:rsid w:val="00460591"/>
    <w:rsid w:val="00460744"/>
    <w:rsid w:val="00460953"/>
    <w:rsid w:val="00460962"/>
    <w:rsid w:val="00460B0A"/>
    <w:rsid w:val="00460BA2"/>
    <w:rsid w:val="00461021"/>
    <w:rsid w:val="0046124E"/>
    <w:rsid w:val="00461780"/>
    <w:rsid w:val="00461873"/>
    <w:rsid w:val="00461B6E"/>
    <w:rsid w:val="00461BD1"/>
    <w:rsid w:val="00461F43"/>
    <w:rsid w:val="00462067"/>
    <w:rsid w:val="004620CE"/>
    <w:rsid w:val="00462725"/>
    <w:rsid w:val="004627F5"/>
    <w:rsid w:val="00462BD8"/>
    <w:rsid w:val="00462BE9"/>
    <w:rsid w:val="00462C9C"/>
    <w:rsid w:val="00462DAD"/>
    <w:rsid w:val="00462FC9"/>
    <w:rsid w:val="0046324A"/>
    <w:rsid w:val="00463556"/>
    <w:rsid w:val="004636DA"/>
    <w:rsid w:val="00463799"/>
    <w:rsid w:val="00463BA4"/>
    <w:rsid w:val="00463E83"/>
    <w:rsid w:val="00463FFD"/>
    <w:rsid w:val="004640B4"/>
    <w:rsid w:val="00464208"/>
    <w:rsid w:val="0046433B"/>
    <w:rsid w:val="00464449"/>
    <w:rsid w:val="00464881"/>
    <w:rsid w:val="00464962"/>
    <w:rsid w:val="004651BD"/>
    <w:rsid w:val="0046531B"/>
    <w:rsid w:val="00465362"/>
    <w:rsid w:val="004654A2"/>
    <w:rsid w:val="00465543"/>
    <w:rsid w:val="004655E7"/>
    <w:rsid w:val="00465701"/>
    <w:rsid w:val="0046585B"/>
    <w:rsid w:val="004658DB"/>
    <w:rsid w:val="00465943"/>
    <w:rsid w:val="00465D65"/>
    <w:rsid w:val="00466035"/>
    <w:rsid w:val="004663A5"/>
    <w:rsid w:val="004669CF"/>
    <w:rsid w:val="00466C53"/>
    <w:rsid w:val="004672CA"/>
    <w:rsid w:val="0046755C"/>
    <w:rsid w:val="00467AC2"/>
    <w:rsid w:val="00467ADC"/>
    <w:rsid w:val="00467C8A"/>
    <w:rsid w:val="00467CA0"/>
    <w:rsid w:val="00467E0B"/>
    <w:rsid w:val="00467F91"/>
    <w:rsid w:val="004706DE"/>
    <w:rsid w:val="0047071F"/>
    <w:rsid w:val="0047087D"/>
    <w:rsid w:val="00470930"/>
    <w:rsid w:val="00470A5F"/>
    <w:rsid w:val="00470ADF"/>
    <w:rsid w:val="00470BDD"/>
    <w:rsid w:val="00470BEA"/>
    <w:rsid w:val="00470CEB"/>
    <w:rsid w:val="00470DD0"/>
    <w:rsid w:val="00470F4A"/>
    <w:rsid w:val="00471103"/>
    <w:rsid w:val="00471241"/>
    <w:rsid w:val="00471363"/>
    <w:rsid w:val="00471429"/>
    <w:rsid w:val="004714D5"/>
    <w:rsid w:val="0047169C"/>
    <w:rsid w:val="0047173B"/>
    <w:rsid w:val="0047188E"/>
    <w:rsid w:val="00471DBD"/>
    <w:rsid w:val="00471DD0"/>
    <w:rsid w:val="00471E13"/>
    <w:rsid w:val="00471F21"/>
    <w:rsid w:val="0047238C"/>
    <w:rsid w:val="0047260B"/>
    <w:rsid w:val="004728A9"/>
    <w:rsid w:val="00472977"/>
    <w:rsid w:val="00472999"/>
    <w:rsid w:val="00472A20"/>
    <w:rsid w:val="00472E05"/>
    <w:rsid w:val="00472E09"/>
    <w:rsid w:val="004732AC"/>
    <w:rsid w:val="00473735"/>
    <w:rsid w:val="00473AA3"/>
    <w:rsid w:val="00473B02"/>
    <w:rsid w:val="00473EEF"/>
    <w:rsid w:val="004742B4"/>
    <w:rsid w:val="004744B3"/>
    <w:rsid w:val="004747A8"/>
    <w:rsid w:val="00474AFE"/>
    <w:rsid w:val="00474FD9"/>
    <w:rsid w:val="00475053"/>
    <w:rsid w:val="00475213"/>
    <w:rsid w:val="00475270"/>
    <w:rsid w:val="0047564E"/>
    <w:rsid w:val="00475B81"/>
    <w:rsid w:val="00475D49"/>
    <w:rsid w:val="00475D4A"/>
    <w:rsid w:val="00476039"/>
    <w:rsid w:val="0047625E"/>
    <w:rsid w:val="004762DE"/>
    <w:rsid w:val="00476357"/>
    <w:rsid w:val="0047643F"/>
    <w:rsid w:val="00476B0E"/>
    <w:rsid w:val="00476BFE"/>
    <w:rsid w:val="00476DE0"/>
    <w:rsid w:val="00477299"/>
    <w:rsid w:val="004774AB"/>
    <w:rsid w:val="00477854"/>
    <w:rsid w:val="004778D7"/>
    <w:rsid w:val="00477AB6"/>
    <w:rsid w:val="00477C67"/>
    <w:rsid w:val="00477DB0"/>
    <w:rsid w:val="00477EFC"/>
    <w:rsid w:val="0048023E"/>
    <w:rsid w:val="004805B6"/>
    <w:rsid w:val="00480604"/>
    <w:rsid w:val="0048073B"/>
    <w:rsid w:val="00480820"/>
    <w:rsid w:val="00481096"/>
    <w:rsid w:val="00481252"/>
    <w:rsid w:val="004813BB"/>
    <w:rsid w:val="004815DB"/>
    <w:rsid w:val="00481A61"/>
    <w:rsid w:val="00482043"/>
    <w:rsid w:val="004822ED"/>
    <w:rsid w:val="0048237D"/>
    <w:rsid w:val="0048245E"/>
    <w:rsid w:val="00482683"/>
    <w:rsid w:val="00482A2F"/>
    <w:rsid w:val="00482BCC"/>
    <w:rsid w:val="00482C6A"/>
    <w:rsid w:val="00482CCD"/>
    <w:rsid w:val="00482E42"/>
    <w:rsid w:val="00482E76"/>
    <w:rsid w:val="00482FCA"/>
    <w:rsid w:val="0048309C"/>
    <w:rsid w:val="00483308"/>
    <w:rsid w:val="00483594"/>
    <w:rsid w:val="00483B8A"/>
    <w:rsid w:val="00483F51"/>
    <w:rsid w:val="004842C2"/>
    <w:rsid w:val="004844AA"/>
    <w:rsid w:val="0048484C"/>
    <w:rsid w:val="004849BD"/>
    <w:rsid w:val="00484B8F"/>
    <w:rsid w:val="00484B95"/>
    <w:rsid w:val="00484BE7"/>
    <w:rsid w:val="00484D41"/>
    <w:rsid w:val="00484D66"/>
    <w:rsid w:val="00484D79"/>
    <w:rsid w:val="004855A1"/>
    <w:rsid w:val="0048590A"/>
    <w:rsid w:val="00485A5C"/>
    <w:rsid w:val="00485BAF"/>
    <w:rsid w:val="00486872"/>
    <w:rsid w:val="00486A53"/>
    <w:rsid w:val="00486CE0"/>
    <w:rsid w:val="00486E6C"/>
    <w:rsid w:val="00486F02"/>
    <w:rsid w:val="00486F75"/>
    <w:rsid w:val="004870EF"/>
    <w:rsid w:val="00487210"/>
    <w:rsid w:val="004873C0"/>
    <w:rsid w:val="0048743A"/>
    <w:rsid w:val="00487511"/>
    <w:rsid w:val="00487DC3"/>
    <w:rsid w:val="00487E8C"/>
    <w:rsid w:val="00487EE7"/>
    <w:rsid w:val="00490176"/>
    <w:rsid w:val="004904C4"/>
    <w:rsid w:val="00490889"/>
    <w:rsid w:val="00490F56"/>
    <w:rsid w:val="00490FA4"/>
    <w:rsid w:val="004911CB"/>
    <w:rsid w:val="0049136F"/>
    <w:rsid w:val="00491440"/>
    <w:rsid w:val="00491629"/>
    <w:rsid w:val="0049169D"/>
    <w:rsid w:val="004916E8"/>
    <w:rsid w:val="004917DF"/>
    <w:rsid w:val="00491856"/>
    <w:rsid w:val="00491861"/>
    <w:rsid w:val="00491CD4"/>
    <w:rsid w:val="00491E9D"/>
    <w:rsid w:val="00492241"/>
    <w:rsid w:val="00492491"/>
    <w:rsid w:val="0049262F"/>
    <w:rsid w:val="0049280B"/>
    <w:rsid w:val="004929C5"/>
    <w:rsid w:val="00492D9B"/>
    <w:rsid w:val="00492DDE"/>
    <w:rsid w:val="00492FC4"/>
    <w:rsid w:val="00493093"/>
    <w:rsid w:val="004930BB"/>
    <w:rsid w:val="00493313"/>
    <w:rsid w:val="004933EA"/>
    <w:rsid w:val="0049340C"/>
    <w:rsid w:val="004934EB"/>
    <w:rsid w:val="00493700"/>
    <w:rsid w:val="0049387F"/>
    <w:rsid w:val="0049415D"/>
    <w:rsid w:val="0049451C"/>
    <w:rsid w:val="0049468D"/>
    <w:rsid w:val="004946B8"/>
    <w:rsid w:val="004947B6"/>
    <w:rsid w:val="00494A87"/>
    <w:rsid w:val="00494C98"/>
    <w:rsid w:val="00494E56"/>
    <w:rsid w:val="00495133"/>
    <w:rsid w:val="004953AD"/>
    <w:rsid w:val="004955D8"/>
    <w:rsid w:val="00495631"/>
    <w:rsid w:val="0049575F"/>
    <w:rsid w:val="00495772"/>
    <w:rsid w:val="0049579D"/>
    <w:rsid w:val="0049596E"/>
    <w:rsid w:val="004959AE"/>
    <w:rsid w:val="00495AB0"/>
    <w:rsid w:val="00495AC9"/>
    <w:rsid w:val="00495D4B"/>
    <w:rsid w:val="00495F79"/>
    <w:rsid w:val="0049603E"/>
    <w:rsid w:val="004961D6"/>
    <w:rsid w:val="0049633D"/>
    <w:rsid w:val="004964C5"/>
    <w:rsid w:val="00496536"/>
    <w:rsid w:val="0049656E"/>
    <w:rsid w:val="00496B4F"/>
    <w:rsid w:val="00496E27"/>
    <w:rsid w:val="00497013"/>
    <w:rsid w:val="00497133"/>
    <w:rsid w:val="004971D7"/>
    <w:rsid w:val="0049744F"/>
    <w:rsid w:val="004977A3"/>
    <w:rsid w:val="00497CDA"/>
    <w:rsid w:val="00497E45"/>
    <w:rsid w:val="00497E4F"/>
    <w:rsid w:val="004A037A"/>
    <w:rsid w:val="004A0380"/>
    <w:rsid w:val="004A04EE"/>
    <w:rsid w:val="004A058F"/>
    <w:rsid w:val="004A0833"/>
    <w:rsid w:val="004A0920"/>
    <w:rsid w:val="004A0C03"/>
    <w:rsid w:val="004A0D7F"/>
    <w:rsid w:val="004A0DC5"/>
    <w:rsid w:val="004A0EA7"/>
    <w:rsid w:val="004A11BD"/>
    <w:rsid w:val="004A12E2"/>
    <w:rsid w:val="004A1334"/>
    <w:rsid w:val="004A15BF"/>
    <w:rsid w:val="004A1672"/>
    <w:rsid w:val="004A189C"/>
    <w:rsid w:val="004A1AD6"/>
    <w:rsid w:val="004A1C5E"/>
    <w:rsid w:val="004A214E"/>
    <w:rsid w:val="004A2238"/>
    <w:rsid w:val="004A225C"/>
    <w:rsid w:val="004A27AE"/>
    <w:rsid w:val="004A27B6"/>
    <w:rsid w:val="004A2832"/>
    <w:rsid w:val="004A2881"/>
    <w:rsid w:val="004A2CBF"/>
    <w:rsid w:val="004A2EA6"/>
    <w:rsid w:val="004A3667"/>
    <w:rsid w:val="004A366F"/>
    <w:rsid w:val="004A36F6"/>
    <w:rsid w:val="004A3827"/>
    <w:rsid w:val="004A38A9"/>
    <w:rsid w:val="004A3AA5"/>
    <w:rsid w:val="004A3D00"/>
    <w:rsid w:val="004A4149"/>
    <w:rsid w:val="004A452F"/>
    <w:rsid w:val="004A4655"/>
    <w:rsid w:val="004A48AE"/>
    <w:rsid w:val="004A4D7A"/>
    <w:rsid w:val="004A4F14"/>
    <w:rsid w:val="004A4F1C"/>
    <w:rsid w:val="004A4FCD"/>
    <w:rsid w:val="004A51E7"/>
    <w:rsid w:val="004A5313"/>
    <w:rsid w:val="004A5416"/>
    <w:rsid w:val="004A550C"/>
    <w:rsid w:val="004A5516"/>
    <w:rsid w:val="004A58D2"/>
    <w:rsid w:val="004A5904"/>
    <w:rsid w:val="004A591D"/>
    <w:rsid w:val="004A5F9D"/>
    <w:rsid w:val="004A6123"/>
    <w:rsid w:val="004A6175"/>
    <w:rsid w:val="004A67A0"/>
    <w:rsid w:val="004A67BC"/>
    <w:rsid w:val="004A6835"/>
    <w:rsid w:val="004A68B2"/>
    <w:rsid w:val="004A6AFF"/>
    <w:rsid w:val="004A6E24"/>
    <w:rsid w:val="004A6F07"/>
    <w:rsid w:val="004A7176"/>
    <w:rsid w:val="004A72CD"/>
    <w:rsid w:val="004A73FF"/>
    <w:rsid w:val="004A74F5"/>
    <w:rsid w:val="004A7517"/>
    <w:rsid w:val="004A76E6"/>
    <w:rsid w:val="004A7734"/>
    <w:rsid w:val="004A794D"/>
    <w:rsid w:val="004A7B59"/>
    <w:rsid w:val="004A7D8E"/>
    <w:rsid w:val="004A7E5D"/>
    <w:rsid w:val="004B00AB"/>
    <w:rsid w:val="004B03B8"/>
    <w:rsid w:val="004B03E8"/>
    <w:rsid w:val="004B0AF7"/>
    <w:rsid w:val="004B0BD6"/>
    <w:rsid w:val="004B0D86"/>
    <w:rsid w:val="004B10B0"/>
    <w:rsid w:val="004B125B"/>
    <w:rsid w:val="004B16E0"/>
    <w:rsid w:val="004B1E8A"/>
    <w:rsid w:val="004B1F0D"/>
    <w:rsid w:val="004B1F1F"/>
    <w:rsid w:val="004B22E8"/>
    <w:rsid w:val="004B27A2"/>
    <w:rsid w:val="004B2837"/>
    <w:rsid w:val="004B2B9D"/>
    <w:rsid w:val="004B2EDA"/>
    <w:rsid w:val="004B313E"/>
    <w:rsid w:val="004B32EE"/>
    <w:rsid w:val="004B330B"/>
    <w:rsid w:val="004B3752"/>
    <w:rsid w:val="004B379B"/>
    <w:rsid w:val="004B3C76"/>
    <w:rsid w:val="004B3DF8"/>
    <w:rsid w:val="004B419A"/>
    <w:rsid w:val="004B42C5"/>
    <w:rsid w:val="004B4376"/>
    <w:rsid w:val="004B45A3"/>
    <w:rsid w:val="004B4709"/>
    <w:rsid w:val="004B488F"/>
    <w:rsid w:val="004B536F"/>
    <w:rsid w:val="004B5796"/>
    <w:rsid w:val="004B5962"/>
    <w:rsid w:val="004B59DA"/>
    <w:rsid w:val="004B5BF6"/>
    <w:rsid w:val="004B5D94"/>
    <w:rsid w:val="004B5DE1"/>
    <w:rsid w:val="004B5F3E"/>
    <w:rsid w:val="004B60DA"/>
    <w:rsid w:val="004B6244"/>
    <w:rsid w:val="004B6452"/>
    <w:rsid w:val="004B66E5"/>
    <w:rsid w:val="004B6F06"/>
    <w:rsid w:val="004B706C"/>
    <w:rsid w:val="004B70D1"/>
    <w:rsid w:val="004B762D"/>
    <w:rsid w:val="004B789D"/>
    <w:rsid w:val="004B7D49"/>
    <w:rsid w:val="004B7E18"/>
    <w:rsid w:val="004B7F29"/>
    <w:rsid w:val="004B7F2F"/>
    <w:rsid w:val="004B7F69"/>
    <w:rsid w:val="004C00CC"/>
    <w:rsid w:val="004C0126"/>
    <w:rsid w:val="004C0225"/>
    <w:rsid w:val="004C0596"/>
    <w:rsid w:val="004C05BD"/>
    <w:rsid w:val="004C0619"/>
    <w:rsid w:val="004C066E"/>
    <w:rsid w:val="004C0956"/>
    <w:rsid w:val="004C0B4E"/>
    <w:rsid w:val="004C0CED"/>
    <w:rsid w:val="004C0E71"/>
    <w:rsid w:val="004C11D8"/>
    <w:rsid w:val="004C181A"/>
    <w:rsid w:val="004C194B"/>
    <w:rsid w:val="004C19C1"/>
    <w:rsid w:val="004C1BF2"/>
    <w:rsid w:val="004C22B6"/>
    <w:rsid w:val="004C263B"/>
    <w:rsid w:val="004C290B"/>
    <w:rsid w:val="004C2C33"/>
    <w:rsid w:val="004C2E9C"/>
    <w:rsid w:val="004C2FD7"/>
    <w:rsid w:val="004C2FE7"/>
    <w:rsid w:val="004C315B"/>
    <w:rsid w:val="004C3351"/>
    <w:rsid w:val="004C354F"/>
    <w:rsid w:val="004C38F9"/>
    <w:rsid w:val="004C3903"/>
    <w:rsid w:val="004C3D13"/>
    <w:rsid w:val="004C4253"/>
    <w:rsid w:val="004C4972"/>
    <w:rsid w:val="004C4A06"/>
    <w:rsid w:val="004C50AD"/>
    <w:rsid w:val="004C522E"/>
    <w:rsid w:val="004C53D7"/>
    <w:rsid w:val="004C5565"/>
    <w:rsid w:val="004C55FB"/>
    <w:rsid w:val="004C570A"/>
    <w:rsid w:val="004C57F2"/>
    <w:rsid w:val="004C594D"/>
    <w:rsid w:val="004C5C31"/>
    <w:rsid w:val="004C5C3A"/>
    <w:rsid w:val="004C5DDE"/>
    <w:rsid w:val="004C5E64"/>
    <w:rsid w:val="004C5E9A"/>
    <w:rsid w:val="004C6097"/>
    <w:rsid w:val="004C61E7"/>
    <w:rsid w:val="004C62D3"/>
    <w:rsid w:val="004C655C"/>
    <w:rsid w:val="004C6586"/>
    <w:rsid w:val="004C65BC"/>
    <w:rsid w:val="004C6643"/>
    <w:rsid w:val="004C67D5"/>
    <w:rsid w:val="004C6B8A"/>
    <w:rsid w:val="004C6D56"/>
    <w:rsid w:val="004C6D57"/>
    <w:rsid w:val="004C6E86"/>
    <w:rsid w:val="004C7455"/>
    <w:rsid w:val="004C7A12"/>
    <w:rsid w:val="004C7C0F"/>
    <w:rsid w:val="004D031F"/>
    <w:rsid w:val="004D058C"/>
    <w:rsid w:val="004D0A5B"/>
    <w:rsid w:val="004D0F33"/>
    <w:rsid w:val="004D0F5E"/>
    <w:rsid w:val="004D1045"/>
    <w:rsid w:val="004D1440"/>
    <w:rsid w:val="004D14A9"/>
    <w:rsid w:val="004D15F0"/>
    <w:rsid w:val="004D1618"/>
    <w:rsid w:val="004D16DD"/>
    <w:rsid w:val="004D185B"/>
    <w:rsid w:val="004D19EA"/>
    <w:rsid w:val="004D1AD2"/>
    <w:rsid w:val="004D1AEF"/>
    <w:rsid w:val="004D1B3E"/>
    <w:rsid w:val="004D1B77"/>
    <w:rsid w:val="004D1D4F"/>
    <w:rsid w:val="004D1D96"/>
    <w:rsid w:val="004D20E5"/>
    <w:rsid w:val="004D229F"/>
    <w:rsid w:val="004D2485"/>
    <w:rsid w:val="004D25F3"/>
    <w:rsid w:val="004D26A8"/>
    <w:rsid w:val="004D2828"/>
    <w:rsid w:val="004D28EC"/>
    <w:rsid w:val="004D2AF4"/>
    <w:rsid w:val="004D2B1D"/>
    <w:rsid w:val="004D2CA4"/>
    <w:rsid w:val="004D2D09"/>
    <w:rsid w:val="004D316E"/>
    <w:rsid w:val="004D327E"/>
    <w:rsid w:val="004D3894"/>
    <w:rsid w:val="004D3A89"/>
    <w:rsid w:val="004D3B8C"/>
    <w:rsid w:val="004D3DB6"/>
    <w:rsid w:val="004D3DBD"/>
    <w:rsid w:val="004D40A0"/>
    <w:rsid w:val="004D4112"/>
    <w:rsid w:val="004D45BD"/>
    <w:rsid w:val="004D4927"/>
    <w:rsid w:val="004D4F77"/>
    <w:rsid w:val="004D4FDD"/>
    <w:rsid w:val="004D5190"/>
    <w:rsid w:val="004D5249"/>
    <w:rsid w:val="004D5329"/>
    <w:rsid w:val="004D537A"/>
    <w:rsid w:val="004D5569"/>
    <w:rsid w:val="004D578A"/>
    <w:rsid w:val="004D59B5"/>
    <w:rsid w:val="004D5E83"/>
    <w:rsid w:val="004D5F7A"/>
    <w:rsid w:val="004D6036"/>
    <w:rsid w:val="004D618D"/>
    <w:rsid w:val="004D61CF"/>
    <w:rsid w:val="004D6759"/>
    <w:rsid w:val="004D6836"/>
    <w:rsid w:val="004D6B36"/>
    <w:rsid w:val="004D7014"/>
    <w:rsid w:val="004D7493"/>
    <w:rsid w:val="004D752D"/>
    <w:rsid w:val="004D75D9"/>
    <w:rsid w:val="004D769F"/>
    <w:rsid w:val="004D793A"/>
    <w:rsid w:val="004D7B60"/>
    <w:rsid w:val="004D7C09"/>
    <w:rsid w:val="004D7C79"/>
    <w:rsid w:val="004D7D87"/>
    <w:rsid w:val="004D7DE7"/>
    <w:rsid w:val="004D7EF2"/>
    <w:rsid w:val="004E0466"/>
    <w:rsid w:val="004E066C"/>
    <w:rsid w:val="004E0917"/>
    <w:rsid w:val="004E0EBC"/>
    <w:rsid w:val="004E0EE1"/>
    <w:rsid w:val="004E1664"/>
    <w:rsid w:val="004E1965"/>
    <w:rsid w:val="004E1A13"/>
    <w:rsid w:val="004E207D"/>
    <w:rsid w:val="004E210D"/>
    <w:rsid w:val="004E24B4"/>
    <w:rsid w:val="004E261A"/>
    <w:rsid w:val="004E2964"/>
    <w:rsid w:val="004E29C0"/>
    <w:rsid w:val="004E2AAE"/>
    <w:rsid w:val="004E2AC5"/>
    <w:rsid w:val="004E39F4"/>
    <w:rsid w:val="004E3A87"/>
    <w:rsid w:val="004E3FEF"/>
    <w:rsid w:val="004E44D5"/>
    <w:rsid w:val="004E5131"/>
    <w:rsid w:val="004E5174"/>
    <w:rsid w:val="004E5225"/>
    <w:rsid w:val="004E551C"/>
    <w:rsid w:val="004E562E"/>
    <w:rsid w:val="004E5DA1"/>
    <w:rsid w:val="004E630F"/>
    <w:rsid w:val="004E6432"/>
    <w:rsid w:val="004E6550"/>
    <w:rsid w:val="004E66DF"/>
    <w:rsid w:val="004E6926"/>
    <w:rsid w:val="004E6B5D"/>
    <w:rsid w:val="004E6CC6"/>
    <w:rsid w:val="004E6DF6"/>
    <w:rsid w:val="004E6F4A"/>
    <w:rsid w:val="004E7132"/>
    <w:rsid w:val="004E724E"/>
    <w:rsid w:val="004E7255"/>
    <w:rsid w:val="004E739E"/>
    <w:rsid w:val="004E7486"/>
    <w:rsid w:val="004E7561"/>
    <w:rsid w:val="004E76F5"/>
    <w:rsid w:val="004E785B"/>
    <w:rsid w:val="004E78D1"/>
    <w:rsid w:val="004E798A"/>
    <w:rsid w:val="004E7AE5"/>
    <w:rsid w:val="004E7C24"/>
    <w:rsid w:val="004E7CA5"/>
    <w:rsid w:val="004F00EA"/>
    <w:rsid w:val="004F0543"/>
    <w:rsid w:val="004F0925"/>
    <w:rsid w:val="004F09D8"/>
    <w:rsid w:val="004F0D87"/>
    <w:rsid w:val="004F111D"/>
    <w:rsid w:val="004F12B0"/>
    <w:rsid w:val="004F164E"/>
    <w:rsid w:val="004F16BF"/>
    <w:rsid w:val="004F18A8"/>
    <w:rsid w:val="004F1A57"/>
    <w:rsid w:val="004F1B9C"/>
    <w:rsid w:val="004F1C33"/>
    <w:rsid w:val="004F1E54"/>
    <w:rsid w:val="004F218C"/>
    <w:rsid w:val="004F2246"/>
    <w:rsid w:val="004F2822"/>
    <w:rsid w:val="004F28CB"/>
    <w:rsid w:val="004F2C06"/>
    <w:rsid w:val="004F2EFF"/>
    <w:rsid w:val="004F3108"/>
    <w:rsid w:val="004F32B0"/>
    <w:rsid w:val="004F33B2"/>
    <w:rsid w:val="004F35F7"/>
    <w:rsid w:val="004F374F"/>
    <w:rsid w:val="004F3BD2"/>
    <w:rsid w:val="004F3C47"/>
    <w:rsid w:val="004F3F19"/>
    <w:rsid w:val="004F422F"/>
    <w:rsid w:val="004F4799"/>
    <w:rsid w:val="004F485F"/>
    <w:rsid w:val="004F4C33"/>
    <w:rsid w:val="004F4F94"/>
    <w:rsid w:val="004F4FFB"/>
    <w:rsid w:val="004F50B4"/>
    <w:rsid w:val="004F54D3"/>
    <w:rsid w:val="004F5531"/>
    <w:rsid w:val="004F5609"/>
    <w:rsid w:val="004F576C"/>
    <w:rsid w:val="004F5CD2"/>
    <w:rsid w:val="004F5E91"/>
    <w:rsid w:val="004F5F59"/>
    <w:rsid w:val="004F5F8C"/>
    <w:rsid w:val="004F6512"/>
    <w:rsid w:val="004F6552"/>
    <w:rsid w:val="004F6560"/>
    <w:rsid w:val="004F66CC"/>
    <w:rsid w:val="004F6763"/>
    <w:rsid w:val="004F67F2"/>
    <w:rsid w:val="004F6820"/>
    <w:rsid w:val="004F6C69"/>
    <w:rsid w:val="004F6CB3"/>
    <w:rsid w:val="004F6D9E"/>
    <w:rsid w:val="004F6F67"/>
    <w:rsid w:val="004F74CC"/>
    <w:rsid w:val="004F754A"/>
    <w:rsid w:val="004F76C4"/>
    <w:rsid w:val="004F799E"/>
    <w:rsid w:val="004F7B46"/>
    <w:rsid w:val="004F7C68"/>
    <w:rsid w:val="005005EC"/>
    <w:rsid w:val="00500B4B"/>
    <w:rsid w:val="005010F5"/>
    <w:rsid w:val="0050124A"/>
    <w:rsid w:val="00501388"/>
    <w:rsid w:val="005016F5"/>
    <w:rsid w:val="00501728"/>
    <w:rsid w:val="0050181C"/>
    <w:rsid w:val="00501857"/>
    <w:rsid w:val="005019F7"/>
    <w:rsid w:val="00501D45"/>
    <w:rsid w:val="00501E93"/>
    <w:rsid w:val="00502056"/>
    <w:rsid w:val="005021EA"/>
    <w:rsid w:val="00502266"/>
    <w:rsid w:val="00502286"/>
    <w:rsid w:val="00502536"/>
    <w:rsid w:val="00502657"/>
    <w:rsid w:val="00502919"/>
    <w:rsid w:val="00502A97"/>
    <w:rsid w:val="00502B2D"/>
    <w:rsid w:val="00502DE7"/>
    <w:rsid w:val="00502F94"/>
    <w:rsid w:val="00503262"/>
    <w:rsid w:val="005033DC"/>
    <w:rsid w:val="00503559"/>
    <w:rsid w:val="005036B9"/>
    <w:rsid w:val="005038CB"/>
    <w:rsid w:val="00503B34"/>
    <w:rsid w:val="00503DA2"/>
    <w:rsid w:val="00503DFB"/>
    <w:rsid w:val="00503EB4"/>
    <w:rsid w:val="00503FB3"/>
    <w:rsid w:val="00504012"/>
    <w:rsid w:val="0050428F"/>
    <w:rsid w:val="005043E7"/>
    <w:rsid w:val="00504DAB"/>
    <w:rsid w:val="00504F70"/>
    <w:rsid w:val="00505022"/>
    <w:rsid w:val="00505475"/>
    <w:rsid w:val="00505481"/>
    <w:rsid w:val="005057B5"/>
    <w:rsid w:val="00505871"/>
    <w:rsid w:val="00505D3D"/>
    <w:rsid w:val="00506619"/>
    <w:rsid w:val="005068A7"/>
    <w:rsid w:val="00506B45"/>
    <w:rsid w:val="00506B7E"/>
    <w:rsid w:val="00506EC1"/>
    <w:rsid w:val="00506ED8"/>
    <w:rsid w:val="005071B7"/>
    <w:rsid w:val="0050722A"/>
    <w:rsid w:val="005072C2"/>
    <w:rsid w:val="00507721"/>
    <w:rsid w:val="005078C9"/>
    <w:rsid w:val="0050797A"/>
    <w:rsid w:val="00507ABC"/>
    <w:rsid w:val="00507BFE"/>
    <w:rsid w:val="00507E38"/>
    <w:rsid w:val="00510063"/>
    <w:rsid w:val="00510161"/>
    <w:rsid w:val="00510173"/>
    <w:rsid w:val="00510275"/>
    <w:rsid w:val="005102A3"/>
    <w:rsid w:val="0051044C"/>
    <w:rsid w:val="00510673"/>
    <w:rsid w:val="00510978"/>
    <w:rsid w:val="0051123D"/>
    <w:rsid w:val="005113A5"/>
    <w:rsid w:val="00511514"/>
    <w:rsid w:val="005116B8"/>
    <w:rsid w:val="005116CC"/>
    <w:rsid w:val="00511A02"/>
    <w:rsid w:val="00511C26"/>
    <w:rsid w:val="00512170"/>
    <w:rsid w:val="005121A9"/>
    <w:rsid w:val="0051223C"/>
    <w:rsid w:val="00512268"/>
    <w:rsid w:val="0051232E"/>
    <w:rsid w:val="005124C9"/>
    <w:rsid w:val="00512555"/>
    <w:rsid w:val="00512652"/>
    <w:rsid w:val="005127A1"/>
    <w:rsid w:val="00512A48"/>
    <w:rsid w:val="00512AF1"/>
    <w:rsid w:val="00512D52"/>
    <w:rsid w:val="00512D6D"/>
    <w:rsid w:val="00512ECA"/>
    <w:rsid w:val="00512F95"/>
    <w:rsid w:val="005130F1"/>
    <w:rsid w:val="00513173"/>
    <w:rsid w:val="005137D8"/>
    <w:rsid w:val="005138B6"/>
    <w:rsid w:val="005139BA"/>
    <w:rsid w:val="00513CCF"/>
    <w:rsid w:val="00513D3F"/>
    <w:rsid w:val="00513F67"/>
    <w:rsid w:val="005145A6"/>
    <w:rsid w:val="005145A9"/>
    <w:rsid w:val="00514622"/>
    <w:rsid w:val="0051472C"/>
    <w:rsid w:val="00514843"/>
    <w:rsid w:val="00514C00"/>
    <w:rsid w:val="00514CCE"/>
    <w:rsid w:val="005151EC"/>
    <w:rsid w:val="0051527A"/>
    <w:rsid w:val="00515323"/>
    <w:rsid w:val="005153EE"/>
    <w:rsid w:val="00515634"/>
    <w:rsid w:val="00515742"/>
    <w:rsid w:val="00515B3C"/>
    <w:rsid w:val="00515E0A"/>
    <w:rsid w:val="00515F48"/>
    <w:rsid w:val="00515F8E"/>
    <w:rsid w:val="00516527"/>
    <w:rsid w:val="00516F65"/>
    <w:rsid w:val="005170A1"/>
    <w:rsid w:val="00517186"/>
    <w:rsid w:val="005172DE"/>
    <w:rsid w:val="00517318"/>
    <w:rsid w:val="0051754D"/>
    <w:rsid w:val="00517611"/>
    <w:rsid w:val="00517936"/>
    <w:rsid w:val="00517967"/>
    <w:rsid w:val="00517BB2"/>
    <w:rsid w:val="00517C58"/>
    <w:rsid w:val="0052026D"/>
    <w:rsid w:val="00520300"/>
    <w:rsid w:val="00520305"/>
    <w:rsid w:val="0052040C"/>
    <w:rsid w:val="00520415"/>
    <w:rsid w:val="00520486"/>
    <w:rsid w:val="0052062A"/>
    <w:rsid w:val="005206C1"/>
    <w:rsid w:val="0052099F"/>
    <w:rsid w:val="005209C2"/>
    <w:rsid w:val="00521019"/>
    <w:rsid w:val="0052102D"/>
    <w:rsid w:val="00521045"/>
    <w:rsid w:val="00521703"/>
    <w:rsid w:val="0052171E"/>
    <w:rsid w:val="0052173A"/>
    <w:rsid w:val="005218D4"/>
    <w:rsid w:val="00521943"/>
    <w:rsid w:val="00521C26"/>
    <w:rsid w:val="00522251"/>
    <w:rsid w:val="00522354"/>
    <w:rsid w:val="005226C9"/>
    <w:rsid w:val="0052275A"/>
    <w:rsid w:val="00522A0D"/>
    <w:rsid w:val="00522A0F"/>
    <w:rsid w:val="005230D6"/>
    <w:rsid w:val="005232AF"/>
    <w:rsid w:val="0052366A"/>
    <w:rsid w:val="005239D6"/>
    <w:rsid w:val="00523A68"/>
    <w:rsid w:val="00523F3E"/>
    <w:rsid w:val="00523F4F"/>
    <w:rsid w:val="00523F51"/>
    <w:rsid w:val="0052406F"/>
    <w:rsid w:val="00524128"/>
    <w:rsid w:val="0052419D"/>
    <w:rsid w:val="00524460"/>
    <w:rsid w:val="00524516"/>
    <w:rsid w:val="0052461F"/>
    <w:rsid w:val="0052482B"/>
    <w:rsid w:val="00524991"/>
    <w:rsid w:val="005249E0"/>
    <w:rsid w:val="00524C9F"/>
    <w:rsid w:val="005250EC"/>
    <w:rsid w:val="005251D2"/>
    <w:rsid w:val="0052531A"/>
    <w:rsid w:val="0052560F"/>
    <w:rsid w:val="00525770"/>
    <w:rsid w:val="005258F8"/>
    <w:rsid w:val="005259D2"/>
    <w:rsid w:val="00525BCB"/>
    <w:rsid w:val="00525C02"/>
    <w:rsid w:val="00525D34"/>
    <w:rsid w:val="00525D70"/>
    <w:rsid w:val="00525F19"/>
    <w:rsid w:val="005261B9"/>
    <w:rsid w:val="005266CB"/>
    <w:rsid w:val="005266ED"/>
    <w:rsid w:val="00526958"/>
    <w:rsid w:val="00526AF6"/>
    <w:rsid w:val="00526BC8"/>
    <w:rsid w:val="00526CFE"/>
    <w:rsid w:val="00526E24"/>
    <w:rsid w:val="005274C0"/>
    <w:rsid w:val="0052792B"/>
    <w:rsid w:val="0052796B"/>
    <w:rsid w:val="00527BE9"/>
    <w:rsid w:val="005301F5"/>
    <w:rsid w:val="00530269"/>
    <w:rsid w:val="005306B7"/>
    <w:rsid w:val="005306FD"/>
    <w:rsid w:val="00530815"/>
    <w:rsid w:val="005308F6"/>
    <w:rsid w:val="005309AB"/>
    <w:rsid w:val="00530A43"/>
    <w:rsid w:val="00530AC5"/>
    <w:rsid w:val="00530B45"/>
    <w:rsid w:val="00530B9F"/>
    <w:rsid w:val="00530BBD"/>
    <w:rsid w:val="00530C72"/>
    <w:rsid w:val="00530EE0"/>
    <w:rsid w:val="00530F94"/>
    <w:rsid w:val="00531224"/>
    <w:rsid w:val="00531444"/>
    <w:rsid w:val="00531B39"/>
    <w:rsid w:val="00532191"/>
    <w:rsid w:val="0053231B"/>
    <w:rsid w:val="00532774"/>
    <w:rsid w:val="0053295E"/>
    <w:rsid w:val="00532B53"/>
    <w:rsid w:val="00532C57"/>
    <w:rsid w:val="00532D16"/>
    <w:rsid w:val="00532D27"/>
    <w:rsid w:val="0053309B"/>
    <w:rsid w:val="0053311B"/>
    <w:rsid w:val="0053350B"/>
    <w:rsid w:val="00533669"/>
    <w:rsid w:val="00533B2A"/>
    <w:rsid w:val="00533DCF"/>
    <w:rsid w:val="00533FBE"/>
    <w:rsid w:val="005340F1"/>
    <w:rsid w:val="005343AD"/>
    <w:rsid w:val="005348B5"/>
    <w:rsid w:val="00534ADA"/>
    <w:rsid w:val="00534BEC"/>
    <w:rsid w:val="00534F2A"/>
    <w:rsid w:val="0053547F"/>
    <w:rsid w:val="0053581A"/>
    <w:rsid w:val="0053586E"/>
    <w:rsid w:val="00535939"/>
    <w:rsid w:val="0053598A"/>
    <w:rsid w:val="005359C7"/>
    <w:rsid w:val="00535EF0"/>
    <w:rsid w:val="00536015"/>
    <w:rsid w:val="005362BD"/>
    <w:rsid w:val="005364A6"/>
    <w:rsid w:val="00536644"/>
    <w:rsid w:val="00536807"/>
    <w:rsid w:val="00536B46"/>
    <w:rsid w:val="00536CB2"/>
    <w:rsid w:val="00536F68"/>
    <w:rsid w:val="005371F7"/>
    <w:rsid w:val="0053733B"/>
    <w:rsid w:val="00537BCB"/>
    <w:rsid w:val="00537FC9"/>
    <w:rsid w:val="005402A4"/>
    <w:rsid w:val="0054031C"/>
    <w:rsid w:val="005403CB"/>
    <w:rsid w:val="0054044B"/>
    <w:rsid w:val="005404AE"/>
    <w:rsid w:val="005406F6"/>
    <w:rsid w:val="005408AF"/>
    <w:rsid w:val="005408F7"/>
    <w:rsid w:val="0054098A"/>
    <w:rsid w:val="00540A8D"/>
    <w:rsid w:val="00540BF1"/>
    <w:rsid w:val="00540CF6"/>
    <w:rsid w:val="00540DD0"/>
    <w:rsid w:val="0054100B"/>
    <w:rsid w:val="005412EE"/>
    <w:rsid w:val="0054137E"/>
    <w:rsid w:val="00541411"/>
    <w:rsid w:val="0054143F"/>
    <w:rsid w:val="005414D8"/>
    <w:rsid w:val="00541513"/>
    <w:rsid w:val="00541797"/>
    <w:rsid w:val="005417A7"/>
    <w:rsid w:val="0054184E"/>
    <w:rsid w:val="00541907"/>
    <w:rsid w:val="00541AF1"/>
    <w:rsid w:val="00541B29"/>
    <w:rsid w:val="00541B59"/>
    <w:rsid w:val="00541F10"/>
    <w:rsid w:val="00541F67"/>
    <w:rsid w:val="00542046"/>
    <w:rsid w:val="00542336"/>
    <w:rsid w:val="005425F4"/>
    <w:rsid w:val="00542B42"/>
    <w:rsid w:val="00542B86"/>
    <w:rsid w:val="00543056"/>
    <w:rsid w:val="0054306E"/>
    <w:rsid w:val="0054308E"/>
    <w:rsid w:val="005432D6"/>
    <w:rsid w:val="005434DD"/>
    <w:rsid w:val="00543892"/>
    <w:rsid w:val="00543BDE"/>
    <w:rsid w:val="00543C62"/>
    <w:rsid w:val="00543DB8"/>
    <w:rsid w:val="00543DC4"/>
    <w:rsid w:val="00543E33"/>
    <w:rsid w:val="00544166"/>
    <w:rsid w:val="00544334"/>
    <w:rsid w:val="005447A4"/>
    <w:rsid w:val="00544BBE"/>
    <w:rsid w:val="00544E63"/>
    <w:rsid w:val="005451C0"/>
    <w:rsid w:val="005451DA"/>
    <w:rsid w:val="0054525F"/>
    <w:rsid w:val="00545275"/>
    <w:rsid w:val="005452DC"/>
    <w:rsid w:val="005453D2"/>
    <w:rsid w:val="005456BD"/>
    <w:rsid w:val="00545893"/>
    <w:rsid w:val="005458C8"/>
    <w:rsid w:val="00545D47"/>
    <w:rsid w:val="00546180"/>
    <w:rsid w:val="00546773"/>
    <w:rsid w:val="0054689D"/>
    <w:rsid w:val="005468AF"/>
    <w:rsid w:val="005468EA"/>
    <w:rsid w:val="0054690B"/>
    <w:rsid w:val="0054699B"/>
    <w:rsid w:val="00546F7F"/>
    <w:rsid w:val="00547100"/>
    <w:rsid w:val="00547383"/>
    <w:rsid w:val="005478D1"/>
    <w:rsid w:val="005479C7"/>
    <w:rsid w:val="00547A66"/>
    <w:rsid w:val="00547CD1"/>
    <w:rsid w:val="00550306"/>
    <w:rsid w:val="005503B9"/>
    <w:rsid w:val="00550DD2"/>
    <w:rsid w:val="00550F0F"/>
    <w:rsid w:val="005512A7"/>
    <w:rsid w:val="005513BF"/>
    <w:rsid w:val="005514AF"/>
    <w:rsid w:val="00551559"/>
    <w:rsid w:val="00551653"/>
    <w:rsid w:val="0055181C"/>
    <w:rsid w:val="00551EED"/>
    <w:rsid w:val="005522F6"/>
    <w:rsid w:val="005523D7"/>
    <w:rsid w:val="005526C2"/>
    <w:rsid w:val="005528A9"/>
    <w:rsid w:val="005528E4"/>
    <w:rsid w:val="0055296D"/>
    <w:rsid w:val="00552AAA"/>
    <w:rsid w:val="00552D92"/>
    <w:rsid w:val="00552DBC"/>
    <w:rsid w:val="00553059"/>
    <w:rsid w:val="00553248"/>
    <w:rsid w:val="005532EB"/>
    <w:rsid w:val="0055336F"/>
    <w:rsid w:val="00553483"/>
    <w:rsid w:val="0055351C"/>
    <w:rsid w:val="00553525"/>
    <w:rsid w:val="005537AB"/>
    <w:rsid w:val="005537F9"/>
    <w:rsid w:val="00553988"/>
    <w:rsid w:val="005539B8"/>
    <w:rsid w:val="00553A89"/>
    <w:rsid w:val="00553AEF"/>
    <w:rsid w:val="0055434C"/>
    <w:rsid w:val="005545B0"/>
    <w:rsid w:val="00554657"/>
    <w:rsid w:val="0055471F"/>
    <w:rsid w:val="005548D6"/>
    <w:rsid w:val="005549E3"/>
    <w:rsid w:val="00554A6F"/>
    <w:rsid w:val="00554E76"/>
    <w:rsid w:val="00554ED3"/>
    <w:rsid w:val="00555398"/>
    <w:rsid w:val="00555447"/>
    <w:rsid w:val="005556DA"/>
    <w:rsid w:val="005558A1"/>
    <w:rsid w:val="00555C12"/>
    <w:rsid w:val="00555F4B"/>
    <w:rsid w:val="00555FDD"/>
    <w:rsid w:val="00556021"/>
    <w:rsid w:val="005560E7"/>
    <w:rsid w:val="005563D1"/>
    <w:rsid w:val="00556744"/>
    <w:rsid w:val="00556798"/>
    <w:rsid w:val="0055697B"/>
    <w:rsid w:val="00556D75"/>
    <w:rsid w:val="0055708D"/>
    <w:rsid w:val="0055709D"/>
    <w:rsid w:val="00557101"/>
    <w:rsid w:val="005571B6"/>
    <w:rsid w:val="00557470"/>
    <w:rsid w:val="00557660"/>
    <w:rsid w:val="00557700"/>
    <w:rsid w:val="00557719"/>
    <w:rsid w:val="0055780D"/>
    <w:rsid w:val="00557D0F"/>
    <w:rsid w:val="00560082"/>
    <w:rsid w:val="00560350"/>
    <w:rsid w:val="005603BC"/>
    <w:rsid w:val="00560850"/>
    <w:rsid w:val="00560ADC"/>
    <w:rsid w:val="00560B5F"/>
    <w:rsid w:val="00560CC3"/>
    <w:rsid w:val="00560E29"/>
    <w:rsid w:val="0056133C"/>
    <w:rsid w:val="00561397"/>
    <w:rsid w:val="0056157E"/>
    <w:rsid w:val="0056158A"/>
    <w:rsid w:val="00561820"/>
    <w:rsid w:val="00561A31"/>
    <w:rsid w:val="00561D87"/>
    <w:rsid w:val="00561DDB"/>
    <w:rsid w:val="00561E78"/>
    <w:rsid w:val="005620E0"/>
    <w:rsid w:val="00562200"/>
    <w:rsid w:val="005622CE"/>
    <w:rsid w:val="00562353"/>
    <w:rsid w:val="00562418"/>
    <w:rsid w:val="005627DA"/>
    <w:rsid w:val="00562A53"/>
    <w:rsid w:val="00562B42"/>
    <w:rsid w:val="00562D09"/>
    <w:rsid w:val="00563055"/>
    <w:rsid w:val="00563552"/>
    <w:rsid w:val="00563591"/>
    <w:rsid w:val="00563653"/>
    <w:rsid w:val="00563874"/>
    <w:rsid w:val="00563924"/>
    <w:rsid w:val="0056397E"/>
    <w:rsid w:val="00563C46"/>
    <w:rsid w:val="00563C82"/>
    <w:rsid w:val="00563F22"/>
    <w:rsid w:val="0056411B"/>
    <w:rsid w:val="005642DB"/>
    <w:rsid w:val="00564694"/>
    <w:rsid w:val="005647FE"/>
    <w:rsid w:val="00564C8E"/>
    <w:rsid w:val="00564CED"/>
    <w:rsid w:val="00564E86"/>
    <w:rsid w:val="00564FA6"/>
    <w:rsid w:val="00564FC8"/>
    <w:rsid w:val="0056501B"/>
    <w:rsid w:val="00565060"/>
    <w:rsid w:val="005651FD"/>
    <w:rsid w:val="00565A38"/>
    <w:rsid w:val="00565B72"/>
    <w:rsid w:val="00565B97"/>
    <w:rsid w:val="00565F47"/>
    <w:rsid w:val="00565F51"/>
    <w:rsid w:val="00566000"/>
    <w:rsid w:val="00566054"/>
    <w:rsid w:val="0056606D"/>
    <w:rsid w:val="00566353"/>
    <w:rsid w:val="0056675F"/>
    <w:rsid w:val="005667C2"/>
    <w:rsid w:val="00566B5A"/>
    <w:rsid w:val="00566C3C"/>
    <w:rsid w:val="00566E47"/>
    <w:rsid w:val="005670EA"/>
    <w:rsid w:val="0056716F"/>
    <w:rsid w:val="005671F1"/>
    <w:rsid w:val="00567213"/>
    <w:rsid w:val="00567233"/>
    <w:rsid w:val="005677BE"/>
    <w:rsid w:val="00567BCE"/>
    <w:rsid w:val="00567D8A"/>
    <w:rsid w:val="0057000F"/>
    <w:rsid w:val="005701D1"/>
    <w:rsid w:val="00570260"/>
    <w:rsid w:val="00570624"/>
    <w:rsid w:val="005707E8"/>
    <w:rsid w:val="005708BE"/>
    <w:rsid w:val="00570974"/>
    <w:rsid w:val="00570BEF"/>
    <w:rsid w:val="00570C10"/>
    <w:rsid w:val="00571018"/>
    <w:rsid w:val="005714A4"/>
    <w:rsid w:val="005715E7"/>
    <w:rsid w:val="005718FC"/>
    <w:rsid w:val="00571DC6"/>
    <w:rsid w:val="00571F43"/>
    <w:rsid w:val="00571FEB"/>
    <w:rsid w:val="0057227D"/>
    <w:rsid w:val="00572387"/>
    <w:rsid w:val="00572401"/>
    <w:rsid w:val="0057266B"/>
    <w:rsid w:val="00572BE4"/>
    <w:rsid w:val="00572C16"/>
    <w:rsid w:val="00572E4B"/>
    <w:rsid w:val="00572E5B"/>
    <w:rsid w:val="005730DA"/>
    <w:rsid w:val="0057310E"/>
    <w:rsid w:val="005731C6"/>
    <w:rsid w:val="00573413"/>
    <w:rsid w:val="00573531"/>
    <w:rsid w:val="0057373E"/>
    <w:rsid w:val="00573784"/>
    <w:rsid w:val="005739AE"/>
    <w:rsid w:val="0057435E"/>
    <w:rsid w:val="00574402"/>
    <w:rsid w:val="00574619"/>
    <w:rsid w:val="00574665"/>
    <w:rsid w:val="00574C9B"/>
    <w:rsid w:val="00574D30"/>
    <w:rsid w:val="00574DA8"/>
    <w:rsid w:val="005751BF"/>
    <w:rsid w:val="00575267"/>
    <w:rsid w:val="00575381"/>
    <w:rsid w:val="005756B6"/>
    <w:rsid w:val="00575702"/>
    <w:rsid w:val="005757B0"/>
    <w:rsid w:val="00575822"/>
    <w:rsid w:val="00575952"/>
    <w:rsid w:val="00575A15"/>
    <w:rsid w:val="00575D54"/>
    <w:rsid w:val="0057606B"/>
    <w:rsid w:val="005760EB"/>
    <w:rsid w:val="0057645E"/>
    <w:rsid w:val="00576827"/>
    <w:rsid w:val="00576962"/>
    <w:rsid w:val="00576D04"/>
    <w:rsid w:val="00577227"/>
    <w:rsid w:val="0057772A"/>
    <w:rsid w:val="00577AC9"/>
    <w:rsid w:val="0058000E"/>
    <w:rsid w:val="0058006F"/>
    <w:rsid w:val="005801E1"/>
    <w:rsid w:val="005801EE"/>
    <w:rsid w:val="005801F9"/>
    <w:rsid w:val="00580262"/>
    <w:rsid w:val="00580410"/>
    <w:rsid w:val="00580449"/>
    <w:rsid w:val="00580523"/>
    <w:rsid w:val="00580708"/>
    <w:rsid w:val="00580BDB"/>
    <w:rsid w:val="00580E61"/>
    <w:rsid w:val="0058137D"/>
    <w:rsid w:val="0058140F"/>
    <w:rsid w:val="00581757"/>
    <w:rsid w:val="005819EB"/>
    <w:rsid w:val="00581C82"/>
    <w:rsid w:val="00581CEA"/>
    <w:rsid w:val="00581F74"/>
    <w:rsid w:val="00582078"/>
    <w:rsid w:val="0058236A"/>
    <w:rsid w:val="0058259A"/>
    <w:rsid w:val="00582AE3"/>
    <w:rsid w:val="00582F47"/>
    <w:rsid w:val="00582F61"/>
    <w:rsid w:val="005830CF"/>
    <w:rsid w:val="005831DD"/>
    <w:rsid w:val="00583274"/>
    <w:rsid w:val="005833E8"/>
    <w:rsid w:val="00583474"/>
    <w:rsid w:val="00583825"/>
    <w:rsid w:val="00583916"/>
    <w:rsid w:val="005839FF"/>
    <w:rsid w:val="00583C8B"/>
    <w:rsid w:val="00583CD6"/>
    <w:rsid w:val="00583D54"/>
    <w:rsid w:val="00583D84"/>
    <w:rsid w:val="00583E9B"/>
    <w:rsid w:val="00583F19"/>
    <w:rsid w:val="00583F5D"/>
    <w:rsid w:val="005841BA"/>
    <w:rsid w:val="00584293"/>
    <w:rsid w:val="00584BC6"/>
    <w:rsid w:val="00584E25"/>
    <w:rsid w:val="00584EA4"/>
    <w:rsid w:val="00585564"/>
    <w:rsid w:val="0058556C"/>
    <w:rsid w:val="00585798"/>
    <w:rsid w:val="00585D8F"/>
    <w:rsid w:val="00585E67"/>
    <w:rsid w:val="00586031"/>
    <w:rsid w:val="005860F5"/>
    <w:rsid w:val="005861A9"/>
    <w:rsid w:val="00586276"/>
    <w:rsid w:val="0058699C"/>
    <w:rsid w:val="005870D9"/>
    <w:rsid w:val="00587477"/>
    <w:rsid w:val="005874F5"/>
    <w:rsid w:val="005874FD"/>
    <w:rsid w:val="005876A2"/>
    <w:rsid w:val="005876FB"/>
    <w:rsid w:val="0058774D"/>
    <w:rsid w:val="00587C98"/>
    <w:rsid w:val="00587FC1"/>
    <w:rsid w:val="00590A08"/>
    <w:rsid w:val="00590D3A"/>
    <w:rsid w:val="00590F1C"/>
    <w:rsid w:val="0059104F"/>
    <w:rsid w:val="00591146"/>
    <w:rsid w:val="00591235"/>
    <w:rsid w:val="0059158D"/>
    <w:rsid w:val="005915EF"/>
    <w:rsid w:val="00591BE1"/>
    <w:rsid w:val="00591E36"/>
    <w:rsid w:val="00591FE6"/>
    <w:rsid w:val="00592098"/>
    <w:rsid w:val="00592514"/>
    <w:rsid w:val="00592736"/>
    <w:rsid w:val="005927DA"/>
    <w:rsid w:val="00592927"/>
    <w:rsid w:val="0059313F"/>
    <w:rsid w:val="005933C4"/>
    <w:rsid w:val="005935DE"/>
    <w:rsid w:val="00593A87"/>
    <w:rsid w:val="00593BD4"/>
    <w:rsid w:val="00593C0B"/>
    <w:rsid w:val="00593D46"/>
    <w:rsid w:val="0059424D"/>
    <w:rsid w:val="005948A9"/>
    <w:rsid w:val="005948EE"/>
    <w:rsid w:val="00594959"/>
    <w:rsid w:val="00594C5C"/>
    <w:rsid w:val="00594C94"/>
    <w:rsid w:val="005951F1"/>
    <w:rsid w:val="005951F7"/>
    <w:rsid w:val="005952C0"/>
    <w:rsid w:val="005952FE"/>
    <w:rsid w:val="005955E8"/>
    <w:rsid w:val="0059602C"/>
    <w:rsid w:val="0059609C"/>
    <w:rsid w:val="00596215"/>
    <w:rsid w:val="00596763"/>
    <w:rsid w:val="00596828"/>
    <w:rsid w:val="00596A4F"/>
    <w:rsid w:val="00597230"/>
    <w:rsid w:val="0059732A"/>
    <w:rsid w:val="005977EB"/>
    <w:rsid w:val="00597C33"/>
    <w:rsid w:val="00597D49"/>
    <w:rsid w:val="005A02FC"/>
    <w:rsid w:val="005A0603"/>
    <w:rsid w:val="005A082D"/>
    <w:rsid w:val="005A09DB"/>
    <w:rsid w:val="005A0A34"/>
    <w:rsid w:val="005A0EDC"/>
    <w:rsid w:val="005A1074"/>
    <w:rsid w:val="005A113D"/>
    <w:rsid w:val="005A11E3"/>
    <w:rsid w:val="005A1219"/>
    <w:rsid w:val="005A13DA"/>
    <w:rsid w:val="005A1A3F"/>
    <w:rsid w:val="005A1CAA"/>
    <w:rsid w:val="005A219D"/>
    <w:rsid w:val="005A24D9"/>
    <w:rsid w:val="005A2816"/>
    <w:rsid w:val="005A2BF5"/>
    <w:rsid w:val="005A2F64"/>
    <w:rsid w:val="005A31CB"/>
    <w:rsid w:val="005A3341"/>
    <w:rsid w:val="005A3414"/>
    <w:rsid w:val="005A36B8"/>
    <w:rsid w:val="005A38A9"/>
    <w:rsid w:val="005A3BB4"/>
    <w:rsid w:val="005A3C7F"/>
    <w:rsid w:val="005A3E31"/>
    <w:rsid w:val="005A4141"/>
    <w:rsid w:val="005A4151"/>
    <w:rsid w:val="005A428C"/>
    <w:rsid w:val="005A443C"/>
    <w:rsid w:val="005A46C2"/>
    <w:rsid w:val="005A4778"/>
    <w:rsid w:val="005A484E"/>
    <w:rsid w:val="005A4A70"/>
    <w:rsid w:val="005A4BE3"/>
    <w:rsid w:val="005A4C0E"/>
    <w:rsid w:val="005A4D93"/>
    <w:rsid w:val="005A5460"/>
    <w:rsid w:val="005A5534"/>
    <w:rsid w:val="005A5742"/>
    <w:rsid w:val="005A5988"/>
    <w:rsid w:val="005A5FAE"/>
    <w:rsid w:val="005A5FC1"/>
    <w:rsid w:val="005A605B"/>
    <w:rsid w:val="005A6648"/>
    <w:rsid w:val="005A66A8"/>
    <w:rsid w:val="005A6886"/>
    <w:rsid w:val="005A6B6B"/>
    <w:rsid w:val="005A6F5E"/>
    <w:rsid w:val="005A7063"/>
    <w:rsid w:val="005A727F"/>
    <w:rsid w:val="005A7563"/>
    <w:rsid w:val="005A7653"/>
    <w:rsid w:val="005A774C"/>
    <w:rsid w:val="005A7755"/>
    <w:rsid w:val="005A790F"/>
    <w:rsid w:val="005A7A61"/>
    <w:rsid w:val="005A7AB3"/>
    <w:rsid w:val="005A7E5D"/>
    <w:rsid w:val="005A7F0F"/>
    <w:rsid w:val="005A7FDF"/>
    <w:rsid w:val="005B0128"/>
    <w:rsid w:val="005B04A8"/>
    <w:rsid w:val="005B05E2"/>
    <w:rsid w:val="005B06ED"/>
    <w:rsid w:val="005B08E7"/>
    <w:rsid w:val="005B0AB3"/>
    <w:rsid w:val="005B0B78"/>
    <w:rsid w:val="005B0BE9"/>
    <w:rsid w:val="005B0BFE"/>
    <w:rsid w:val="005B12AE"/>
    <w:rsid w:val="005B14AC"/>
    <w:rsid w:val="005B1695"/>
    <w:rsid w:val="005B186E"/>
    <w:rsid w:val="005B1897"/>
    <w:rsid w:val="005B19E7"/>
    <w:rsid w:val="005B1A26"/>
    <w:rsid w:val="005B1DED"/>
    <w:rsid w:val="005B1EB1"/>
    <w:rsid w:val="005B20CF"/>
    <w:rsid w:val="005B23E1"/>
    <w:rsid w:val="005B27AC"/>
    <w:rsid w:val="005B27E4"/>
    <w:rsid w:val="005B28A0"/>
    <w:rsid w:val="005B297A"/>
    <w:rsid w:val="005B29F7"/>
    <w:rsid w:val="005B33F2"/>
    <w:rsid w:val="005B34B5"/>
    <w:rsid w:val="005B3769"/>
    <w:rsid w:val="005B3A54"/>
    <w:rsid w:val="005B3C8F"/>
    <w:rsid w:val="005B3F8C"/>
    <w:rsid w:val="005B40FC"/>
    <w:rsid w:val="005B4776"/>
    <w:rsid w:val="005B499A"/>
    <w:rsid w:val="005B4AF9"/>
    <w:rsid w:val="005B4B97"/>
    <w:rsid w:val="005B4CB2"/>
    <w:rsid w:val="005B4D71"/>
    <w:rsid w:val="005B4EF5"/>
    <w:rsid w:val="005B5483"/>
    <w:rsid w:val="005B5731"/>
    <w:rsid w:val="005B5754"/>
    <w:rsid w:val="005B57B5"/>
    <w:rsid w:val="005B57D0"/>
    <w:rsid w:val="005B58A2"/>
    <w:rsid w:val="005B58FE"/>
    <w:rsid w:val="005B5F57"/>
    <w:rsid w:val="005B5F6F"/>
    <w:rsid w:val="005B611E"/>
    <w:rsid w:val="005B6459"/>
    <w:rsid w:val="005B6A1E"/>
    <w:rsid w:val="005B6B3C"/>
    <w:rsid w:val="005B7346"/>
    <w:rsid w:val="005B796B"/>
    <w:rsid w:val="005B7CDD"/>
    <w:rsid w:val="005B7CF5"/>
    <w:rsid w:val="005C0330"/>
    <w:rsid w:val="005C0430"/>
    <w:rsid w:val="005C055F"/>
    <w:rsid w:val="005C084E"/>
    <w:rsid w:val="005C0CFF"/>
    <w:rsid w:val="005C0E1F"/>
    <w:rsid w:val="005C0F1D"/>
    <w:rsid w:val="005C1436"/>
    <w:rsid w:val="005C144F"/>
    <w:rsid w:val="005C14BD"/>
    <w:rsid w:val="005C14C5"/>
    <w:rsid w:val="005C172B"/>
    <w:rsid w:val="005C1BA8"/>
    <w:rsid w:val="005C1F2D"/>
    <w:rsid w:val="005C203B"/>
    <w:rsid w:val="005C219C"/>
    <w:rsid w:val="005C23DD"/>
    <w:rsid w:val="005C24F7"/>
    <w:rsid w:val="005C25E0"/>
    <w:rsid w:val="005C26A7"/>
    <w:rsid w:val="005C2800"/>
    <w:rsid w:val="005C2848"/>
    <w:rsid w:val="005C289B"/>
    <w:rsid w:val="005C293A"/>
    <w:rsid w:val="005C2FF8"/>
    <w:rsid w:val="005C31D1"/>
    <w:rsid w:val="005C3204"/>
    <w:rsid w:val="005C33D6"/>
    <w:rsid w:val="005C33DA"/>
    <w:rsid w:val="005C352B"/>
    <w:rsid w:val="005C3593"/>
    <w:rsid w:val="005C3B23"/>
    <w:rsid w:val="005C3E37"/>
    <w:rsid w:val="005C417A"/>
    <w:rsid w:val="005C423F"/>
    <w:rsid w:val="005C43D0"/>
    <w:rsid w:val="005C4463"/>
    <w:rsid w:val="005C44B6"/>
    <w:rsid w:val="005C4760"/>
    <w:rsid w:val="005C488F"/>
    <w:rsid w:val="005C48FD"/>
    <w:rsid w:val="005C4BFE"/>
    <w:rsid w:val="005C4C40"/>
    <w:rsid w:val="005C5072"/>
    <w:rsid w:val="005C53A5"/>
    <w:rsid w:val="005C55AA"/>
    <w:rsid w:val="005C5675"/>
    <w:rsid w:val="005C594B"/>
    <w:rsid w:val="005C5971"/>
    <w:rsid w:val="005C5AB3"/>
    <w:rsid w:val="005C5ABF"/>
    <w:rsid w:val="005C5C9B"/>
    <w:rsid w:val="005C5E92"/>
    <w:rsid w:val="005C5F32"/>
    <w:rsid w:val="005C6061"/>
    <w:rsid w:val="005C620D"/>
    <w:rsid w:val="005C6364"/>
    <w:rsid w:val="005C6450"/>
    <w:rsid w:val="005C655D"/>
    <w:rsid w:val="005C677F"/>
    <w:rsid w:val="005C68CA"/>
    <w:rsid w:val="005C692F"/>
    <w:rsid w:val="005C69A1"/>
    <w:rsid w:val="005C6FF3"/>
    <w:rsid w:val="005C7229"/>
    <w:rsid w:val="005C76E3"/>
    <w:rsid w:val="005C77A6"/>
    <w:rsid w:val="005C77ED"/>
    <w:rsid w:val="005C7BDC"/>
    <w:rsid w:val="005C7C75"/>
    <w:rsid w:val="005C7D3C"/>
    <w:rsid w:val="005C7EA0"/>
    <w:rsid w:val="005C7FD6"/>
    <w:rsid w:val="005D0068"/>
    <w:rsid w:val="005D018F"/>
    <w:rsid w:val="005D01B5"/>
    <w:rsid w:val="005D0265"/>
    <w:rsid w:val="005D0453"/>
    <w:rsid w:val="005D08BD"/>
    <w:rsid w:val="005D09B6"/>
    <w:rsid w:val="005D0BC0"/>
    <w:rsid w:val="005D0BC7"/>
    <w:rsid w:val="005D0D5A"/>
    <w:rsid w:val="005D0DD5"/>
    <w:rsid w:val="005D10ED"/>
    <w:rsid w:val="005D189F"/>
    <w:rsid w:val="005D1905"/>
    <w:rsid w:val="005D1B1D"/>
    <w:rsid w:val="005D1C04"/>
    <w:rsid w:val="005D1D1A"/>
    <w:rsid w:val="005D1F30"/>
    <w:rsid w:val="005D2342"/>
    <w:rsid w:val="005D2361"/>
    <w:rsid w:val="005D248B"/>
    <w:rsid w:val="005D25C4"/>
    <w:rsid w:val="005D2C9D"/>
    <w:rsid w:val="005D30B9"/>
    <w:rsid w:val="005D31F4"/>
    <w:rsid w:val="005D350C"/>
    <w:rsid w:val="005D353B"/>
    <w:rsid w:val="005D3555"/>
    <w:rsid w:val="005D361B"/>
    <w:rsid w:val="005D4236"/>
    <w:rsid w:val="005D47EC"/>
    <w:rsid w:val="005D4AAD"/>
    <w:rsid w:val="005D4BF9"/>
    <w:rsid w:val="005D4C73"/>
    <w:rsid w:val="005D4CFA"/>
    <w:rsid w:val="005D55A5"/>
    <w:rsid w:val="005D60B0"/>
    <w:rsid w:val="005D60FC"/>
    <w:rsid w:val="005D628E"/>
    <w:rsid w:val="005D62CB"/>
    <w:rsid w:val="005D6350"/>
    <w:rsid w:val="005D6568"/>
    <w:rsid w:val="005D65ED"/>
    <w:rsid w:val="005D6CF9"/>
    <w:rsid w:val="005D6F8A"/>
    <w:rsid w:val="005D6FA4"/>
    <w:rsid w:val="005D6FDF"/>
    <w:rsid w:val="005D7397"/>
    <w:rsid w:val="005D758B"/>
    <w:rsid w:val="005D7B1D"/>
    <w:rsid w:val="005E0068"/>
    <w:rsid w:val="005E0455"/>
    <w:rsid w:val="005E09DD"/>
    <w:rsid w:val="005E0D11"/>
    <w:rsid w:val="005E0DC7"/>
    <w:rsid w:val="005E0E27"/>
    <w:rsid w:val="005E10D8"/>
    <w:rsid w:val="005E10F8"/>
    <w:rsid w:val="005E1492"/>
    <w:rsid w:val="005E1B1A"/>
    <w:rsid w:val="005E1DA2"/>
    <w:rsid w:val="005E1F6E"/>
    <w:rsid w:val="005E1FF1"/>
    <w:rsid w:val="005E2440"/>
    <w:rsid w:val="005E25FA"/>
    <w:rsid w:val="005E2940"/>
    <w:rsid w:val="005E329F"/>
    <w:rsid w:val="005E32E8"/>
    <w:rsid w:val="005E37AC"/>
    <w:rsid w:val="005E38FC"/>
    <w:rsid w:val="005E3960"/>
    <w:rsid w:val="005E39F6"/>
    <w:rsid w:val="005E3C18"/>
    <w:rsid w:val="005E3D6D"/>
    <w:rsid w:val="005E4004"/>
    <w:rsid w:val="005E448E"/>
    <w:rsid w:val="005E44AA"/>
    <w:rsid w:val="005E45B0"/>
    <w:rsid w:val="005E45FD"/>
    <w:rsid w:val="005E462A"/>
    <w:rsid w:val="005E4681"/>
    <w:rsid w:val="005E497B"/>
    <w:rsid w:val="005E49F1"/>
    <w:rsid w:val="005E4B38"/>
    <w:rsid w:val="005E56FA"/>
    <w:rsid w:val="005E5849"/>
    <w:rsid w:val="005E5C4F"/>
    <w:rsid w:val="005E5D69"/>
    <w:rsid w:val="005E5DD8"/>
    <w:rsid w:val="005E5E44"/>
    <w:rsid w:val="005E6046"/>
    <w:rsid w:val="005E618D"/>
    <w:rsid w:val="005E6328"/>
    <w:rsid w:val="005E63DA"/>
    <w:rsid w:val="005E6A53"/>
    <w:rsid w:val="005E6BF9"/>
    <w:rsid w:val="005E6D6D"/>
    <w:rsid w:val="005E6DCD"/>
    <w:rsid w:val="005E6FF4"/>
    <w:rsid w:val="005E7861"/>
    <w:rsid w:val="005E78E5"/>
    <w:rsid w:val="005E7A7D"/>
    <w:rsid w:val="005E7AF4"/>
    <w:rsid w:val="005F0164"/>
    <w:rsid w:val="005F0220"/>
    <w:rsid w:val="005F0701"/>
    <w:rsid w:val="005F083D"/>
    <w:rsid w:val="005F08A0"/>
    <w:rsid w:val="005F0DC8"/>
    <w:rsid w:val="005F0E2A"/>
    <w:rsid w:val="005F0EC1"/>
    <w:rsid w:val="005F0F8B"/>
    <w:rsid w:val="005F1165"/>
    <w:rsid w:val="005F1362"/>
    <w:rsid w:val="005F1532"/>
    <w:rsid w:val="005F15EF"/>
    <w:rsid w:val="005F173F"/>
    <w:rsid w:val="005F18BA"/>
    <w:rsid w:val="005F1DF6"/>
    <w:rsid w:val="005F1E76"/>
    <w:rsid w:val="005F21CB"/>
    <w:rsid w:val="005F2250"/>
    <w:rsid w:val="005F244B"/>
    <w:rsid w:val="005F2502"/>
    <w:rsid w:val="005F2546"/>
    <w:rsid w:val="005F2803"/>
    <w:rsid w:val="005F28B8"/>
    <w:rsid w:val="005F2CCC"/>
    <w:rsid w:val="005F2DDF"/>
    <w:rsid w:val="005F2FC0"/>
    <w:rsid w:val="005F31C9"/>
    <w:rsid w:val="005F36FB"/>
    <w:rsid w:val="005F3878"/>
    <w:rsid w:val="005F38CD"/>
    <w:rsid w:val="005F3CF1"/>
    <w:rsid w:val="005F3D9C"/>
    <w:rsid w:val="005F3F44"/>
    <w:rsid w:val="005F40FB"/>
    <w:rsid w:val="005F4881"/>
    <w:rsid w:val="005F496C"/>
    <w:rsid w:val="005F4A29"/>
    <w:rsid w:val="005F5358"/>
    <w:rsid w:val="005F541E"/>
    <w:rsid w:val="005F56D5"/>
    <w:rsid w:val="005F5803"/>
    <w:rsid w:val="005F5A16"/>
    <w:rsid w:val="005F5A3D"/>
    <w:rsid w:val="005F5B24"/>
    <w:rsid w:val="005F5D19"/>
    <w:rsid w:val="005F5DEF"/>
    <w:rsid w:val="005F5E3E"/>
    <w:rsid w:val="005F60CF"/>
    <w:rsid w:val="005F61DE"/>
    <w:rsid w:val="005F62D3"/>
    <w:rsid w:val="005F6350"/>
    <w:rsid w:val="005F6CE1"/>
    <w:rsid w:val="005F712E"/>
    <w:rsid w:val="005F72C9"/>
    <w:rsid w:val="005F74DB"/>
    <w:rsid w:val="005F75AA"/>
    <w:rsid w:val="005F7714"/>
    <w:rsid w:val="005F7850"/>
    <w:rsid w:val="005F78E8"/>
    <w:rsid w:val="005F79DA"/>
    <w:rsid w:val="005F7A1C"/>
    <w:rsid w:val="005F7AF3"/>
    <w:rsid w:val="005F7FA4"/>
    <w:rsid w:val="006001DE"/>
    <w:rsid w:val="0060038A"/>
    <w:rsid w:val="006004D6"/>
    <w:rsid w:val="0060054F"/>
    <w:rsid w:val="00600F1E"/>
    <w:rsid w:val="00601050"/>
    <w:rsid w:val="00601141"/>
    <w:rsid w:val="0060132F"/>
    <w:rsid w:val="006018E1"/>
    <w:rsid w:val="0060195F"/>
    <w:rsid w:val="006019BA"/>
    <w:rsid w:val="00601BAA"/>
    <w:rsid w:val="00601E15"/>
    <w:rsid w:val="00601F20"/>
    <w:rsid w:val="00601F50"/>
    <w:rsid w:val="00602181"/>
    <w:rsid w:val="006022C9"/>
    <w:rsid w:val="00602369"/>
    <w:rsid w:val="0060240E"/>
    <w:rsid w:val="006024A6"/>
    <w:rsid w:val="0060265E"/>
    <w:rsid w:val="006026C8"/>
    <w:rsid w:val="00602A28"/>
    <w:rsid w:val="0060321F"/>
    <w:rsid w:val="0060329B"/>
    <w:rsid w:val="006035A3"/>
    <w:rsid w:val="006036E9"/>
    <w:rsid w:val="006037EA"/>
    <w:rsid w:val="0060393E"/>
    <w:rsid w:val="00603A25"/>
    <w:rsid w:val="00603B01"/>
    <w:rsid w:val="00603D33"/>
    <w:rsid w:val="00603FA8"/>
    <w:rsid w:val="006041A3"/>
    <w:rsid w:val="00604233"/>
    <w:rsid w:val="0060428F"/>
    <w:rsid w:val="0060447A"/>
    <w:rsid w:val="006044E9"/>
    <w:rsid w:val="00604526"/>
    <w:rsid w:val="00604993"/>
    <w:rsid w:val="00604A30"/>
    <w:rsid w:val="00604C17"/>
    <w:rsid w:val="00604C59"/>
    <w:rsid w:val="00604DF1"/>
    <w:rsid w:val="00604FDA"/>
    <w:rsid w:val="0060527F"/>
    <w:rsid w:val="006057CF"/>
    <w:rsid w:val="0060583C"/>
    <w:rsid w:val="006058B2"/>
    <w:rsid w:val="006059BB"/>
    <w:rsid w:val="00605DA2"/>
    <w:rsid w:val="00605EEC"/>
    <w:rsid w:val="006063D3"/>
    <w:rsid w:val="006065DE"/>
    <w:rsid w:val="00606E6A"/>
    <w:rsid w:val="00607091"/>
    <w:rsid w:val="00607239"/>
    <w:rsid w:val="00607344"/>
    <w:rsid w:val="0060748A"/>
    <w:rsid w:val="00607612"/>
    <w:rsid w:val="00607AA8"/>
    <w:rsid w:val="00607B98"/>
    <w:rsid w:val="00607BCD"/>
    <w:rsid w:val="00607E57"/>
    <w:rsid w:val="006100A6"/>
    <w:rsid w:val="006103A8"/>
    <w:rsid w:val="006103D2"/>
    <w:rsid w:val="00610557"/>
    <w:rsid w:val="006106A9"/>
    <w:rsid w:val="00610ACA"/>
    <w:rsid w:val="00610BC3"/>
    <w:rsid w:val="00610BCC"/>
    <w:rsid w:val="00610D2F"/>
    <w:rsid w:val="00611907"/>
    <w:rsid w:val="00611CE3"/>
    <w:rsid w:val="00611FDA"/>
    <w:rsid w:val="00612223"/>
    <w:rsid w:val="006124CE"/>
    <w:rsid w:val="006128AD"/>
    <w:rsid w:val="00612A66"/>
    <w:rsid w:val="00612B5D"/>
    <w:rsid w:val="00612D5A"/>
    <w:rsid w:val="00612DA8"/>
    <w:rsid w:val="00612E11"/>
    <w:rsid w:val="00612EA5"/>
    <w:rsid w:val="0061308C"/>
    <w:rsid w:val="00613193"/>
    <w:rsid w:val="00613498"/>
    <w:rsid w:val="00613771"/>
    <w:rsid w:val="00613862"/>
    <w:rsid w:val="00613A3D"/>
    <w:rsid w:val="00613AB2"/>
    <w:rsid w:val="00613C6D"/>
    <w:rsid w:val="0061401C"/>
    <w:rsid w:val="0061469C"/>
    <w:rsid w:val="00614898"/>
    <w:rsid w:val="00614975"/>
    <w:rsid w:val="00614C99"/>
    <w:rsid w:val="00614EA7"/>
    <w:rsid w:val="00614F1A"/>
    <w:rsid w:val="00615142"/>
    <w:rsid w:val="0061527E"/>
    <w:rsid w:val="006152DD"/>
    <w:rsid w:val="0061542C"/>
    <w:rsid w:val="00615B82"/>
    <w:rsid w:val="00615C1D"/>
    <w:rsid w:val="00615C33"/>
    <w:rsid w:val="00616D27"/>
    <w:rsid w:val="00616DBF"/>
    <w:rsid w:val="00616E5B"/>
    <w:rsid w:val="0061777B"/>
    <w:rsid w:val="00617920"/>
    <w:rsid w:val="00617C05"/>
    <w:rsid w:val="0062062A"/>
    <w:rsid w:val="00620671"/>
    <w:rsid w:val="00620AFF"/>
    <w:rsid w:val="006212CB"/>
    <w:rsid w:val="006213C1"/>
    <w:rsid w:val="006213C5"/>
    <w:rsid w:val="00621473"/>
    <w:rsid w:val="00621ABD"/>
    <w:rsid w:val="00621BA3"/>
    <w:rsid w:val="00621C6E"/>
    <w:rsid w:val="00621EA1"/>
    <w:rsid w:val="0062272C"/>
    <w:rsid w:val="00622A41"/>
    <w:rsid w:val="00622A84"/>
    <w:rsid w:val="00622EF6"/>
    <w:rsid w:val="00622FE3"/>
    <w:rsid w:val="00623535"/>
    <w:rsid w:val="006236A5"/>
    <w:rsid w:val="006236C5"/>
    <w:rsid w:val="006236D7"/>
    <w:rsid w:val="0062370A"/>
    <w:rsid w:val="00623910"/>
    <w:rsid w:val="00623A70"/>
    <w:rsid w:val="00623B53"/>
    <w:rsid w:val="00623E64"/>
    <w:rsid w:val="00624233"/>
    <w:rsid w:val="0062444F"/>
    <w:rsid w:val="00624462"/>
    <w:rsid w:val="0062488C"/>
    <w:rsid w:val="00624A23"/>
    <w:rsid w:val="00624AAD"/>
    <w:rsid w:val="00624D1A"/>
    <w:rsid w:val="00624E51"/>
    <w:rsid w:val="00624EB3"/>
    <w:rsid w:val="0062504A"/>
    <w:rsid w:val="006252A3"/>
    <w:rsid w:val="006253A3"/>
    <w:rsid w:val="0062553E"/>
    <w:rsid w:val="006255CC"/>
    <w:rsid w:val="00625876"/>
    <w:rsid w:val="006258AB"/>
    <w:rsid w:val="0062595B"/>
    <w:rsid w:val="00625BB5"/>
    <w:rsid w:val="00625BD8"/>
    <w:rsid w:val="00626104"/>
    <w:rsid w:val="006264D5"/>
    <w:rsid w:val="00626615"/>
    <w:rsid w:val="00626899"/>
    <w:rsid w:val="006269AB"/>
    <w:rsid w:val="006269B6"/>
    <w:rsid w:val="00626A18"/>
    <w:rsid w:val="00626AC5"/>
    <w:rsid w:val="00626C12"/>
    <w:rsid w:val="00626C82"/>
    <w:rsid w:val="00626C95"/>
    <w:rsid w:val="00626E9C"/>
    <w:rsid w:val="00626EC6"/>
    <w:rsid w:val="0062722C"/>
    <w:rsid w:val="006272EE"/>
    <w:rsid w:val="00627928"/>
    <w:rsid w:val="006279E3"/>
    <w:rsid w:val="00627A0A"/>
    <w:rsid w:val="00627D27"/>
    <w:rsid w:val="00627DB3"/>
    <w:rsid w:val="00630305"/>
    <w:rsid w:val="0063070A"/>
    <w:rsid w:val="00630A25"/>
    <w:rsid w:val="00630DC1"/>
    <w:rsid w:val="00630DE9"/>
    <w:rsid w:val="00630FB7"/>
    <w:rsid w:val="0063111F"/>
    <w:rsid w:val="0063132A"/>
    <w:rsid w:val="006313D6"/>
    <w:rsid w:val="006314B5"/>
    <w:rsid w:val="00631584"/>
    <w:rsid w:val="0063160F"/>
    <w:rsid w:val="00631A56"/>
    <w:rsid w:val="0063287A"/>
    <w:rsid w:val="00632B10"/>
    <w:rsid w:val="00632B63"/>
    <w:rsid w:val="00632C15"/>
    <w:rsid w:val="00632D04"/>
    <w:rsid w:val="00632E66"/>
    <w:rsid w:val="0063304D"/>
    <w:rsid w:val="0063331E"/>
    <w:rsid w:val="00633331"/>
    <w:rsid w:val="00633555"/>
    <w:rsid w:val="006335A8"/>
    <w:rsid w:val="006339FF"/>
    <w:rsid w:val="00633A27"/>
    <w:rsid w:val="00633C7B"/>
    <w:rsid w:val="006341E9"/>
    <w:rsid w:val="0063424B"/>
    <w:rsid w:val="006342BE"/>
    <w:rsid w:val="006343C8"/>
    <w:rsid w:val="00634AA9"/>
    <w:rsid w:val="00634B5B"/>
    <w:rsid w:val="00634F41"/>
    <w:rsid w:val="0063527D"/>
    <w:rsid w:val="00635417"/>
    <w:rsid w:val="00635425"/>
    <w:rsid w:val="0063562F"/>
    <w:rsid w:val="00635723"/>
    <w:rsid w:val="006358E7"/>
    <w:rsid w:val="00635995"/>
    <w:rsid w:val="00635A2F"/>
    <w:rsid w:val="00635F8F"/>
    <w:rsid w:val="006360BF"/>
    <w:rsid w:val="006361C7"/>
    <w:rsid w:val="006364C8"/>
    <w:rsid w:val="0063664F"/>
    <w:rsid w:val="00636789"/>
    <w:rsid w:val="00636827"/>
    <w:rsid w:val="00636C6B"/>
    <w:rsid w:val="00636C87"/>
    <w:rsid w:val="0063701D"/>
    <w:rsid w:val="00637135"/>
    <w:rsid w:val="0063721A"/>
    <w:rsid w:val="006373AF"/>
    <w:rsid w:val="0063774A"/>
    <w:rsid w:val="006378C5"/>
    <w:rsid w:val="00637919"/>
    <w:rsid w:val="00637925"/>
    <w:rsid w:val="00637B3C"/>
    <w:rsid w:val="00637B4B"/>
    <w:rsid w:val="00637DB5"/>
    <w:rsid w:val="00640593"/>
    <w:rsid w:val="006407B9"/>
    <w:rsid w:val="00640A66"/>
    <w:rsid w:val="00640B82"/>
    <w:rsid w:val="00640D08"/>
    <w:rsid w:val="006411BD"/>
    <w:rsid w:val="00641F93"/>
    <w:rsid w:val="00642181"/>
    <w:rsid w:val="006423F5"/>
    <w:rsid w:val="006427D8"/>
    <w:rsid w:val="006428D3"/>
    <w:rsid w:val="00642F28"/>
    <w:rsid w:val="00642FC6"/>
    <w:rsid w:val="00643C2C"/>
    <w:rsid w:val="0064408B"/>
    <w:rsid w:val="0064428E"/>
    <w:rsid w:val="0064449E"/>
    <w:rsid w:val="0064461A"/>
    <w:rsid w:val="00644A76"/>
    <w:rsid w:val="00644B91"/>
    <w:rsid w:val="00644D5B"/>
    <w:rsid w:val="00644F66"/>
    <w:rsid w:val="00645251"/>
    <w:rsid w:val="00645563"/>
    <w:rsid w:val="00645608"/>
    <w:rsid w:val="006458D2"/>
    <w:rsid w:val="006459C2"/>
    <w:rsid w:val="00645A56"/>
    <w:rsid w:val="00645F31"/>
    <w:rsid w:val="00646561"/>
    <w:rsid w:val="006466DE"/>
    <w:rsid w:val="00646820"/>
    <w:rsid w:val="0064693C"/>
    <w:rsid w:val="00646A73"/>
    <w:rsid w:val="00646E8C"/>
    <w:rsid w:val="00646EBF"/>
    <w:rsid w:val="0064744E"/>
    <w:rsid w:val="006474D4"/>
    <w:rsid w:val="0064756D"/>
    <w:rsid w:val="00647EC3"/>
    <w:rsid w:val="00650204"/>
    <w:rsid w:val="006502B9"/>
    <w:rsid w:val="006505A6"/>
    <w:rsid w:val="00650765"/>
    <w:rsid w:val="006507BB"/>
    <w:rsid w:val="00650ABE"/>
    <w:rsid w:val="00650C12"/>
    <w:rsid w:val="00650D9F"/>
    <w:rsid w:val="00650E48"/>
    <w:rsid w:val="006513F0"/>
    <w:rsid w:val="006514DA"/>
    <w:rsid w:val="00651532"/>
    <w:rsid w:val="006516D2"/>
    <w:rsid w:val="00651872"/>
    <w:rsid w:val="00651BE9"/>
    <w:rsid w:val="00651D74"/>
    <w:rsid w:val="00651EB5"/>
    <w:rsid w:val="0065204C"/>
    <w:rsid w:val="00652086"/>
    <w:rsid w:val="00652136"/>
    <w:rsid w:val="00652961"/>
    <w:rsid w:val="00652F8A"/>
    <w:rsid w:val="0065317E"/>
    <w:rsid w:val="0065322A"/>
    <w:rsid w:val="00653363"/>
    <w:rsid w:val="00653787"/>
    <w:rsid w:val="006538A6"/>
    <w:rsid w:val="006538CC"/>
    <w:rsid w:val="00653DF3"/>
    <w:rsid w:val="00653F49"/>
    <w:rsid w:val="00653F7D"/>
    <w:rsid w:val="00654152"/>
    <w:rsid w:val="00654776"/>
    <w:rsid w:val="00654C5B"/>
    <w:rsid w:val="00654C64"/>
    <w:rsid w:val="00654E47"/>
    <w:rsid w:val="00654FC5"/>
    <w:rsid w:val="00655397"/>
    <w:rsid w:val="006553FE"/>
    <w:rsid w:val="0065545A"/>
    <w:rsid w:val="006554AD"/>
    <w:rsid w:val="00655579"/>
    <w:rsid w:val="006555F0"/>
    <w:rsid w:val="00655733"/>
    <w:rsid w:val="00655795"/>
    <w:rsid w:val="00655890"/>
    <w:rsid w:val="006559F1"/>
    <w:rsid w:val="00655A7F"/>
    <w:rsid w:val="00655BCC"/>
    <w:rsid w:val="00655EC0"/>
    <w:rsid w:val="006561FE"/>
    <w:rsid w:val="006562B2"/>
    <w:rsid w:val="006564CF"/>
    <w:rsid w:val="0065655A"/>
    <w:rsid w:val="006567BB"/>
    <w:rsid w:val="00656974"/>
    <w:rsid w:val="00656E0E"/>
    <w:rsid w:val="00656EB2"/>
    <w:rsid w:val="00656F19"/>
    <w:rsid w:val="0065763A"/>
    <w:rsid w:val="00657834"/>
    <w:rsid w:val="00657AF5"/>
    <w:rsid w:val="00657B6F"/>
    <w:rsid w:val="00657C16"/>
    <w:rsid w:val="006602EA"/>
    <w:rsid w:val="006608B4"/>
    <w:rsid w:val="00660CA9"/>
    <w:rsid w:val="00660F52"/>
    <w:rsid w:val="00660F8D"/>
    <w:rsid w:val="006612A8"/>
    <w:rsid w:val="00661538"/>
    <w:rsid w:val="006615B2"/>
    <w:rsid w:val="00661790"/>
    <w:rsid w:val="00661F23"/>
    <w:rsid w:val="00661F8F"/>
    <w:rsid w:val="006620E2"/>
    <w:rsid w:val="00662326"/>
    <w:rsid w:val="006624C9"/>
    <w:rsid w:val="006625D4"/>
    <w:rsid w:val="0066279C"/>
    <w:rsid w:val="006627EE"/>
    <w:rsid w:val="00662D55"/>
    <w:rsid w:val="00662E48"/>
    <w:rsid w:val="006635F1"/>
    <w:rsid w:val="00663E85"/>
    <w:rsid w:val="00663F68"/>
    <w:rsid w:val="00664440"/>
    <w:rsid w:val="006648EF"/>
    <w:rsid w:val="00664CD3"/>
    <w:rsid w:val="00664EBD"/>
    <w:rsid w:val="00664FD9"/>
    <w:rsid w:val="00665293"/>
    <w:rsid w:val="00665466"/>
    <w:rsid w:val="006657EA"/>
    <w:rsid w:val="0066585D"/>
    <w:rsid w:val="00665BA8"/>
    <w:rsid w:val="006663B8"/>
    <w:rsid w:val="006664A3"/>
    <w:rsid w:val="006666F6"/>
    <w:rsid w:val="00666713"/>
    <w:rsid w:val="0066671E"/>
    <w:rsid w:val="006668DB"/>
    <w:rsid w:val="00666A16"/>
    <w:rsid w:val="00666A41"/>
    <w:rsid w:val="00666A47"/>
    <w:rsid w:val="00666C37"/>
    <w:rsid w:val="00666FCF"/>
    <w:rsid w:val="00667122"/>
    <w:rsid w:val="00667258"/>
    <w:rsid w:val="006675F6"/>
    <w:rsid w:val="00667621"/>
    <w:rsid w:val="00667731"/>
    <w:rsid w:val="006677BA"/>
    <w:rsid w:val="00667870"/>
    <w:rsid w:val="006678CE"/>
    <w:rsid w:val="00667CAE"/>
    <w:rsid w:val="00667F3E"/>
    <w:rsid w:val="00670021"/>
    <w:rsid w:val="00670072"/>
    <w:rsid w:val="00670120"/>
    <w:rsid w:val="006701A7"/>
    <w:rsid w:val="006703A1"/>
    <w:rsid w:val="006704FC"/>
    <w:rsid w:val="00670B36"/>
    <w:rsid w:val="00671052"/>
    <w:rsid w:val="006710A2"/>
    <w:rsid w:val="00671603"/>
    <w:rsid w:val="00671AFA"/>
    <w:rsid w:val="00671D68"/>
    <w:rsid w:val="00671FFC"/>
    <w:rsid w:val="006723B2"/>
    <w:rsid w:val="006724CF"/>
    <w:rsid w:val="00672581"/>
    <w:rsid w:val="006725D8"/>
    <w:rsid w:val="00672794"/>
    <w:rsid w:val="0067291C"/>
    <w:rsid w:val="00672B7A"/>
    <w:rsid w:val="00673485"/>
    <w:rsid w:val="00673630"/>
    <w:rsid w:val="006738FA"/>
    <w:rsid w:val="00673946"/>
    <w:rsid w:val="006739FA"/>
    <w:rsid w:val="00673BAE"/>
    <w:rsid w:val="006741E2"/>
    <w:rsid w:val="0067483A"/>
    <w:rsid w:val="0067484E"/>
    <w:rsid w:val="006749A9"/>
    <w:rsid w:val="00674ABE"/>
    <w:rsid w:val="00674DDF"/>
    <w:rsid w:val="00674EF2"/>
    <w:rsid w:val="00675624"/>
    <w:rsid w:val="00675643"/>
    <w:rsid w:val="006757F7"/>
    <w:rsid w:val="00675A45"/>
    <w:rsid w:val="00675C81"/>
    <w:rsid w:val="00675D1D"/>
    <w:rsid w:val="00675F7C"/>
    <w:rsid w:val="00676144"/>
    <w:rsid w:val="006762D7"/>
    <w:rsid w:val="00676314"/>
    <w:rsid w:val="0067631D"/>
    <w:rsid w:val="00676481"/>
    <w:rsid w:val="006765BF"/>
    <w:rsid w:val="006766FD"/>
    <w:rsid w:val="006769D3"/>
    <w:rsid w:val="00676A30"/>
    <w:rsid w:val="00676BCA"/>
    <w:rsid w:val="00676D76"/>
    <w:rsid w:val="00677078"/>
    <w:rsid w:val="00677AC1"/>
    <w:rsid w:val="00677DE6"/>
    <w:rsid w:val="006801A2"/>
    <w:rsid w:val="00680237"/>
    <w:rsid w:val="0068051C"/>
    <w:rsid w:val="00680700"/>
    <w:rsid w:val="0068079C"/>
    <w:rsid w:val="006808EF"/>
    <w:rsid w:val="00680967"/>
    <w:rsid w:val="00680AEF"/>
    <w:rsid w:val="00680AF1"/>
    <w:rsid w:val="00680C03"/>
    <w:rsid w:val="00680C77"/>
    <w:rsid w:val="00680F03"/>
    <w:rsid w:val="00680F96"/>
    <w:rsid w:val="00681423"/>
    <w:rsid w:val="006814E3"/>
    <w:rsid w:val="00681582"/>
    <w:rsid w:val="0068184F"/>
    <w:rsid w:val="00681B6B"/>
    <w:rsid w:val="00681BA6"/>
    <w:rsid w:val="00681C3D"/>
    <w:rsid w:val="00681EFC"/>
    <w:rsid w:val="006823C7"/>
    <w:rsid w:val="0068246F"/>
    <w:rsid w:val="006824D4"/>
    <w:rsid w:val="006825A8"/>
    <w:rsid w:val="0068281C"/>
    <w:rsid w:val="00682827"/>
    <w:rsid w:val="00682858"/>
    <w:rsid w:val="006829A9"/>
    <w:rsid w:val="00682A11"/>
    <w:rsid w:val="00682FF4"/>
    <w:rsid w:val="00683906"/>
    <w:rsid w:val="00683C57"/>
    <w:rsid w:val="00683D42"/>
    <w:rsid w:val="00683DEA"/>
    <w:rsid w:val="0068434C"/>
    <w:rsid w:val="006844D8"/>
    <w:rsid w:val="006846B7"/>
    <w:rsid w:val="00684705"/>
    <w:rsid w:val="006848C0"/>
    <w:rsid w:val="006849B2"/>
    <w:rsid w:val="00684C70"/>
    <w:rsid w:val="00684EAD"/>
    <w:rsid w:val="0068518D"/>
    <w:rsid w:val="0068544E"/>
    <w:rsid w:val="006854B5"/>
    <w:rsid w:val="00685738"/>
    <w:rsid w:val="00685967"/>
    <w:rsid w:val="0068599D"/>
    <w:rsid w:val="006859C2"/>
    <w:rsid w:val="006859DB"/>
    <w:rsid w:val="00686337"/>
    <w:rsid w:val="00686387"/>
    <w:rsid w:val="006863B1"/>
    <w:rsid w:val="006864A4"/>
    <w:rsid w:val="006868AA"/>
    <w:rsid w:val="00686B1C"/>
    <w:rsid w:val="00686CE0"/>
    <w:rsid w:val="006870E8"/>
    <w:rsid w:val="00687468"/>
    <w:rsid w:val="0068752B"/>
    <w:rsid w:val="006877E8"/>
    <w:rsid w:val="006878AA"/>
    <w:rsid w:val="00687A69"/>
    <w:rsid w:val="00687B1D"/>
    <w:rsid w:val="006900E1"/>
    <w:rsid w:val="0069089C"/>
    <w:rsid w:val="006908BE"/>
    <w:rsid w:val="006908FB"/>
    <w:rsid w:val="006909C0"/>
    <w:rsid w:val="00690BB4"/>
    <w:rsid w:val="00690F54"/>
    <w:rsid w:val="00691096"/>
    <w:rsid w:val="00691255"/>
    <w:rsid w:val="00691332"/>
    <w:rsid w:val="0069146E"/>
    <w:rsid w:val="006916A5"/>
    <w:rsid w:val="006919CD"/>
    <w:rsid w:val="00691B5D"/>
    <w:rsid w:val="00691DFA"/>
    <w:rsid w:val="00691E3A"/>
    <w:rsid w:val="00691EEB"/>
    <w:rsid w:val="00691FD6"/>
    <w:rsid w:val="00692063"/>
    <w:rsid w:val="00692066"/>
    <w:rsid w:val="00692953"/>
    <w:rsid w:val="00692E41"/>
    <w:rsid w:val="00693358"/>
    <w:rsid w:val="0069351C"/>
    <w:rsid w:val="0069353E"/>
    <w:rsid w:val="006939AD"/>
    <w:rsid w:val="00693A45"/>
    <w:rsid w:val="00693CE6"/>
    <w:rsid w:val="00693F3D"/>
    <w:rsid w:val="006945CB"/>
    <w:rsid w:val="006946D7"/>
    <w:rsid w:val="0069479A"/>
    <w:rsid w:val="0069480D"/>
    <w:rsid w:val="00694D63"/>
    <w:rsid w:val="00694EAB"/>
    <w:rsid w:val="00695192"/>
    <w:rsid w:val="006953D3"/>
    <w:rsid w:val="00695428"/>
    <w:rsid w:val="006954A2"/>
    <w:rsid w:val="00695723"/>
    <w:rsid w:val="00695873"/>
    <w:rsid w:val="00695B2D"/>
    <w:rsid w:val="00695DE9"/>
    <w:rsid w:val="00695E6D"/>
    <w:rsid w:val="00695F1B"/>
    <w:rsid w:val="00695FCA"/>
    <w:rsid w:val="00696024"/>
    <w:rsid w:val="00696337"/>
    <w:rsid w:val="006964AB"/>
    <w:rsid w:val="006966F7"/>
    <w:rsid w:val="00696764"/>
    <w:rsid w:val="006968A0"/>
    <w:rsid w:val="0069696E"/>
    <w:rsid w:val="00696A75"/>
    <w:rsid w:val="00696A83"/>
    <w:rsid w:val="00696B81"/>
    <w:rsid w:val="00697060"/>
    <w:rsid w:val="00697520"/>
    <w:rsid w:val="0069758C"/>
    <w:rsid w:val="00697922"/>
    <w:rsid w:val="00697941"/>
    <w:rsid w:val="0069796A"/>
    <w:rsid w:val="00697AF6"/>
    <w:rsid w:val="00697B58"/>
    <w:rsid w:val="00697C26"/>
    <w:rsid w:val="00697F27"/>
    <w:rsid w:val="00697FFB"/>
    <w:rsid w:val="006A06B7"/>
    <w:rsid w:val="006A0791"/>
    <w:rsid w:val="006A08AE"/>
    <w:rsid w:val="006A08E1"/>
    <w:rsid w:val="006A099C"/>
    <w:rsid w:val="006A0E44"/>
    <w:rsid w:val="006A1220"/>
    <w:rsid w:val="006A1238"/>
    <w:rsid w:val="006A12B8"/>
    <w:rsid w:val="006A13F3"/>
    <w:rsid w:val="006A1765"/>
    <w:rsid w:val="006A179C"/>
    <w:rsid w:val="006A181C"/>
    <w:rsid w:val="006A1868"/>
    <w:rsid w:val="006A1F41"/>
    <w:rsid w:val="006A22B1"/>
    <w:rsid w:val="006A22C5"/>
    <w:rsid w:val="006A230E"/>
    <w:rsid w:val="006A28F7"/>
    <w:rsid w:val="006A2915"/>
    <w:rsid w:val="006A29FF"/>
    <w:rsid w:val="006A2A63"/>
    <w:rsid w:val="006A2AE7"/>
    <w:rsid w:val="006A2E87"/>
    <w:rsid w:val="006A2EA8"/>
    <w:rsid w:val="006A3054"/>
    <w:rsid w:val="006A33D6"/>
    <w:rsid w:val="006A350A"/>
    <w:rsid w:val="006A3AAA"/>
    <w:rsid w:val="006A3EB7"/>
    <w:rsid w:val="006A3FA9"/>
    <w:rsid w:val="006A4CD7"/>
    <w:rsid w:val="006A4FF5"/>
    <w:rsid w:val="006A5296"/>
    <w:rsid w:val="006A54A8"/>
    <w:rsid w:val="006A5836"/>
    <w:rsid w:val="006A594C"/>
    <w:rsid w:val="006A5A81"/>
    <w:rsid w:val="006A5B6B"/>
    <w:rsid w:val="006A6003"/>
    <w:rsid w:val="006A61F1"/>
    <w:rsid w:val="006A653B"/>
    <w:rsid w:val="006A66EB"/>
    <w:rsid w:val="006A68D0"/>
    <w:rsid w:val="006A69A3"/>
    <w:rsid w:val="006A69E3"/>
    <w:rsid w:val="006A6A30"/>
    <w:rsid w:val="006A6C57"/>
    <w:rsid w:val="006A6C5F"/>
    <w:rsid w:val="006A6CBD"/>
    <w:rsid w:val="006A6F60"/>
    <w:rsid w:val="006A7004"/>
    <w:rsid w:val="006A7335"/>
    <w:rsid w:val="006A734C"/>
    <w:rsid w:val="006A78C5"/>
    <w:rsid w:val="006A79EF"/>
    <w:rsid w:val="006A7FE7"/>
    <w:rsid w:val="006B048A"/>
    <w:rsid w:val="006B0832"/>
    <w:rsid w:val="006B0A5E"/>
    <w:rsid w:val="006B0BD5"/>
    <w:rsid w:val="006B0E2E"/>
    <w:rsid w:val="006B0EC1"/>
    <w:rsid w:val="006B0FF2"/>
    <w:rsid w:val="006B1057"/>
    <w:rsid w:val="006B109C"/>
    <w:rsid w:val="006B1300"/>
    <w:rsid w:val="006B147A"/>
    <w:rsid w:val="006B14D2"/>
    <w:rsid w:val="006B14E0"/>
    <w:rsid w:val="006B152C"/>
    <w:rsid w:val="006B16C3"/>
    <w:rsid w:val="006B1DE8"/>
    <w:rsid w:val="006B27B5"/>
    <w:rsid w:val="006B295A"/>
    <w:rsid w:val="006B29D7"/>
    <w:rsid w:val="006B2B18"/>
    <w:rsid w:val="006B2BDD"/>
    <w:rsid w:val="006B2C0E"/>
    <w:rsid w:val="006B30D7"/>
    <w:rsid w:val="006B3149"/>
    <w:rsid w:val="006B357C"/>
    <w:rsid w:val="006B3769"/>
    <w:rsid w:val="006B38F9"/>
    <w:rsid w:val="006B3929"/>
    <w:rsid w:val="006B3942"/>
    <w:rsid w:val="006B3964"/>
    <w:rsid w:val="006B3A2B"/>
    <w:rsid w:val="006B3C2C"/>
    <w:rsid w:val="006B3D11"/>
    <w:rsid w:val="006B3D80"/>
    <w:rsid w:val="006B4329"/>
    <w:rsid w:val="006B432E"/>
    <w:rsid w:val="006B43DC"/>
    <w:rsid w:val="006B4450"/>
    <w:rsid w:val="006B4454"/>
    <w:rsid w:val="006B4870"/>
    <w:rsid w:val="006B4C7F"/>
    <w:rsid w:val="006B4D0A"/>
    <w:rsid w:val="006B4D46"/>
    <w:rsid w:val="006B4F01"/>
    <w:rsid w:val="006B4FF2"/>
    <w:rsid w:val="006B51ED"/>
    <w:rsid w:val="006B5229"/>
    <w:rsid w:val="006B54DA"/>
    <w:rsid w:val="006B5501"/>
    <w:rsid w:val="006B5540"/>
    <w:rsid w:val="006B55BA"/>
    <w:rsid w:val="006B5A7C"/>
    <w:rsid w:val="006B5A84"/>
    <w:rsid w:val="006B5B14"/>
    <w:rsid w:val="006B5B6A"/>
    <w:rsid w:val="006B5CE6"/>
    <w:rsid w:val="006B5E44"/>
    <w:rsid w:val="006B5FDA"/>
    <w:rsid w:val="006B6075"/>
    <w:rsid w:val="006B62D1"/>
    <w:rsid w:val="006B64DC"/>
    <w:rsid w:val="006B6BAA"/>
    <w:rsid w:val="006B6C50"/>
    <w:rsid w:val="006B70CB"/>
    <w:rsid w:val="006B738D"/>
    <w:rsid w:val="006B7461"/>
    <w:rsid w:val="006B74CF"/>
    <w:rsid w:val="006B75AE"/>
    <w:rsid w:val="006B770D"/>
    <w:rsid w:val="006B7FD7"/>
    <w:rsid w:val="006C03B4"/>
    <w:rsid w:val="006C051A"/>
    <w:rsid w:val="006C06DA"/>
    <w:rsid w:val="006C097E"/>
    <w:rsid w:val="006C0A21"/>
    <w:rsid w:val="006C0F81"/>
    <w:rsid w:val="006C104E"/>
    <w:rsid w:val="006C12CB"/>
    <w:rsid w:val="006C1AAF"/>
    <w:rsid w:val="006C1AB3"/>
    <w:rsid w:val="006C1ED6"/>
    <w:rsid w:val="006C200D"/>
    <w:rsid w:val="006C23B6"/>
    <w:rsid w:val="006C28EC"/>
    <w:rsid w:val="006C2A13"/>
    <w:rsid w:val="006C3449"/>
    <w:rsid w:val="006C3786"/>
    <w:rsid w:val="006C3B71"/>
    <w:rsid w:val="006C3BC8"/>
    <w:rsid w:val="006C3EDE"/>
    <w:rsid w:val="006C404F"/>
    <w:rsid w:val="006C4101"/>
    <w:rsid w:val="006C45FB"/>
    <w:rsid w:val="006C462E"/>
    <w:rsid w:val="006C46FF"/>
    <w:rsid w:val="006C4DC5"/>
    <w:rsid w:val="006C4E75"/>
    <w:rsid w:val="006C4EA5"/>
    <w:rsid w:val="006C4F9F"/>
    <w:rsid w:val="006C5691"/>
    <w:rsid w:val="006C58C1"/>
    <w:rsid w:val="006C59CA"/>
    <w:rsid w:val="006C5B7B"/>
    <w:rsid w:val="006C5BD9"/>
    <w:rsid w:val="006C61B8"/>
    <w:rsid w:val="006C667A"/>
    <w:rsid w:val="006C6DCC"/>
    <w:rsid w:val="006C702B"/>
    <w:rsid w:val="006C73D5"/>
    <w:rsid w:val="006C7572"/>
    <w:rsid w:val="006C79B9"/>
    <w:rsid w:val="006C7A4A"/>
    <w:rsid w:val="006C7DD4"/>
    <w:rsid w:val="006C7ED9"/>
    <w:rsid w:val="006D054C"/>
    <w:rsid w:val="006D08A4"/>
    <w:rsid w:val="006D08B4"/>
    <w:rsid w:val="006D09AB"/>
    <w:rsid w:val="006D09CB"/>
    <w:rsid w:val="006D0B62"/>
    <w:rsid w:val="006D0CD5"/>
    <w:rsid w:val="006D0E3A"/>
    <w:rsid w:val="006D103D"/>
    <w:rsid w:val="006D12A1"/>
    <w:rsid w:val="006D1330"/>
    <w:rsid w:val="006D15C7"/>
    <w:rsid w:val="006D1670"/>
    <w:rsid w:val="006D16B7"/>
    <w:rsid w:val="006D16DE"/>
    <w:rsid w:val="006D19F5"/>
    <w:rsid w:val="006D1D66"/>
    <w:rsid w:val="006D1E2E"/>
    <w:rsid w:val="006D221B"/>
    <w:rsid w:val="006D292D"/>
    <w:rsid w:val="006D2B07"/>
    <w:rsid w:val="006D3059"/>
    <w:rsid w:val="006D30D3"/>
    <w:rsid w:val="006D3311"/>
    <w:rsid w:val="006D379C"/>
    <w:rsid w:val="006D38D7"/>
    <w:rsid w:val="006D3925"/>
    <w:rsid w:val="006D394C"/>
    <w:rsid w:val="006D3B03"/>
    <w:rsid w:val="006D3DC0"/>
    <w:rsid w:val="006D3EA5"/>
    <w:rsid w:val="006D4637"/>
    <w:rsid w:val="006D4854"/>
    <w:rsid w:val="006D4899"/>
    <w:rsid w:val="006D49B5"/>
    <w:rsid w:val="006D4C1F"/>
    <w:rsid w:val="006D4D48"/>
    <w:rsid w:val="006D4F3F"/>
    <w:rsid w:val="006D4FDE"/>
    <w:rsid w:val="006D5148"/>
    <w:rsid w:val="006D5621"/>
    <w:rsid w:val="006D58C2"/>
    <w:rsid w:val="006D5A51"/>
    <w:rsid w:val="006D5A6D"/>
    <w:rsid w:val="006D5B47"/>
    <w:rsid w:val="006D5B90"/>
    <w:rsid w:val="006D5C3C"/>
    <w:rsid w:val="006D5D2D"/>
    <w:rsid w:val="006D5DE3"/>
    <w:rsid w:val="006D5F7E"/>
    <w:rsid w:val="006D5FA6"/>
    <w:rsid w:val="006D5FC9"/>
    <w:rsid w:val="006D6108"/>
    <w:rsid w:val="006D61C6"/>
    <w:rsid w:val="006D6DA4"/>
    <w:rsid w:val="006D6EF5"/>
    <w:rsid w:val="006D6F8B"/>
    <w:rsid w:val="006D7276"/>
    <w:rsid w:val="006D72E6"/>
    <w:rsid w:val="006D73A4"/>
    <w:rsid w:val="006D73BE"/>
    <w:rsid w:val="006D7401"/>
    <w:rsid w:val="006D7598"/>
    <w:rsid w:val="006D75AC"/>
    <w:rsid w:val="006D7624"/>
    <w:rsid w:val="006D7629"/>
    <w:rsid w:val="006D762A"/>
    <w:rsid w:val="006D765E"/>
    <w:rsid w:val="006D7A41"/>
    <w:rsid w:val="006E005C"/>
    <w:rsid w:val="006E0671"/>
    <w:rsid w:val="006E0754"/>
    <w:rsid w:val="006E07D1"/>
    <w:rsid w:val="006E08F5"/>
    <w:rsid w:val="006E0DE4"/>
    <w:rsid w:val="006E0E3F"/>
    <w:rsid w:val="006E123E"/>
    <w:rsid w:val="006E1AC8"/>
    <w:rsid w:val="006E1DB6"/>
    <w:rsid w:val="006E1F8B"/>
    <w:rsid w:val="006E247B"/>
    <w:rsid w:val="006E261D"/>
    <w:rsid w:val="006E2775"/>
    <w:rsid w:val="006E27BB"/>
    <w:rsid w:val="006E27DE"/>
    <w:rsid w:val="006E2CA0"/>
    <w:rsid w:val="006E2EEE"/>
    <w:rsid w:val="006E2FB3"/>
    <w:rsid w:val="006E2FBE"/>
    <w:rsid w:val="006E302F"/>
    <w:rsid w:val="006E304C"/>
    <w:rsid w:val="006E311C"/>
    <w:rsid w:val="006E33FD"/>
    <w:rsid w:val="006E348B"/>
    <w:rsid w:val="006E3A8C"/>
    <w:rsid w:val="006E4004"/>
    <w:rsid w:val="006E40EE"/>
    <w:rsid w:val="006E4186"/>
    <w:rsid w:val="006E4375"/>
    <w:rsid w:val="006E4399"/>
    <w:rsid w:val="006E4560"/>
    <w:rsid w:val="006E4592"/>
    <w:rsid w:val="006E48B0"/>
    <w:rsid w:val="006E4DBF"/>
    <w:rsid w:val="006E5211"/>
    <w:rsid w:val="006E5589"/>
    <w:rsid w:val="006E55A3"/>
    <w:rsid w:val="006E55FD"/>
    <w:rsid w:val="006E58BA"/>
    <w:rsid w:val="006E59ED"/>
    <w:rsid w:val="006E5A9D"/>
    <w:rsid w:val="006E5BFC"/>
    <w:rsid w:val="006E5ECE"/>
    <w:rsid w:val="006E60D8"/>
    <w:rsid w:val="006E6224"/>
    <w:rsid w:val="006E6277"/>
    <w:rsid w:val="006E64DF"/>
    <w:rsid w:val="006E64EA"/>
    <w:rsid w:val="006E6BB8"/>
    <w:rsid w:val="006E6C39"/>
    <w:rsid w:val="006E6E24"/>
    <w:rsid w:val="006E6E8E"/>
    <w:rsid w:val="006E767A"/>
    <w:rsid w:val="006E76E2"/>
    <w:rsid w:val="006E7929"/>
    <w:rsid w:val="006E7C33"/>
    <w:rsid w:val="006E7CD9"/>
    <w:rsid w:val="006F010A"/>
    <w:rsid w:val="006F097F"/>
    <w:rsid w:val="006F09CC"/>
    <w:rsid w:val="006F19B9"/>
    <w:rsid w:val="006F1D7F"/>
    <w:rsid w:val="006F1E5B"/>
    <w:rsid w:val="006F23B1"/>
    <w:rsid w:val="006F2423"/>
    <w:rsid w:val="006F26FD"/>
    <w:rsid w:val="006F2861"/>
    <w:rsid w:val="006F2906"/>
    <w:rsid w:val="006F295F"/>
    <w:rsid w:val="006F2CAC"/>
    <w:rsid w:val="006F2CB7"/>
    <w:rsid w:val="006F2DF5"/>
    <w:rsid w:val="006F2EB5"/>
    <w:rsid w:val="006F3172"/>
    <w:rsid w:val="006F3212"/>
    <w:rsid w:val="006F32D6"/>
    <w:rsid w:val="006F3459"/>
    <w:rsid w:val="006F346A"/>
    <w:rsid w:val="006F358C"/>
    <w:rsid w:val="006F36AE"/>
    <w:rsid w:val="006F39AB"/>
    <w:rsid w:val="006F3A1B"/>
    <w:rsid w:val="006F3C80"/>
    <w:rsid w:val="006F3F7A"/>
    <w:rsid w:val="006F3F8B"/>
    <w:rsid w:val="006F3FA3"/>
    <w:rsid w:val="006F4094"/>
    <w:rsid w:val="006F4358"/>
    <w:rsid w:val="006F44B0"/>
    <w:rsid w:val="006F46B9"/>
    <w:rsid w:val="006F4BE7"/>
    <w:rsid w:val="006F4EF0"/>
    <w:rsid w:val="006F511F"/>
    <w:rsid w:val="006F5576"/>
    <w:rsid w:val="006F56B6"/>
    <w:rsid w:val="006F57E0"/>
    <w:rsid w:val="006F5A3D"/>
    <w:rsid w:val="006F5C80"/>
    <w:rsid w:val="006F5FD2"/>
    <w:rsid w:val="006F5FD6"/>
    <w:rsid w:val="006F5FDF"/>
    <w:rsid w:val="006F6075"/>
    <w:rsid w:val="006F627C"/>
    <w:rsid w:val="006F62D8"/>
    <w:rsid w:val="006F6671"/>
    <w:rsid w:val="006F66B3"/>
    <w:rsid w:val="006F6885"/>
    <w:rsid w:val="006F6EDC"/>
    <w:rsid w:val="006F6F2D"/>
    <w:rsid w:val="006F776E"/>
    <w:rsid w:val="006F794B"/>
    <w:rsid w:val="006F7B69"/>
    <w:rsid w:val="006F7EC8"/>
    <w:rsid w:val="006F7FB2"/>
    <w:rsid w:val="007002EB"/>
    <w:rsid w:val="00700365"/>
    <w:rsid w:val="00700499"/>
    <w:rsid w:val="007008B9"/>
    <w:rsid w:val="0070090B"/>
    <w:rsid w:val="00700A47"/>
    <w:rsid w:val="00700E42"/>
    <w:rsid w:val="00700FDA"/>
    <w:rsid w:val="00701526"/>
    <w:rsid w:val="0070172D"/>
    <w:rsid w:val="00701C23"/>
    <w:rsid w:val="00701F40"/>
    <w:rsid w:val="0070216A"/>
    <w:rsid w:val="00702326"/>
    <w:rsid w:val="00702402"/>
    <w:rsid w:val="00702910"/>
    <w:rsid w:val="00702A49"/>
    <w:rsid w:val="00702F7D"/>
    <w:rsid w:val="0070331A"/>
    <w:rsid w:val="0070350C"/>
    <w:rsid w:val="00703546"/>
    <w:rsid w:val="0070386B"/>
    <w:rsid w:val="007039FF"/>
    <w:rsid w:val="00703C17"/>
    <w:rsid w:val="00703C41"/>
    <w:rsid w:val="00703CEF"/>
    <w:rsid w:val="00703E88"/>
    <w:rsid w:val="00703E96"/>
    <w:rsid w:val="00703EDB"/>
    <w:rsid w:val="00703F1C"/>
    <w:rsid w:val="00703F20"/>
    <w:rsid w:val="007040B4"/>
    <w:rsid w:val="0070433F"/>
    <w:rsid w:val="007043CC"/>
    <w:rsid w:val="00704733"/>
    <w:rsid w:val="00704A72"/>
    <w:rsid w:val="00704CF1"/>
    <w:rsid w:val="0070538D"/>
    <w:rsid w:val="00705456"/>
    <w:rsid w:val="0070562F"/>
    <w:rsid w:val="007057F1"/>
    <w:rsid w:val="00705B7F"/>
    <w:rsid w:val="00705D25"/>
    <w:rsid w:val="00705DFB"/>
    <w:rsid w:val="00705F68"/>
    <w:rsid w:val="00705FED"/>
    <w:rsid w:val="007065D6"/>
    <w:rsid w:val="007066A8"/>
    <w:rsid w:val="007066B8"/>
    <w:rsid w:val="00706736"/>
    <w:rsid w:val="0070683D"/>
    <w:rsid w:val="00706A76"/>
    <w:rsid w:val="00706CC3"/>
    <w:rsid w:val="00707271"/>
    <w:rsid w:val="00707336"/>
    <w:rsid w:val="00707410"/>
    <w:rsid w:val="00707477"/>
    <w:rsid w:val="00707491"/>
    <w:rsid w:val="007075BE"/>
    <w:rsid w:val="007079B4"/>
    <w:rsid w:val="00707D46"/>
    <w:rsid w:val="00707DA2"/>
    <w:rsid w:val="00707F00"/>
    <w:rsid w:val="0071027D"/>
    <w:rsid w:val="00710306"/>
    <w:rsid w:val="0071056A"/>
    <w:rsid w:val="0071081D"/>
    <w:rsid w:val="00710862"/>
    <w:rsid w:val="0071098E"/>
    <w:rsid w:val="00710A16"/>
    <w:rsid w:val="00710ED4"/>
    <w:rsid w:val="0071103E"/>
    <w:rsid w:val="0071137B"/>
    <w:rsid w:val="007113ED"/>
    <w:rsid w:val="00711568"/>
    <w:rsid w:val="007118E9"/>
    <w:rsid w:val="0071198A"/>
    <w:rsid w:val="007119E2"/>
    <w:rsid w:val="00711A2B"/>
    <w:rsid w:val="00711F86"/>
    <w:rsid w:val="00712438"/>
    <w:rsid w:val="00712A34"/>
    <w:rsid w:val="00712E30"/>
    <w:rsid w:val="00712E3C"/>
    <w:rsid w:val="0071346D"/>
    <w:rsid w:val="007136D2"/>
    <w:rsid w:val="00713706"/>
    <w:rsid w:val="00713727"/>
    <w:rsid w:val="0071380C"/>
    <w:rsid w:val="00713931"/>
    <w:rsid w:val="00713E11"/>
    <w:rsid w:val="0071401E"/>
    <w:rsid w:val="0071447E"/>
    <w:rsid w:val="0071461F"/>
    <w:rsid w:val="0071486B"/>
    <w:rsid w:val="00714918"/>
    <w:rsid w:val="00714BD9"/>
    <w:rsid w:val="00714CA1"/>
    <w:rsid w:val="00714D01"/>
    <w:rsid w:val="0071545A"/>
    <w:rsid w:val="00715494"/>
    <w:rsid w:val="007156D7"/>
    <w:rsid w:val="00715867"/>
    <w:rsid w:val="007158B4"/>
    <w:rsid w:val="00715AA0"/>
    <w:rsid w:val="00715BDD"/>
    <w:rsid w:val="00715C72"/>
    <w:rsid w:val="00715D8C"/>
    <w:rsid w:val="00715E6B"/>
    <w:rsid w:val="007160D0"/>
    <w:rsid w:val="007161B3"/>
    <w:rsid w:val="00716225"/>
    <w:rsid w:val="0071647E"/>
    <w:rsid w:val="00716598"/>
    <w:rsid w:val="00716610"/>
    <w:rsid w:val="0071664A"/>
    <w:rsid w:val="00716695"/>
    <w:rsid w:val="00716961"/>
    <w:rsid w:val="00716C38"/>
    <w:rsid w:val="007170AB"/>
    <w:rsid w:val="0071714A"/>
    <w:rsid w:val="00717265"/>
    <w:rsid w:val="007175B7"/>
    <w:rsid w:val="007178A0"/>
    <w:rsid w:val="007179B9"/>
    <w:rsid w:val="00717CE8"/>
    <w:rsid w:val="00717DF2"/>
    <w:rsid w:val="00717F26"/>
    <w:rsid w:val="00717F90"/>
    <w:rsid w:val="00720038"/>
    <w:rsid w:val="0072055A"/>
    <w:rsid w:val="00720602"/>
    <w:rsid w:val="007206AB"/>
    <w:rsid w:val="00720721"/>
    <w:rsid w:val="00720950"/>
    <w:rsid w:val="0072095D"/>
    <w:rsid w:val="00720A75"/>
    <w:rsid w:val="00720A7B"/>
    <w:rsid w:val="00720AA4"/>
    <w:rsid w:val="00720B47"/>
    <w:rsid w:val="00720B5A"/>
    <w:rsid w:val="00720BEA"/>
    <w:rsid w:val="00720C2F"/>
    <w:rsid w:val="00720D66"/>
    <w:rsid w:val="00720E55"/>
    <w:rsid w:val="00720FAB"/>
    <w:rsid w:val="00720FB4"/>
    <w:rsid w:val="007213BB"/>
    <w:rsid w:val="00721472"/>
    <w:rsid w:val="0072180A"/>
    <w:rsid w:val="00721B2E"/>
    <w:rsid w:val="00721B4D"/>
    <w:rsid w:val="00722CDE"/>
    <w:rsid w:val="00722E78"/>
    <w:rsid w:val="00722F2A"/>
    <w:rsid w:val="00722F7A"/>
    <w:rsid w:val="0072316F"/>
    <w:rsid w:val="007233FA"/>
    <w:rsid w:val="00723854"/>
    <w:rsid w:val="00723CB6"/>
    <w:rsid w:val="007241FE"/>
    <w:rsid w:val="007246BE"/>
    <w:rsid w:val="00724DDD"/>
    <w:rsid w:val="00724F4D"/>
    <w:rsid w:val="00725488"/>
    <w:rsid w:val="0072578B"/>
    <w:rsid w:val="007258F4"/>
    <w:rsid w:val="00725DA7"/>
    <w:rsid w:val="00725EB4"/>
    <w:rsid w:val="00726213"/>
    <w:rsid w:val="00726258"/>
    <w:rsid w:val="007262F9"/>
    <w:rsid w:val="00726356"/>
    <w:rsid w:val="007265E2"/>
    <w:rsid w:val="0072664F"/>
    <w:rsid w:val="00726819"/>
    <w:rsid w:val="00726CEE"/>
    <w:rsid w:val="0072701B"/>
    <w:rsid w:val="00727052"/>
    <w:rsid w:val="0072715D"/>
    <w:rsid w:val="00727516"/>
    <w:rsid w:val="00727816"/>
    <w:rsid w:val="00727BA4"/>
    <w:rsid w:val="00727FF8"/>
    <w:rsid w:val="007300C5"/>
    <w:rsid w:val="007300CC"/>
    <w:rsid w:val="00730A02"/>
    <w:rsid w:val="00730D8D"/>
    <w:rsid w:val="00730D91"/>
    <w:rsid w:val="00730DED"/>
    <w:rsid w:val="0073149B"/>
    <w:rsid w:val="0073173B"/>
    <w:rsid w:val="00731EEC"/>
    <w:rsid w:val="007323E7"/>
    <w:rsid w:val="00732486"/>
    <w:rsid w:val="0073258D"/>
    <w:rsid w:val="00732A5F"/>
    <w:rsid w:val="00732EF1"/>
    <w:rsid w:val="00733244"/>
    <w:rsid w:val="0073343B"/>
    <w:rsid w:val="0073385B"/>
    <w:rsid w:val="00733AEC"/>
    <w:rsid w:val="00733F07"/>
    <w:rsid w:val="0073441C"/>
    <w:rsid w:val="00734946"/>
    <w:rsid w:val="00734A42"/>
    <w:rsid w:val="00734AF6"/>
    <w:rsid w:val="00734C04"/>
    <w:rsid w:val="00734C70"/>
    <w:rsid w:val="00734C86"/>
    <w:rsid w:val="00734D3B"/>
    <w:rsid w:val="00734EB2"/>
    <w:rsid w:val="00734F1A"/>
    <w:rsid w:val="00735312"/>
    <w:rsid w:val="00735353"/>
    <w:rsid w:val="007354EA"/>
    <w:rsid w:val="007357CD"/>
    <w:rsid w:val="00735831"/>
    <w:rsid w:val="007358EB"/>
    <w:rsid w:val="00735A72"/>
    <w:rsid w:val="00736026"/>
    <w:rsid w:val="00736435"/>
    <w:rsid w:val="007364D4"/>
    <w:rsid w:val="00736623"/>
    <w:rsid w:val="00736EA0"/>
    <w:rsid w:val="00737172"/>
    <w:rsid w:val="00737834"/>
    <w:rsid w:val="00737A49"/>
    <w:rsid w:val="00737C9D"/>
    <w:rsid w:val="00737CE2"/>
    <w:rsid w:val="00737FA8"/>
    <w:rsid w:val="00740014"/>
    <w:rsid w:val="00740214"/>
    <w:rsid w:val="007403CD"/>
    <w:rsid w:val="00740442"/>
    <w:rsid w:val="007407C6"/>
    <w:rsid w:val="00740840"/>
    <w:rsid w:val="0074097C"/>
    <w:rsid w:val="00740A65"/>
    <w:rsid w:val="00740CBF"/>
    <w:rsid w:val="00740DC0"/>
    <w:rsid w:val="00741080"/>
    <w:rsid w:val="007416B2"/>
    <w:rsid w:val="00741768"/>
    <w:rsid w:val="00741851"/>
    <w:rsid w:val="00741ECA"/>
    <w:rsid w:val="0074201E"/>
    <w:rsid w:val="00742320"/>
    <w:rsid w:val="007423C1"/>
    <w:rsid w:val="00742459"/>
    <w:rsid w:val="0074256C"/>
    <w:rsid w:val="007425E2"/>
    <w:rsid w:val="0074274C"/>
    <w:rsid w:val="00742A40"/>
    <w:rsid w:val="00742B28"/>
    <w:rsid w:val="0074386E"/>
    <w:rsid w:val="00743901"/>
    <w:rsid w:val="00743A07"/>
    <w:rsid w:val="00743B8B"/>
    <w:rsid w:val="00743C45"/>
    <w:rsid w:val="00743D8B"/>
    <w:rsid w:val="00743F72"/>
    <w:rsid w:val="00744461"/>
    <w:rsid w:val="007444BD"/>
    <w:rsid w:val="007445E1"/>
    <w:rsid w:val="007445F9"/>
    <w:rsid w:val="0074462C"/>
    <w:rsid w:val="00744884"/>
    <w:rsid w:val="00744E45"/>
    <w:rsid w:val="00744FBC"/>
    <w:rsid w:val="007452F8"/>
    <w:rsid w:val="00745359"/>
    <w:rsid w:val="00745DDA"/>
    <w:rsid w:val="007461C3"/>
    <w:rsid w:val="0074642C"/>
    <w:rsid w:val="00746446"/>
    <w:rsid w:val="00746591"/>
    <w:rsid w:val="0074664A"/>
    <w:rsid w:val="0074669F"/>
    <w:rsid w:val="00746892"/>
    <w:rsid w:val="00746B1E"/>
    <w:rsid w:val="00746BE4"/>
    <w:rsid w:val="00746BFD"/>
    <w:rsid w:val="00746C93"/>
    <w:rsid w:val="00746D42"/>
    <w:rsid w:val="0074707B"/>
    <w:rsid w:val="00747169"/>
    <w:rsid w:val="0074722D"/>
    <w:rsid w:val="00747386"/>
    <w:rsid w:val="0074745D"/>
    <w:rsid w:val="00747A76"/>
    <w:rsid w:val="00747AD6"/>
    <w:rsid w:val="00747C0E"/>
    <w:rsid w:val="00747CDA"/>
    <w:rsid w:val="00747D1D"/>
    <w:rsid w:val="00747E43"/>
    <w:rsid w:val="00747F4E"/>
    <w:rsid w:val="0075013F"/>
    <w:rsid w:val="00750328"/>
    <w:rsid w:val="007503B8"/>
    <w:rsid w:val="007507EB"/>
    <w:rsid w:val="007510F7"/>
    <w:rsid w:val="007511A6"/>
    <w:rsid w:val="00751204"/>
    <w:rsid w:val="00751226"/>
    <w:rsid w:val="007512D3"/>
    <w:rsid w:val="00751356"/>
    <w:rsid w:val="00751686"/>
    <w:rsid w:val="00751E76"/>
    <w:rsid w:val="00752860"/>
    <w:rsid w:val="007528B3"/>
    <w:rsid w:val="007529FF"/>
    <w:rsid w:val="00752A6A"/>
    <w:rsid w:val="007535D1"/>
    <w:rsid w:val="00753946"/>
    <w:rsid w:val="00753A1A"/>
    <w:rsid w:val="00753FDA"/>
    <w:rsid w:val="00754466"/>
    <w:rsid w:val="00754677"/>
    <w:rsid w:val="0075479F"/>
    <w:rsid w:val="00754BC3"/>
    <w:rsid w:val="00754C2F"/>
    <w:rsid w:val="00754DFA"/>
    <w:rsid w:val="00754E35"/>
    <w:rsid w:val="00754FA2"/>
    <w:rsid w:val="007552E1"/>
    <w:rsid w:val="007555D5"/>
    <w:rsid w:val="007556D3"/>
    <w:rsid w:val="00755716"/>
    <w:rsid w:val="0075587D"/>
    <w:rsid w:val="007559E1"/>
    <w:rsid w:val="00755D8C"/>
    <w:rsid w:val="00755DB2"/>
    <w:rsid w:val="0075618A"/>
    <w:rsid w:val="0075624D"/>
    <w:rsid w:val="0075638D"/>
    <w:rsid w:val="00756421"/>
    <w:rsid w:val="0075647A"/>
    <w:rsid w:val="0075658B"/>
    <w:rsid w:val="00756644"/>
    <w:rsid w:val="0075666C"/>
    <w:rsid w:val="0075690F"/>
    <w:rsid w:val="00756DAD"/>
    <w:rsid w:val="00756EE6"/>
    <w:rsid w:val="00756FDC"/>
    <w:rsid w:val="007571A2"/>
    <w:rsid w:val="007573CD"/>
    <w:rsid w:val="0075798E"/>
    <w:rsid w:val="007579D2"/>
    <w:rsid w:val="00757CC5"/>
    <w:rsid w:val="00757D3B"/>
    <w:rsid w:val="00757DF2"/>
    <w:rsid w:val="00760289"/>
    <w:rsid w:val="00760376"/>
    <w:rsid w:val="007605C4"/>
    <w:rsid w:val="00760AFC"/>
    <w:rsid w:val="00760C3E"/>
    <w:rsid w:val="00760C7F"/>
    <w:rsid w:val="00760F0D"/>
    <w:rsid w:val="00760F11"/>
    <w:rsid w:val="00761129"/>
    <w:rsid w:val="0076146C"/>
    <w:rsid w:val="00761626"/>
    <w:rsid w:val="007619DF"/>
    <w:rsid w:val="00761BF6"/>
    <w:rsid w:val="00761D24"/>
    <w:rsid w:val="00761E2C"/>
    <w:rsid w:val="0076233E"/>
    <w:rsid w:val="007628D6"/>
    <w:rsid w:val="00762B1A"/>
    <w:rsid w:val="00762FDB"/>
    <w:rsid w:val="0076304C"/>
    <w:rsid w:val="007633DE"/>
    <w:rsid w:val="00763438"/>
    <w:rsid w:val="0076361E"/>
    <w:rsid w:val="007637D1"/>
    <w:rsid w:val="00763924"/>
    <w:rsid w:val="00763C5D"/>
    <w:rsid w:val="00763D84"/>
    <w:rsid w:val="00764080"/>
    <w:rsid w:val="007645BD"/>
    <w:rsid w:val="007647B9"/>
    <w:rsid w:val="00764A6B"/>
    <w:rsid w:val="00764B63"/>
    <w:rsid w:val="00764EA1"/>
    <w:rsid w:val="007652EA"/>
    <w:rsid w:val="007655D5"/>
    <w:rsid w:val="007657D3"/>
    <w:rsid w:val="00765805"/>
    <w:rsid w:val="0076590F"/>
    <w:rsid w:val="0076594B"/>
    <w:rsid w:val="00765F9D"/>
    <w:rsid w:val="0076607A"/>
    <w:rsid w:val="00766304"/>
    <w:rsid w:val="00766403"/>
    <w:rsid w:val="00766510"/>
    <w:rsid w:val="007665D0"/>
    <w:rsid w:val="00766641"/>
    <w:rsid w:val="00766811"/>
    <w:rsid w:val="00766A26"/>
    <w:rsid w:val="00766AB6"/>
    <w:rsid w:val="00766CA2"/>
    <w:rsid w:val="00766E6F"/>
    <w:rsid w:val="0076763D"/>
    <w:rsid w:val="007677C9"/>
    <w:rsid w:val="00767BEA"/>
    <w:rsid w:val="00770813"/>
    <w:rsid w:val="00770C07"/>
    <w:rsid w:val="00770DB5"/>
    <w:rsid w:val="00770EAB"/>
    <w:rsid w:val="00771230"/>
    <w:rsid w:val="00771412"/>
    <w:rsid w:val="00771532"/>
    <w:rsid w:val="007716C9"/>
    <w:rsid w:val="00771DB4"/>
    <w:rsid w:val="00771DE9"/>
    <w:rsid w:val="00771FCF"/>
    <w:rsid w:val="00771FDB"/>
    <w:rsid w:val="007720AB"/>
    <w:rsid w:val="00772209"/>
    <w:rsid w:val="00772483"/>
    <w:rsid w:val="0077261E"/>
    <w:rsid w:val="007726E1"/>
    <w:rsid w:val="00772759"/>
    <w:rsid w:val="0077290A"/>
    <w:rsid w:val="00772ED1"/>
    <w:rsid w:val="00773131"/>
    <w:rsid w:val="00773512"/>
    <w:rsid w:val="00773596"/>
    <w:rsid w:val="00773D27"/>
    <w:rsid w:val="00773D2F"/>
    <w:rsid w:val="00773DE3"/>
    <w:rsid w:val="00773E37"/>
    <w:rsid w:val="0077407D"/>
    <w:rsid w:val="00774178"/>
    <w:rsid w:val="007741DC"/>
    <w:rsid w:val="00774400"/>
    <w:rsid w:val="0077468D"/>
    <w:rsid w:val="007747EF"/>
    <w:rsid w:val="00774B7B"/>
    <w:rsid w:val="00774C61"/>
    <w:rsid w:val="00774F01"/>
    <w:rsid w:val="00774F43"/>
    <w:rsid w:val="0077521C"/>
    <w:rsid w:val="007753B4"/>
    <w:rsid w:val="0077575E"/>
    <w:rsid w:val="007758E7"/>
    <w:rsid w:val="007759E2"/>
    <w:rsid w:val="00775C56"/>
    <w:rsid w:val="00775D7F"/>
    <w:rsid w:val="007760D1"/>
    <w:rsid w:val="0077648D"/>
    <w:rsid w:val="007764DA"/>
    <w:rsid w:val="0077655E"/>
    <w:rsid w:val="007765C5"/>
    <w:rsid w:val="0077666D"/>
    <w:rsid w:val="00776873"/>
    <w:rsid w:val="00776A40"/>
    <w:rsid w:val="00776B43"/>
    <w:rsid w:val="0077754C"/>
    <w:rsid w:val="0077756D"/>
    <w:rsid w:val="0077790D"/>
    <w:rsid w:val="00777A48"/>
    <w:rsid w:val="00777DF6"/>
    <w:rsid w:val="007800DA"/>
    <w:rsid w:val="0078034E"/>
    <w:rsid w:val="007805C9"/>
    <w:rsid w:val="007807AC"/>
    <w:rsid w:val="00780944"/>
    <w:rsid w:val="00780B06"/>
    <w:rsid w:val="00780F7C"/>
    <w:rsid w:val="00781170"/>
    <w:rsid w:val="0078124C"/>
    <w:rsid w:val="007812EA"/>
    <w:rsid w:val="00781482"/>
    <w:rsid w:val="00781515"/>
    <w:rsid w:val="007815C0"/>
    <w:rsid w:val="007819C2"/>
    <w:rsid w:val="0078260F"/>
    <w:rsid w:val="0078271C"/>
    <w:rsid w:val="00782850"/>
    <w:rsid w:val="0078320C"/>
    <w:rsid w:val="00783216"/>
    <w:rsid w:val="007832D9"/>
    <w:rsid w:val="00783411"/>
    <w:rsid w:val="0078344F"/>
    <w:rsid w:val="0078359D"/>
    <w:rsid w:val="00783A6D"/>
    <w:rsid w:val="00783FA8"/>
    <w:rsid w:val="007840A8"/>
    <w:rsid w:val="00784116"/>
    <w:rsid w:val="007841F3"/>
    <w:rsid w:val="007843D1"/>
    <w:rsid w:val="007844E2"/>
    <w:rsid w:val="007845CE"/>
    <w:rsid w:val="00784984"/>
    <w:rsid w:val="007849AC"/>
    <w:rsid w:val="00784A7E"/>
    <w:rsid w:val="00784BD3"/>
    <w:rsid w:val="00784C6A"/>
    <w:rsid w:val="00784D23"/>
    <w:rsid w:val="00784DAE"/>
    <w:rsid w:val="00784E02"/>
    <w:rsid w:val="007855B1"/>
    <w:rsid w:val="007858CB"/>
    <w:rsid w:val="00785A1F"/>
    <w:rsid w:val="00785CBD"/>
    <w:rsid w:val="00785F6E"/>
    <w:rsid w:val="00786102"/>
    <w:rsid w:val="00786144"/>
    <w:rsid w:val="007864C1"/>
    <w:rsid w:val="00786877"/>
    <w:rsid w:val="007868B0"/>
    <w:rsid w:val="007869F5"/>
    <w:rsid w:val="007869F7"/>
    <w:rsid w:val="00786D8C"/>
    <w:rsid w:val="00786F1C"/>
    <w:rsid w:val="00787091"/>
    <w:rsid w:val="0078716E"/>
    <w:rsid w:val="007871EF"/>
    <w:rsid w:val="00787564"/>
    <w:rsid w:val="007878C9"/>
    <w:rsid w:val="007879BA"/>
    <w:rsid w:val="00787B5A"/>
    <w:rsid w:val="00787C97"/>
    <w:rsid w:val="00787C9B"/>
    <w:rsid w:val="00790379"/>
    <w:rsid w:val="00790404"/>
    <w:rsid w:val="007906DD"/>
    <w:rsid w:val="007907C9"/>
    <w:rsid w:val="00790851"/>
    <w:rsid w:val="00790907"/>
    <w:rsid w:val="00790EB3"/>
    <w:rsid w:val="00790FEA"/>
    <w:rsid w:val="007910F2"/>
    <w:rsid w:val="0079146C"/>
    <w:rsid w:val="007917AE"/>
    <w:rsid w:val="007917DE"/>
    <w:rsid w:val="0079187A"/>
    <w:rsid w:val="00791977"/>
    <w:rsid w:val="00791B14"/>
    <w:rsid w:val="00791C7A"/>
    <w:rsid w:val="00791DA2"/>
    <w:rsid w:val="00791FB0"/>
    <w:rsid w:val="0079210A"/>
    <w:rsid w:val="00792507"/>
    <w:rsid w:val="00792714"/>
    <w:rsid w:val="007927A0"/>
    <w:rsid w:val="007927D1"/>
    <w:rsid w:val="00792865"/>
    <w:rsid w:val="007929D4"/>
    <w:rsid w:val="00792A18"/>
    <w:rsid w:val="00792D16"/>
    <w:rsid w:val="00792D28"/>
    <w:rsid w:val="00792D32"/>
    <w:rsid w:val="00792D39"/>
    <w:rsid w:val="00792E2D"/>
    <w:rsid w:val="00792EB1"/>
    <w:rsid w:val="00793044"/>
    <w:rsid w:val="007930D0"/>
    <w:rsid w:val="00793170"/>
    <w:rsid w:val="007933C0"/>
    <w:rsid w:val="00793471"/>
    <w:rsid w:val="0079360A"/>
    <w:rsid w:val="00793B56"/>
    <w:rsid w:val="00793B92"/>
    <w:rsid w:val="00793E8A"/>
    <w:rsid w:val="00793EA7"/>
    <w:rsid w:val="00793F2A"/>
    <w:rsid w:val="007943D7"/>
    <w:rsid w:val="00794AF2"/>
    <w:rsid w:val="00794D40"/>
    <w:rsid w:val="00794D6D"/>
    <w:rsid w:val="007950E6"/>
    <w:rsid w:val="00795277"/>
    <w:rsid w:val="00795BA5"/>
    <w:rsid w:val="00795CE4"/>
    <w:rsid w:val="00795DCE"/>
    <w:rsid w:val="00795F63"/>
    <w:rsid w:val="00795FE2"/>
    <w:rsid w:val="00796230"/>
    <w:rsid w:val="007962D6"/>
    <w:rsid w:val="007968DE"/>
    <w:rsid w:val="007968F2"/>
    <w:rsid w:val="00796AFC"/>
    <w:rsid w:val="00796CA0"/>
    <w:rsid w:val="00796D42"/>
    <w:rsid w:val="00796EF8"/>
    <w:rsid w:val="0079705E"/>
    <w:rsid w:val="00797662"/>
    <w:rsid w:val="0079786D"/>
    <w:rsid w:val="007979B9"/>
    <w:rsid w:val="00797B00"/>
    <w:rsid w:val="00797B80"/>
    <w:rsid w:val="00797BAF"/>
    <w:rsid w:val="00797BF4"/>
    <w:rsid w:val="00797BFD"/>
    <w:rsid w:val="00797DB4"/>
    <w:rsid w:val="00797E32"/>
    <w:rsid w:val="007A0104"/>
    <w:rsid w:val="007A02FF"/>
    <w:rsid w:val="007A06C5"/>
    <w:rsid w:val="007A0755"/>
    <w:rsid w:val="007A0821"/>
    <w:rsid w:val="007A0B4D"/>
    <w:rsid w:val="007A10E5"/>
    <w:rsid w:val="007A1427"/>
    <w:rsid w:val="007A168B"/>
    <w:rsid w:val="007A17D8"/>
    <w:rsid w:val="007A19AB"/>
    <w:rsid w:val="007A26AD"/>
    <w:rsid w:val="007A26BE"/>
    <w:rsid w:val="007A2AC0"/>
    <w:rsid w:val="007A2B26"/>
    <w:rsid w:val="007A2C9E"/>
    <w:rsid w:val="007A2F25"/>
    <w:rsid w:val="007A3198"/>
    <w:rsid w:val="007A31D3"/>
    <w:rsid w:val="007A3402"/>
    <w:rsid w:val="007A3747"/>
    <w:rsid w:val="007A388A"/>
    <w:rsid w:val="007A3ED9"/>
    <w:rsid w:val="007A440D"/>
    <w:rsid w:val="007A47F8"/>
    <w:rsid w:val="007A49B0"/>
    <w:rsid w:val="007A4ABD"/>
    <w:rsid w:val="007A4ACE"/>
    <w:rsid w:val="007A4C82"/>
    <w:rsid w:val="007A4CB2"/>
    <w:rsid w:val="007A4D2A"/>
    <w:rsid w:val="007A4E74"/>
    <w:rsid w:val="007A4FC7"/>
    <w:rsid w:val="007A50D5"/>
    <w:rsid w:val="007A54AF"/>
    <w:rsid w:val="007A59ED"/>
    <w:rsid w:val="007A5EE1"/>
    <w:rsid w:val="007A5F9A"/>
    <w:rsid w:val="007A61BC"/>
    <w:rsid w:val="007A6470"/>
    <w:rsid w:val="007A6566"/>
    <w:rsid w:val="007A66D8"/>
    <w:rsid w:val="007A7384"/>
    <w:rsid w:val="007A762A"/>
    <w:rsid w:val="007A762E"/>
    <w:rsid w:val="007A76F7"/>
    <w:rsid w:val="007A773B"/>
    <w:rsid w:val="007A7E76"/>
    <w:rsid w:val="007A7E93"/>
    <w:rsid w:val="007B016F"/>
    <w:rsid w:val="007B0364"/>
    <w:rsid w:val="007B03BC"/>
    <w:rsid w:val="007B0723"/>
    <w:rsid w:val="007B085A"/>
    <w:rsid w:val="007B09C3"/>
    <w:rsid w:val="007B0B4E"/>
    <w:rsid w:val="007B0B6F"/>
    <w:rsid w:val="007B0D3E"/>
    <w:rsid w:val="007B0DFF"/>
    <w:rsid w:val="007B16C5"/>
    <w:rsid w:val="007B1E7F"/>
    <w:rsid w:val="007B1FC5"/>
    <w:rsid w:val="007B22B1"/>
    <w:rsid w:val="007B25CB"/>
    <w:rsid w:val="007B2707"/>
    <w:rsid w:val="007B2AAF"/>
    <w:rsid w:val="007B305B"/>
    <w:rsid w:val="007B31C5"/>
    <w:rsid w:val="007B3248"/>
    <w:rsid w:val="007B33B5"/>
    <w:rsid w:val="007B3451"/>
    <w:rsid w:val="007B37DB"/>
    <w:rsid w:val="007B3D38"/>
    <w:rsid w:val="007B3F21"/>
    <w:rsid w:val="007B415D"/>
    <w:rsid w:val="007B4163"/>
    <w:rsid w:val="007B452A"/>
    <w:rsid w:val="007B465A"/>
    <w:rsid w:val="007B498B"/>
    <w:rsid w:val="007B4B58"/>
    <w:rsid w:val="007B4E4D"/>
    <w:rsid w:val="007B52CB"/>
    <w:rsid w:val="007B5650"/>
    <w:rsid w:val="007B570F"/>
    <w:rsid w:val="007B5800"/>
    <w:rsid w:val="007B59A9"/>
    <w:rsid w:val="007B5B4A"/>
    <w:rsid w:val="007B5EF4"/>
    <w:rsid w:val="007B60E4"/>
    <w:rsid w:val="007B6153"/>
    <w:rsid w:val="007B616E"/>
    <w:rsid w:val="007B633C"/>
    <w:rsid w:val="007B6437"/>
    <w:rsid w:val="007B644A"/>
    <w:rsid w:val="007B678E"/>
    <w:rsid w:val="007B69BE"/>
    <w:rsid w:val="007B69DE"/>
    <w:rsid w:val="007B6D88"/>
    <w:rsid w:val="007B6E50"/>
    <w:rsid w:val="007B6E61"/>
    <w:rsid w:val="007B70F2"/>
    <w:rsid w:val="007B7370"/>
    <w:rsid w:val="007B7584"/>
    <w:rsid w:val="007B76C2"/>
    <w:rsid w:val="007B7714"/>
    <w:rsid w:val="007B7DF4"/>
    <w:rsid w:val="007B7E1A"/>
    <w:rsid w:val="007B7F19"/>
    <w:rsid w:val="007B7F22"/>
    <w:rsid w:val="007C00DD"/>
    <w:rsid w:val="007C02CE"/>
    <w:rsid w:val="007C0605"/>
    <w:rsid w:val="007C080E"/>
    <w:rsid w:val="007C0ADB"/>
    <w:rsid w:val="007C0C97"/>
    <w:rsid w:val="007C0E5E"/>
    <w:rsid w:val="007C14C0"/>
    <w:rsid w:val="007C1812"/>
    <w:rsid w:val="007C1AA9"/>
    <w:rsid w:val="007C1BD4"/>
    <w:rsid w:val="007C1F9A"/>
    <w:rsid w:val="007C2135"/>
    <w:rsid w:val="007C24B4"/>
    <w:rsid w:val="007C26AC"/>
    <w:rsid w:val="007C2A88"/>
    <w:rsid w:val="007C2D07"/>
    <w:rsid w:val="007C3119"/>
    <w:rsid w:val="007C359F"/>
    <w:rsid w:val="007C35D0"/>
    <w:rsid w:val="007C35E3"/>
    <w:rsid w:val="007C3FF4"/>
    <w:rsid w:val="007C410E"/>
    <w:rsid w:val="007C4251"/>
    <w:rsid w:val="007C4686"/>
    <w:rsid w:val="007C4963"/>
    <w:rsid w:val="007C498F"/>
    <w:rsid w:val="007C4C57"/>
    <w:rsid w:val="007C4E7E"/>
    <w:rsid w:val="007C51A2"/>
    <w:rsid w:val="007C57EF"/>
    <w:rsid w:val="007C580D"/>
    <w:rsid w:val="007C5A4E"/>
    <w:rsid w:val="007C5ABD"/>
    <w:rsid w:val="007C5BA2"/>
    <w:rsid w:val="007C5E5A"/>
    <w:rsid w:val="007C63CF"/>
    <w:rsid w:val="007C63D6"/>
    <w:rsid w:val="007C68D3"/>
    <w:rsid w:val="007C6934"/>
    <w:rsid w:val="007C6AA0"/>
    <w:rsid w:val="007C6BD7"/>
    <w:rsid w:val="007C6EED"/>
    <w:rsid w:val="007C6FF3"/>
    <w:rsid w:val="007C71E7"/>
    <w:rsid w:val="007C76B1"/>
    <w:rsid w:val="007C76B8"/>
    <w:rsid w:val="007C7807"/>
    <w:rsid w:val="007C79E0"/>
    <w:rsid w:val="007C7C4F"/>
    <w:rsid w:val="007C7DD5"/>
    <w:rsid w:val="007C7F10"/>
    <w:rsid w:val="007C7FB0"/>
    <w:rsid w:val="007D007B"/>
    <w:rsid w:val="007D0369"/>
    <w:rsid w:val="007D07F5"/>
    <w:rsid w:val="007D080C"/>
    <w:rsid w:val="007D089C"/>
    <w:rsid w:val="007D0A59"/>
    <w:rsid w:val="007D0B04"/>
    <w:rsid w:val="007D0C1F"/>
    <w:rsid w:val="007D10F5"/>
    <w:rsid w:val="007D1938"/>
    <w:rsid w:val="007D1B15"/>
    <w:rsid w:val="007D1BCF"/>
    <w:rsid w:val="007D2099"/>
    <w:rsid w:val="007D2375"/>
    <w:rsid w:val="007D2717"/>
    <w:rsid w:val="007D28A3"/>
    <w:rsid w:val="007D2ACE"/>
    <w:rsid w:val="007D2CDC"/>
    <w:rsid w:val="007D2E8D"/>
    <w:rsid w:val="007D2EA9"/>
    <w:rsid w:val="007D303F"/>
    <w:rsid w:val="007D3289"/>
    <w:rsid w:val="007D3692"/>
    <w:rsid w:val="007D3969"/>
    <w:rsid w:val="007D3C30"/>
    <w:rsid w:val="007D3CB9"/>
    <w:rsid w:val="007D3CEB"/>
    <w:rsid w:val="007D3EAA"/>
    <w:rsid w:val="007D3F14"/>
    <w:rsid w:val="007D4035"/>
    <w:rsid w:val="007D4099"/>
    <w:rsid w:val="007D4149"/>
    <w:rsid w:val="007D416B"/>
    <w:rsid w:val="007D488C"/>
    <w:rsid w:val="007D4944"/>
    <w:rsid w:val="007D49B4"/>
    <w:rsid w:val="007D4BD7"/>
    <w:rsid w:val="007D4F0D"/>
    <w:rsid w:val="007D4F18"/>
    <w:rsid w:val="007D50B2"/>
    <w:rsid w:val="007D516F"/>
    <w:rsid w:val="007D55D0"/>
    <w:rsid w:val="007D55F5"/>
    <w:rsid w:val="007D5731"/>
    <w:rsid w:val="007D5963"/>
    <w:rsid w:val="007D5BBC"/>
    <w:rsid w:val="007D5D49"/>
    <w:rsid w:val="007D6066"/>
    <w:rsid w:val="007D6070"/>
    <w:rsid w:val="007D61B9"/>
    <w:rsid w:val="007D6515"/>
    <w:rsid w:val="007D66FC"/>
    <w:rsid w:val="007D697B"/>
    <w:rsid w:val="007D6C9A"/>
    <w:rsid w:val="007D6DC3"/>
    <w:rsid w:val="007D7079"/>
    <w:rsid w:val="007D751A"/>
    <w:rsid w:val="007D79B1"/>
    <w:rsid w:val="007D7A19"/>
    <w:rsid w:val="007D7BDA"/>
    <w:rsid w:val="007D7E2C"/>
    <w:rsid w:val="007D7F61"/>
    <w:rsid w:val="007E05D4"/>
    <w:rsid w:val="007E0A36"/>
    <w:rsid w:val="007E0DE5"/>
    <w:rsid w:val="007E0E85"/>
    <w:rsid w:val="007E1EDB"/>
    <w:rsid w:val="007E1FEB"/>
    <w:rsid w:val="007E208C"/>
    <w:rsid w:val="007E2284"/>
    <w:rsid w:val="007E268C"/>
    <w:rsid w:val="007E271C"/>
    <w:rsid w:val="007E2A4C"/>
    <w:rsid w:val="007E2C3F"/>
    <w:rsid w:val="007E2CEC"/>
    <w:rsid w:val="007E3266"/>
    <w:rsid w:val="007E33DE"/>
    <w:rsid w:val="007E352D"/>
    <w:rsid w:val="007E3917"/>
    <w:rsid w:val="007E3A94"/>
    <w:rsid w:val="007E403B"/>
    <w:rsid w:val="007E417E"/>
    <w:rsid w:val="007E41C6"/>
    <w:rsid w:val="007E4500"/>
    <w:rsid w:val="007E4543"/>
    <w:rsid w:val="007E4612"/>
    <w:rsid w:val="007E4846"/>
    <w:rsid w:val="007E48B9"/>
    <w:rsid w:val="007E4954"/>
    <w:rsid w:val="007E52A7"/>
    <w:rsid w:val="007E54EE"/>
    <w:rsid w:val="007E5519"/>
    <w:rsid w:val="007E5621"/>
    <w:rsid w:val="007E5947"/>
    <w:rsid w:val="007E5A01"/>
    <w:rsid w:val="007E5F8A"/>
    <w:rsid w:val="007E600E"/>
    <w:rsid w:val="007E605C"/>
    <w:rsid w:val="007E605D"/>
    <w:rsid w:val="007E6071"/>
    <w:rsid w:val="007E61E0"/>
    <w:rsid w:val="007E6595"/>
    <w:rsid w:val="007E676E"/>
    <w:rsid w:val="007E698F"/>
    <w:rsid w:val="007E69BD"/>
    <w:rsid w:val="007E6D00"/>
    <w:rsid w:val="007E6D21"/>
    <w:rsid w:val="007E6F8A"/>
    <w:rsid w:val="007E70C7"/>
    <w:rsid w:val="007E7102"/>
    <w:rsid w:val="007E77FB"/>
    <w:rsid w:val="007E7991"/>
    <w:rsid w:val="007E7AE2"/>
    <w:rsid w:val="007E7C21"/>
    <w:rsid w:val="007E7D32"/>
    <w:rsid w:val="007E7E4C"/>
    <w:rsid w:val="007F0302"/>
    <w:rsid w:val="007F0324"/>
    <w:rsid w:val="007F045B"/>
    <w:rsid w:val="007F0520"/>
    <w:rsid w:val="007F07B1"/>
    <w:rsid w:val="007F0BB0"/>
    <w:rsid w:val="007F0CE7"/>
    <w:rsid w:val="007F0E8D"/>
    <w:rsid w:val="007F0F19"/>
    <w:rsid w:val="007F101D"/>
    <w:rsid w:val="007F10D1"/>
    <w:rsid w:val="007F1218"/>
    <w:rsid w:val="007F1318"/>
    <w:rsid w:val="007F137E"/>
    <w:rsid w:val="007F14E3"/>
    <w:rsid w:val="007F197F"/>
    <w:rsid w:val="007F19D7"/>
    <w:rsid w:val="007F2206"/>
    <w:rsid w:val="007F2357"/>
    <w:rsid w:val="007F24F0"/>
    <w:rsid w:val="007F28CB"/>
    <w:rsid w:val="007F2A1B"/>
    <w:rsid w:val="007F2AC0"/>
    <w:rsid w:val="007F2B43"/>
    <w:rsid w:val="007F2EB5"/>
    <w:rsid w:val="007F30DF"/>
    <w:rsid w:val="007F3306"/>
    <w:rsid w:val="007F33B7"/>
    <w:rsid w:val="007F3C01"/>
    <w:rsid w:val="007F3CC8"/>
    <w:rsid w:val="007F3E8E"/>
    <w:rsid w:val="007F3EE8"/>
    <w:rsid w:val="007F402E"/>
    <w:rsid w:val="007F41AD"/>
    <w:rsid w:val="007F4270"/>
    <w:rsid w:val="007F482D"/>
    <w:rsid w:val="007F48AE"/>
    <w:rsid w:val="007F50F6"/>
    <w:rsid w:val="007F51DB"/>
    <w:rsid w:val="007F521C"/>
    <w:rsid w:val="007F5436"/>
    <w:rsid w:val="007F546C"/>
    <w:rsid w:val="007F565A"/>
    <w:rsid w:val="007F58AA"/>
    <w:rsid w:val="007F5B74"/>
    <w:rsid w:val="007F5D04"/>
    <w:rsid w:val="007F5F20"/>
    <w:rsid w:val="007F5F40"/>
    <w:rsid w:val="007F6589"/>
    <w:rsid w:val="007F65A7"/>
    <w:rsid w:val="007F6B02"/>
    <w:rsid w:val="007F6E6D"/>
    <w:rsid w:val="007F7076"/>
    <w:rsid w:val="007F72F0"/>
    <w:rsid w:val="007F733F"/>
    <w:rsid w:val="007F7676"/>
    <w:rsid w:val="007F7C45"/>
    <w:rsid w:val="007F7DD2"/>
    <w:rsid w:val="007F7E1F"/>
    <w:rsid w:val="007F7E82"/>
    <w:rsid w:val="00800012"/>
    <w:rsid w:val="00800238"/>
    <w:rsid w:val="008005D9"/>
    <w:rsid w:val="00800637"/>
    <w:rsid w:val="00800BC0"/>
    <w:rsid w:val="00800C8A"/>
    <w:rsid w:val="00800D33"/>
    <w:rsid w:val="00800E73"/>
    <w:rsid w:val="00800F2B"/>
    <w:rsid w:val="00801228"/>
    <w:rsid w:val="00801261"/>
    <w:rsid w:val="00801498"/>
    <w:rsid w:val="00801531"/>
    <w:rsid w:val="00801951"/>
    <w:rsid w:val="008019C7"/>
    <w:rsid w:val="00801B5E"/>
    <w:rsid w:val="00801D95"/>
    <w:rsid w:val="00801E44"/>
    <w:rsid w:val="0080229A"/>
    <w:rsid w:val="008022EC"/>
    <w:rsid w:val="008027F5"/>
    <w:rsid w:val="00802AF0"/>
    <w:rsid w:val="00802FA7"/>
    <w:rsid w:val="0080300D"/>
    <w:rsid w:val="00803395"/>
    <w:rsid w:val="0080378B"/>
    <w:rsid w:val="00803A0B"/>
    <w:rsid w:val="00803B6D"/>
    <w:rsid w:val="00803B97"/>
    <w:rsid w:val="00803BA5"/>
    <w:rsid w:val="00803C86"/>
    <w:rsid w:val="00804409"/>
    <w:rsid w:val="00805214"/>
    <w:rsid w:val="0080523D"/>
    <w:rsid w:val="008053A0"/>
    <w:rsid w:val="008055BE"/>
    <w:rsid w:val="00805B0D"/>
    <w:rsid w:val="00805E68"/>
    <w:rsid w:val="00806140"/>
    <w:rsid w:val="0080693C"/>
    <w:rsid w:val="00806AC3"/>
    <w:rsid w:val="00806C30"/>
    <w:rsid w:val="00806FD7"/>
    <w:rsid w:val="0080724C"/>
    <w:rsid w:val="0080756B"/>
    <w:rsid w:val="00807872"/>
    <w:rsid w:val="008079A0"/>
    <w:rsid w:val="00807BC1"/>
    <w:rsid w:val="00807D61"/>
    <w:rsid w:val="0081005C"/>
    <w:rsid w:val="008106C2"/>
    <w:rsid w:val="008107AA"/>
    <w:rsid w:val="00810835"/>
    <w:rsid w:val="008109AA"/>
    <w:rsid w:val="00810B21"/>
    <w:rsid w:val="00810EAC"/>
    <w:rsid w:val="00811350"/>
    <w:rsid w:val="008113F6"/>
    <w:rsid w:val="00811468"/>
    <w:rsid w:val="0081151F"/>
    <w:rsid w:val="008115C1"/>
    <w:rsid w:val="00811C15"/>
    <w:rsid w:val="00811D4F"/>
    <w:rsid w:val="0081233D"/>
    <w:rsid w:val="008127CB"/>
    <w:rsid w:val="00812CDB"/>
    <w:rsid w:val="00812F50"/>
    <w:rsid w:val="00812F88"/>
    <w:rsid w:val="00813210"/>
    <w:rsid w:val="00813399"/>
    <w:rsid w:val="008133E8"/>
    <w:rsid w:val="008136B5"/>
    <w:rsid w:val="00813B13"/>
    <w:rsid w:val="00813C96"/>
    <w:rsid w:val="00813DAA"/>
    <w:rsid w:val="00813DCB"/>
    <w:rsid w:val="008142BA"/>
    <w:rsid w:val="008143A4"/>
    <w:rsid w:val="00814A94"/>
    <w:rsid w:val="00814AF0"/>
    <w:rsid w:val="00814E3C"/>
    <w:rsid w:val="008152F6"/>
    <w:rsid w:val="00815727"/>
    <w:rsid w:val="00815ACD"/>
    <w:rsid w:val="00815B73"/>
    <w:rsid w:val="00815CF0"/>
    <w:rsid w:val="00815F0E"/>
    <w:rsid w:val="00816110"/>
    <w:rsid w:val="0081620C"/>
    <w:rsid w:val="00816519"/>
    <w:rsid w:val="008166BD"/>
    <w:rsid w:val="00816725"/>
    <w:rsid w:val="00816746"/>
    <w:rsid w:val="00816C2F"/>
    <w:rsid w:val="00816E7A"/>
    <w:rsid w:val="008170C9"/>
    <w:rsid w:val="00817186"/>
    <w:rsid w:val="0081718C"/>
    <w:rsid w:val="008173D1"/>
    <w:rsid w:val="00817966"/>
    <w:rsid w:val="00817B8D"/>
    <w:rsid w:val="00817C36"/>
    <w:rsid w:val="00817D09"/>
    <w:rsid w:val="00817E78"/>
    <w:rsid w:val="008201A3"/>
    <w:rsid w:val="008201E5"/>
    <w:rsid w:val="00820464"/>
    <w:rsid w:val="00820530"/>
    <w:rsid w:val="0082054F"/>
    <w:rsid w:val="0082098C"/>
    <w:rsid w:val="008209AD"/>
    <w:rsid w:val="00820A40"/>
    <w:rsid w:val="00820A74"/>
    <w:rsid w:val="00820C40"/>
    <w:rsid w:val="00820D0B"/>
    <w:rsid w:val="008211BA"/>
    <w:rsid w:val="008213AA"/>
    <w:rsid w:val="0082167B"/>
    <w:rsid w:val="0082184A"/>
    <w:rsid w:val="00821A12"/>
    <w:rsid w:val="00821CAA"/>
    <w:rsid w:val="0082205F"/>
    <w:rsid w:val="00822275"/>
    <w:rsid w:val="00822409"/>
    <w:rsid w:val="008226D1"/>
    <w:rsid w:val="00822B94"/>
    <w:rsid w:val="00822D21"/>
    <w:rsid w:val="00822F94"/>
    <w:rsid w:val="00822FB5"/>
    <w:rsid w:val="00823481"/>
    <w:rsid w:val="00823570"/>
    <w:rsid w:val="008235FD"/>
    <w:rsid w:val="008237ED"/>
    <w:rsid w:val="00823823"/>
    <w:rsid w:val="0082391D"/>
    <w:rsid w:val="00823A88"/>
    <w:rsid w:val="00823ABB"/>
    <w:rsid w:val="00823C23"/>
    <w:rsid w:val="00823C37"/>
    <w:rsid w:val="00823EF7"/>
    <w:rsid w:val="00824191"/>
    <w:rsid w:val="00824195"/>
    <w:rsid w:val="00824511"/>
    <w:rsid w:val="008247E6"/>
    <w:rsid w:val="0082489F"/>
    <w:rsid w:val="00824A2D"/>
    <w:rsid w:val="0082502B"/>
    <w:rsid w:val="008257D4"/>
    <w:rsid w:val="008259F9"/>
    <w:rsid w:val="00825BE5"/>
    <w:rsid w:val="00825FF9"/>
    <w:rsid w:val="0082683E"/>
    <w:rsid w:val="00826B43"/>
    <w:rsid w:val="00826BF6"/>
    <w:rsid w:val="00826C81"/>
    <w:rsid w:val="00826D93"/>
    <w:rsid w:val="00826DD0"/>
    <w:rsid w:val="00827106"/>
    <w:rsid w:val="008275F8"/>
    <w:rsid w:val="00827739"/>
    <w:rsid w:val="00827970"/>
    <w:rsid w:val="00827AB4"/>
    <w:rsid w:val="00827DEB"/>
    <w:rsid w:val="0083092C"/>
    <w:rsid w:val="00830B30"/>
    <w:rsid w:val="00830BB0"/>
    <w:rsid w:val="00830BB4"/>
    <w:rsid w:val="00830FD4"/>
    <w:rsid w:val="00831632"/>
    <w:rsid w:val="00831834"/>
    <w:rsid w:val="00831990"/>
    <w:rsid w:val="008322E9"/>
    <w:rsid w:val="008328C1"/>
    <w:rsid w:val="008329DD"/>
    <w:rsid w:val="00832D2D"/>
    <w:rsid w:val="0083309F"/>
    <w:rsid w:val="008331CB"/>
    <w:rsid w:val="008335C3"/>
    <w:rsid w:val="008336E0"/>
    <w:rsid w:val="008337AD"/>
    <w:rsid w:val="008338A6"/>
    <w:rsid w:val="00833930"/>
    <w:rsid w:val="00833B92"/>
    <w:rsid w:val="00833C82"/>
    <w:rsid w:val="00833E11"/>
    <w:rsid w:val="008340F2"/>
    <w:rsid w:val="008342C0"/>
    <w:rsid w:val="00834346"/>
    <w:rsid w:val="008346B2"/>
    <w:rsid w:val="008349A3"/>
    <w:rsid w:val="00834E26"/>
    <w:rsid w:val="00834F6C"/>
    <w:rsid w:val="0083578A"/>
    <w:rsid w:val="0083584A"/>
    <w:rsid w:val="008359BE"/>
    <w:rsid w:val="00835EE8"/>
    <w:rsid w:val="00835FF9"/>
    <w:rsid w:val="0083621D"/>
    <w:rsid w:val="0083643F"/>
    <w:rsid w:val="0083658F"/>
    <w:rsid w:val="008366A5"/>
    <w:rsid w:val="00836778"/>
    <w:rsid w:val="00836813"/>
    <w:rsid w:val="0083690A"/>
    <w:rsid w:val="00836D3D"/>
    <w:rsid w:val="00836E06"/>
    <w:rsid w:val="0083762D"/>
    <w:rsid w:val="00837C26"/>
    <w:rsid w:val="00840063"/>
    <w:rsid w:val="008400EE"/>
    <w:rsid w:val="0084070E"/>
    <w:rsid w:val="00840856"/>
    <w:rsid w:val="00840E08"/>
    <w:rsid w:val="008410C9"/>
    <w:rsid w:val="00841860"/>
    <w:rsid w:val="00841D19"/>
    <w:rsid w:val="00841D60"/>
    <w:rsid w:val="00841F8B"/>
    <w:rsid w:val="008420F5"/>
    <w:rsid w:val="00842409"/>
    <w:rsid w:val="008429FA"/>
    <w:rsid w:val="00842C31"/>
    <w:rsid w:val="0084307F"/>
    <w:rsid w:val="008431B4"/>
    <w:rsid w:val="0084375B"/>
    <w:rsid w:val="00843F80"/>
    <w:rsid w:val="00843FDA"/>
    <w:rsid w:val="0084454F"/>
    <w:rsid w:val="008445D8"/>
    <w:rsid w:val="00844647"/>
    <w:rsid w:val="00844723"/>
    <w:rsid w:val="00844B26"/>
    <w:rsid w:val="00844FBB"/>
    <w:rsid w:val="0084529C"/>
    <w:rsid w:val="008455D4"/>
    <w:rsid w:val="008457A5"/>
    <w:rsid w:val="00845880"/>
    <w:rsid w:val="008458A2"/>
    <w:rsid w:val="00845912"/>
    <w:rsid w:val="00845B57"/>
    <w:rsid w:val="00846053"/>
    <w:rsid w:val="008461C3"/>
    <w:rsid w:val="00846409"/>
    <w:rsid w:val="008465B1"/>
    <w:rsid w:val="0084676D"/>
    <w:rsid w:val="008467DA"/>
    <w:rsid w:val="00846AFA"/>
    <w:rsid w:val="00846BEF"/>
    <w:rsid w:val="00846D75"/>
    <w:rsid w:val="00846F75"/>
    <w:rsid w:val="008471CA"/>
    <w:rsid w:val="008474CC"/>
    <w:rsid w:val="008477AB"/>
    <w:rsid w:val="00847860"/>
    <w:rsid w:val="00847A5F"/>
    <w:rsid w:val="00847DE3"/>
    <w:rsid w:val="00847E2E"/>
    <w:rsid w:val="0085020B"/>
    <w:rsid w:val="00850516"/>
    <w:rsid w:val="00850919"/>
    <w:rsid w:val="00850975"/>
    <w:rsid w:val="00850CDD"/>
    <w:rsid w:val="00851026"/>
    <w:rsid w:val="00851329"/>
    <w:rsid w:val="00851693"/>
    <w:rsid w:val="00851ACC"/>
    <w:rsid w:val="00851C89"/>
    <w:rsid w:val="00851F8D"/>
    <w:rsid w:val="008521B0"/>
    <w:rsid w:val="00852236"/>
    <w:rsid w:val="0085273C"/>
    <w:rsid w:val="00852894"/>
    <w:rsid w:val="00852E08"/>
    <w:rsid w:val="00852E2F"/>
    <w:rsid w:val="00852E86"/>
    <w:rsid w:val="00853058"/>
    <w:rsid w:val="00853175"/>
    <w:rsid w:val="008531FA"/>
    <w:rsid w:val="0085399E"/>
    <w:rsid w:val="00853A24"/>
    <w:rsid w:val="00853AFA"/>
    <w:rsid w:val="00853B87"/>
    <w:rsid w:val="00853D28"/>
    <w:rsid w:val="0085477D"/>
    <w:rsid w:val="00854865"/>
    <w:rsid w:val="0085491F"/>
    <w:rsid w:val="00854A4B"/>
    <w:rsid w:val="00854C87"/>
    <w:rsid w:val="00855049"/>
    <w:rsid w:val="008550CE"/>
    <w:rsid w:val="0085540A"/>
    <w:rsid w:val="00855798"/>
    <w:rsid w:val="008557D0"/>
    <w:rsid w:val="00855AF6"/>
    <w:rsid w:val="00855C17"/>
    <w:rsid w:val="00855CEC"/>
    <w:rsid w:val="00856174"/>
    <w:rsid w:val="008564F7"/>
    <w:rsid w:val="008566F2"/>
    <w:rsid w:val="008568D6"/>
    <w:rsid w:val="00856A70"/>
    <w:rsid w:val="00856BF9"/>
    <w:rsid w:val="00856DC8"/>
    <w:rsid w:val="008572EA"/>
    <w:rsid w:val="00857421"/>
    <w:rsid w:val="0085747F"/>
    <w:rsid w:val="00857624"/>
    <w:rsid w:val="00857865"/>
    <w:rsid w:val="0085796E"/>
    <w:rsid w:val="00857EC3"/>
    <w:rsid w:val="00857F9B"/>
    <w:rsid w:val="00857FA8"/>
    <w:rsid w:val="00860032"/>
    <w:rsid w:val="008600C1"/>
    <w:rsid w:val="0086036A"/>
    <w:rsid w:val="008604E3"/>
    <w:rsid w:val="00860731"/>
    <w:rsid w:val="00860734"/>
    <w:rsid w:val="00860A46"/>
    <w:rsid w:val="00861084"/>
    <w:rsid w:val="0086108B"/>
    <w:rsid w:val="0086131E"/>
    <w:rsid w:val="00861A13"/>
    <w:rsid w:val="00861B44"/>
    <w:rsid w:val="00862009"/>
    <w:rsid w:val="00862339"/>
    <w:rsid w:val="0086235E"/>
    <w:rsid w:val="00862CDF"/>
    <w:rsid w:val="00862DEE"/>
    <w:rsid w:val="00862E16"/>
    <w:rsid w:val="0086304A"/>
    <w:rsid w:val="00863220"/>
    <w:rsid w:val="008632AF"/>
    <w:rsid w:val="00863320"/>
    <w:rsid w:val="00863538"/>
    <w:rsid w:val="008635EE"/>
    <w:rsid w:val="008636D4"/>
    <w:rsid w:val="008636E0"/>
    <w:rsid w:val="00863ADA"/>
    <w:rsid w:val="00863D27"/>
    <w:rsid w:val="00863F3F"/>
    <w:rsid w:val="00863F56"/>
    <w:rsid w:val="0086445A"/>
    <w:rsid w:val="0086446B"/>
    <w:rsid w:val="008646AF"/>
    <w:rsid w:val="0086481D"/>
    <w:rsid w:val="00864AE5"/>
    <w:rsid w:val="00864C85"/>
    <w:rsid w:val="00864CD0"/>
    <w:rsid w:val="008654E3"/>
    <w:rsid w:val="00865725"/>
    <w:rsid w:val="008659A5"/>
    <w:rsid w:val="00865A1A"/>
    <w:rsid w:val="008661B8"/>
    <w:rsid w:val="008667D3"/>
    <w:rsid w:val="00866890"/>
    <w:rsid w:val="00866AF0"/>
    <w:rsid w:val="00866BD8"/>
    <w:rsid w:val="00866D54"/>
    <w:rsid w:val="008672DB"/>
    <w:rsid w:val="008672F6"/>
    <w:rsid w:val="0086774A"/>
    <w:rsid w:val="0086789A"/>
    <w:rsid w:val="00867B11"/>
    <w:rsid w:val="008701B4"/>
    <w:rsid w:val="0087021B"/>
    <w:rsid w:val="0087032F"/>
    <w:rsid w:val="0087038D"/>
    <w:rsid w:val="008709FA"/>
    <w:rsid w:val="00870C87"/>
    <w:rsid w:val="00870D0C"/>
    <w:rsid w:val="008710F1"/>
    <w:rsid w:val="008714F3"/>
    <w:rsid w:val="008715BC"/>
    <w:rsid w:val="008717EA"/>
    <w:rsid w:val="00872224"/>
    <w:rsid w:val="0087223F"/>
    <w:rsid w:val="008725B4"/>
    <w:rsid w:val="00872674"/>
    <w:rsid w:val="0087267D"/>
    <w:rsid w:val="008727C4"/>
    <w:rsid w:val="00872812"/>
    <w:rsid w:val="00872841"/>
    <w:rsid w:val="008729CD"/>
    <w:rsid w:val="00872F42"/>
    <w:rsid w:val="0087301A"/>
    <w:rsid w:val="00873174"/>
    <w:rsid w:val="0087329F"/>
    <w:rsid w:val="00873619"/>
    <w:rsid w:val="008739A9"/>
    <w:rsid w:val="00873E37"/>
    <w:rsid w:val="00873F3C"/>
    <w:rsid w:val="00874127"/>
    <w:rsid w:val="008747F1"/>
    <w:rsid w:val="00874989"/>
    <w:rsid w:val="00874A9B"/>
    <w:rsid w:val="00874B80"/>
    <w:rsid w:val="00874B88"/>
    <w:rsid w:val="00874E7C"/>
    <w:rsid w:val="00874EB0"/>
    <w:rsid w:val="00875054"/>
    <w:rsid w:val="0087505C"/>
    <w:rsid w:val="0087556B"/>
    <w:rsid w:val="00875EDF"/>
    <w:rsid w:val="00875EFA"/>
    <w:rsid w:val="00875F70"/>
    <w:rsid w:val="008761D7"/>
    <w:rsid w:val="00876221"/>
    <w:rsid w:val="0087622E"/>
    <w:rsid w:val="00876234"/>
    <w:rsid w:val="008762A9"/>
    <w:rsid w:val="00876581"/>
    <w:rsid w:val="00876813"/>
    <w:rsid w:val="00876B0F"/>
    <w:rsid w:val="00876E82"/>
    <w:rsid w:val="00877040"/>
    <w:rsid w:val="008770E4"/>
    <w:rsid w:val="00877404"/>
    <w:rsid w:val="008775BD"/>
    <w:rsid w:val="008777DD"/>
    <w:rsid w:val="008778D1"/>
    <w:rsid w:val="008778EE"/>
    <w:rsid w:val="00877A86"/>
    <w:rsid w:val="00877CBE"/>
    <w:rsid w:val="00880092"/>
    <w:rsid w:val="008800A2"/>
    <w:rsid w:val="0088036E"/>
    <w:rsid w:val="008803C5"/>
    <w:rsid w:val="00880680"/>
    <w:rsid w:val="00880684"/>
    <w:rsid w:val="008806B2"/>
    <w:rsid w:val="00880706"/>
    <w:rsid w:val="0088073D"/>
    <w:rsid w:val="008809A8"/>
    <w:rsid w:val="00880B27"/>
    <w:rsid w:val="00880C31"/>
    <w:rsid w:val="00880EA1"/>
    <w:rsid w:val="00880F44"/>
    <w:rsid w:val="00880FDD"/>
    <w:rsid w:val="0088105A"/>
    <w:rsid w:val="0088107D"/>
    <w:rsid w:val="00881165"/>
    <w:rsid w:val="008813BB"/>
    <w:rsid w:val="0088157B"/>
    <w:rsid w:val="0088159C"/>
    <w:rsid w:val="008816B7"/>
    <w:rsid w:val="00881D61"/>
    <w:rsid w:val="00881EED"/>
    <w:rsid w:val="00881F58"/>
    <w:rsid w:val="008822A2"/>
    <w:rsid w:val="008826CD"/>
    <w:rsid w:val="008827C7"/>
    <w:rsid w:val="0088280A"/>
    <w:rsid w:val="008828FC"/>
    <w:rsid w:val="008829BC"/>
    <w:rsid w:val="00882D60"/>
    <w:rsid w:val="00882DFD"/>
    <w:rsid w:val="008830C1"/>
    <w:rsid w:val="008837CB"/>
    <w:rsid w:val="00883848"/>
    <w:rsid w:val="00883920"/>
    <w:rsid w:val="00883A32"/>
    <w:rsid w:val="00883CBD"/>
    <w:rsid w:val="00883EB2"/>
    <w:rsid w:val="00883EE2"/>
    <w:rsid w:val="00883FA3"/>
    <w:rsid w:val="0088402A"/>
    <w:rsid w:val="008841A9"/>
    <w:rsid w:val="008842BB"/>
    <w:rsid w:val="00884327"/>
    <w:rsid w:val="0088453A"/>
    <w:rsid w:val="0088456A"/>
    <w:rsid w:val="00884730"/>
    <w:rsid w:val="00884777"/>
    <w:rsid w:val="008848CC"/>
    <w:rsid w:val="008849F9"/>
    <w:rsid w:val="00884DC0"/>
    <w:rsid w:val="00884E7C"/>
    <w:rsid w:val="00884F43"/>
    <w:rsid w:val="008852A5"/>
    <w:rsid w:val="008854F8"/>
    <w:rsid w:val="00885595"/>
    <w:rsid w:val="00885751"/>
    <w:rsid w:val="00885FFF"/>
    <w:rsid w:val="0088624E"/>
    <w:rsid w:val="00886959"/>
    <w:rsid w:val="00886A45"/>
    <w:rsid w:val="00886B98"/>
    <w:rsid w:val="00886D6B"/>
    <w:rsid w:val="00886F6E"/>
    <w:rsid w:val="008877E9"/>
    <w:rsid w:val="0088790D"/>
    <w:rsid w:val="00887ABE"/>
    <w:rsid w:val="00887BFC"/>
    <w:rsid w:val="00887D48"/>
    <w:rsid w:val="00887D9E"/>
    <w:rsid w:val="00887DF6"/>
    <w:rsid w:val="00887E03"/>
    <w:rsid w:val="00887F17"/>
    <w:rsid w:val="00887F47"/>
    <w:rsid w:val="00890A62"/>
    <w:rsid w:val="00890A87"/>
    <w:rsid w:val="00890BAF"/>
    <w:rsid w:val="00890CDB"/>
    <w:rsid w:val="00890DFC"/>
    <w:rsid w:val="00890E32"/>
    <w:rsid w:val="00890F2A"/>
    <w:rsid w:val="008911EE"/>
    <w:rsid w:val="0089130B"/>
    <w:rsid w:val="008913CB"/>
    <w:rsid w:val="0089166E"/>
    <w:rsid w:val="008918AE"/>
    <w:rsid w:val="008918D3"/>
    <w:rsid w:val="00891D31"/>
    <w:rsid w:val="00891E09"/>
    <w:rsid w:val="008921F0"/>
    <w:rsid w:val="00892439"/>
    <w:rsid w:val="008924CB"/>
    <w:rsid w:val="00892522"/>
    <w:rsid w:val="008927C2"/>
    <w:rsid w:val="00892952"/>
    <w:rsid w:val="00892AAC"/>
    <w:rsid w:val="00892BE4"/>
    <w:rsid w:val="0089303F"/>
    <w:rsid w:val="00893118"/>
    <w:rsid w:val="00893149"/>
    <w:rsid w:val="0089325F"/>
    <w:rsid w:val="008934E4"/>
    <w:rsid w:val="00893643"/>
    <w:rsid w:val="00893A15"/>
    <w:rsid w:val="00893A17"/>
    <w:rsid w:val="00893BE8"/>
    <w:rsid w:val="0089429A"/>
    <w:rsid w:val="00894471"/>
    <w:rsid w:val="00894634"/>
    <w:rsid w:val="0089471C"/>
    <w:rsid w:val="00894A0E"/>
    <w:rsid w:val="00894AEA"/>
    <w:rsid w:val="00894BC8"/>
    <w:rsid w:val="00894CB5"/>
    <w:rsid w:val="0089574E"/>
    <w:rsid w:val="00895C6E"/>
    <w:rsid w:val="00895D88"/>
    <w:rsid w:val="00895DF1"/>
    <w:rsid w:val="00895F95"/>
    <w:rsid w:val="008960CE"/>
    <w:rsid w:val="00896319"/>
    <w:rsid w:val="0089635E"/>
    <w:rsid w:val="00896480"/>
    <w:rsid w:val="00896668"/>
    <w:rsid w:val="008966EB"/>
    <w:rsid w:val="0089674A"/>
    <w:rsid w:val="0089675B"/>
    <w:rsid w:val="00896A4F"/>
    <w:rsid w:val="00896F7E"/>
    <w:rsid w:val="00897124"/>
    <w:rsid w:val="008972B6"/>
    <w:rsid w:val="00897392"/>
    <w:rsid w:val="008973BD"/>
    <w:rsid w:val="008975BA"/>
    <w:rsid w:val="0089769B"/>
    <w:rsid w:val="0089769F"/>
    <w:rsid w:val="00897757"/>
    <w:rsid w:val="008978F4"/>
    <w:rsid w:val="008979AF"/>
    <w:rsid w:val="00897CD2"/>
    <w:rsid w:val="00897CF7"/>
    <w:rsid w:val="008A019B"/>
    <w:rsid w:val="008A0241"/>
    <w:rsid w:val="008A030B"/>
    <w:rsid w:val="008A03ED"/>
    <w:rsid w:val="008A0444"/>
    <w:rsid w:val="008A05EE"/>
    <w:rsid w:val="008A076B"/>
    <w:rsid w:val="008A076C"/>
    <w:rsid w:val="008A0A4F"/>
    <w:rsid w:val="008A0C6D"/>
    <w:rsid w:val="008A0E6F"/>
    <w:rsid w:val="008A1320"/>
    <w:rsid w:val="008A1425"/>
    <w:rsid w:val="008A147F"/>
    <w:rsid w:val="008A15BE"/>
    <w:rsid w:val="008A162A"/>
    <w:rsid w:val="008A184F"/>
    <w:rsid w:val="008A19C9"/>
    <w:rsid w:val="008A1D56"/>
    <w:rsid w:val="008A2101"/>
    <w:rsid w:val="008A22F1"/>
    <w:rsid w:val="008A22F5"/>
    <w:rsid w:val="008A23C0"/>
    <w:rsid w:val="008A2447"/>
    <w:rsid w:val="008A2642"/>
    <w:rsid w:val="008A26C6"/>
    <w:rsid w:val="008A273B"/>
    <w:rsid w:val="008A275E"/>
    <w:rsid w:val="008A296B"/>
    <w:rsid w:val="008A29B4"/>
    <w:rsid w:val="008A2B3E"/>
    <w:rsid w:val="008A2B45"/>
    <w:rsid w:val="008A2D26"/>
    <w:rsid w:val="008A2DF7"/>
    <w:rsid w:val="008A31A5"/>
    <w:rsid w:val="008A3233"/>
    <w:rsid w:val="008A3240"/>
    <w:rsid w:val="008A3355"/>
    <w:rsid w:val="008A3403"/>
    <w:rsid w:val="008A359A"/>
    <w:rsid w:val="008A3889"/>
    <w:rsid w:val="008A3A03"/>
    <w:rsid w:val="008A3F0B"/>
    <w:rsid w:val="008A416C"/>
    <w:rsid w:val="008A41ED"/>
    <w:rsid w:val="008A449A"/>
    <w:rsid w:val="008A45D5"/>
    <w:rsid w:val="008A4676"/>
    <w:rsid w:val="008A4748"/>
    <w:rsid w:val="008A4978"/>
    <w:rsid w:val="008A49E9"/>
    <w:rsid w:val="008A4AFF"/>
    <w:rsid w:val="008A4DAF"/>
    <w:rsid w:val="008A54C4"/>
    <w:rsid w:val="008A552F"/>
    <w:rsid w:val="008A5546"/>
    <w:rsid w:val="008A5ABE"/>
    <w:rsid w:val="008A5AE2"/>
    <w:rsid w:val="008A5BC1"/>
    <w:rsid w:val="008A5C45"/>
    <w:rsid w:val="008A6113"/>
    <w:rsid w:val="008A6358"/>
    <w:rsid w:val="008A65E6"/>
    <w:rsid w:val="008A65EE"/>
    <w:rsid w:val="008A65F1"/>
    <w:rsid w:val="008A6A77"/>
    <w:rsid w:val="008A6C5C"/>
    <w:rsid w:val="008A6CD5"/>
    <w:rsid w:val="008A6F8D"/>
    <w:rsid w:val="008A7258"/>
    <w:rsid w:val="008A7464"/>
    <w:rsid w:val="008A76C4"/>
    <w:rsid w:val="008A77B0"/>
    <w:rsid w:val="008A795A"/>
    <w:rsid w:val="008A7ABE"/>
    <w:rsid w:val="008A7B98"/>
    <w:rsid w:val="008A7BE1"/>
    <w:rsid w:val="008A7BFC"/>
    <w:rsid w:val="008A7F0C"/>
    <w:rsid w:val="008B0831"/>
    <w:rsid w:val="008B0A57"/>
    <w:rsid w:val="008B0A6F"/>
    <w:rsid w:val="008B0ACB"/>
    <w:rsid w:val="008B0BA4"/>
    <w:rsid w:val="008B0CA8"/>
    <w:rsid w:val="008B0DD9"/>
    <w:rsid w:val="008B0E74"/>
    <w:rsid w:val="008B1006"/>
    <w:rsid w:val="008B1249"/>
    <w:rsid w:val="008B1253"/>
    <w:rsid w:val="008B1463"/>
    <w:rsid w:val="008B160D"/>
    <w:rsid w:val="008B1775"/>
    <w:rsid w:val="008B1B92"/>
    <w:rsid w:val="008B1B9A"/>
    <w:rsid w:val="008B1CEF"/>
    <w:rsid w:val="008B1E82"/>
    <w:rsid w:val="008B21FD"/>
    <w:rsid w:val="008B241E"/>
    <w:rsid w:val="008B2B5A"/>
    <w:rsid w:val="008B2E75"/>
    <w:rsid w:val="008B2EA3"/>
    <w:rsid w:val="008B301E"/>
    <w:rsid w:val="008B3107"/>
    <w:rsid w:val="008B37FF"/>
    <w:rsid w:val="008B38AB"/>
    <w:rsid w:val="008B3BB9"/>
    <w:rsid w:val="008B3BE3"/>
    <w:rsid w:val="008B3D3B"/>
    <w:rsid w:val="008B3D89"/>
    <w:rsid w:val="008B481E"/>
    <w:rsid w:val="008B486E"/>
    <w:rsid w:val="008B4997"/>
    <w:rsid w:val="008B5176"/>
    <w:rsid w:val="008B51F5"/>
    <w:rsid w:val="008B522A"/>
    <w:rsid w:val="008B554C"/>
    <w:rsid w:val="008B57AD"/>
    <w:rsid w:val="008B5BA2"/>
    <w:rsid w:val="008B5C4D"/>
    <w:rsid w:val="008B5D6A"/>
    <w:rsid w:val="008B5FA5"/>
    <w:rsid w:val="008B606A"/>
    <w:rsid w:val="008B650D"/>
    <w:rsid w:val="008B68F3"/>
    <w:rsid w:val="008B6A3D"/>
    <w:rsid w:val="008B71FC"/>
    <w:rsid w:val="008B7423"/>
    <w:rsid w:val="008B752E"/>
    <w:rsid w:val="008B7A7E"/>
    <w:rsid w:val="008B7A9A"/>
    <w:rsid w:val="008B7B1E"/>
    <w:rsid w:val="008B7D0D"/>
    <w:rsid w:val="008B7D93"/>
    <w:rsid w:val="008B7EB8"/>
    <w:rsid w:val="008B7EE8"/>
    <w:rsid w:val="008C003D"/>
    <w:rsid w:val="008C0092"/>
    <w:rsid w:val="008C0453"/>
    <w:rsid w:val="008C04F7"/>
    <w:rsid w:val="008C07EB"/>
    <w:rsid w:val="008C0EBB"/>
    <w:rsid w:val="008C0F5C"/>
    <w:rsid w:val="008C0FED"/>
    <w:rsid w:val="008C103E"/>
    <w:rsid w:val="008C1A19"/>
    <w:rsid w:val="008C1A5D"/>
    <w:rsid w:val="008C1A97"/>
    <w:rsid w:val="008C1BAE"/>
    <w:rsid w:val="008C1C45"/>
    <w:rsid w:val="008C1DF2"/>
    <w:rsid w:val="008C1F5B"/>
    <w:rsid w:val="008C20A1"/>
    <w:rsid w:val="008C219B"/>
    <w:rsid w:val="008C2B29"/>
    <w:rsid w:val="008C2BA8"/>
    <w:rsid w:val="008C2DF9"/>
    <w:rsid w:val="008C2F59"/>
    <w:rsid w:val="008C30F0"/>
    <w:rsid w:val="008C3861"/>
    <w:rsid w:val="008C3D7C"/>
    <w:rsid w:val="008C41EF"/>
    <w:rsid w:val="008C4361"/>
    <w:rsid w:val="008C454B"/>
    <w:rsid w:val="008C45C7"/>
    <w:rsid w:val="008C46AF"/>
    <w:rsid w:val="008C471A"/>
    <w:rsid w:val="008C4725"/>
    <w:rsid w:val="008C48AA"/>
    <w:rsid w:val="008C48BD"/>
    <w:rsid w:val="008C4CF6"/>
    <w:rsid w:val="008C4E15"/>
    <w:rsid w:val="008C4E7B"/>
    <w:rsid w:val="008C5304"/>
    <w:rsid w:val="008C533F"/>
    <w:rsid w:val="008C542B"/>
    <w:rsid w:val="008C54CC"/>
    <w:rsid w:val="008C5736"/>
    <w:rsid w:val="008C5CD2"/>
    <w:rsid w:val="008C5D4C"/>
    <w:rsid w:val="008C5E0A"/>
    <w:rsid w:val="008C60F2"/>
    <w:rsid w:val="008C63DF"/>
    <w:rsid w:val="008C6427"/>
    <w:rsid w:val="008C651D"/>
    <w:rsid w:val="008C6C62"/>
    <w:rsid w:val="008C6D75"/>
    <w:rsid w:val="008C6F0C"/>
    <w:rsid w:val="008C6F78"/>
    <w:rsid w:val="008C7753"/>
    <w:rsid w:val="008C785B"/>
    <w:rsid w:val="008C78D4"/>
    <w:rsid w:val="008C7B97"/>
    <w:rsid w:val="008C7CE8"/>
    <w:rsid w:val="008C7D30"/>
    <w:rsid w:val="008C7D53"/>
    <w:rsid w:val="008C7EAA"/>
    <w:rsid w:val="008D03AA"/>
    <w:rsid w:val="008D03B0"/>
    <w:rsid w:val="008D0DFD"/>
    <w:rsid w:val="008D0E06"/>
    <w:rsid w:val="008D0F5A"/>
    <w:rsid w:val="008D1129"/>
    <w:rsid w:val="008D1453"/>
    <w:rsid w:val="008D14FC"/>
    <w:rsid w:val="008D1530"/>
    <w:rsid w:val="008D180A"/>
    <w:rsid w:val="008D1831"/>
    <w:rsid w:val="008D191C"/>
    <w:rsid w:val="008D1A53"/>
    <w:rsid w:val="008D1C55"/>
    <w:rsid w:val="008D255D"/>
    <w:rsid w:val="008D2AE2"/>
    <w:rsid w:val="008D2DFD"/>
    <w:rsid w:val="008D305D"/>
    <w:rsid w:val="008D3540"/>
    <w:rsid w:val="008D354A"/>
    <w:rsid w:val="008D375B"/>
    <w:rsid w:val="008D37D5"/>
    <w:rsid w:val="008D4027"/>
    <w:rsid w:val="008D435A"/>
    <w:rsid w:val="008D440B"/>
    <w:rsid w:val="008D4518"/>
    <w:rsid w:val="008D45D1"/>
    <w:rsid w:val="008D47CE"/>
    <w:rsid w:val="008D4A9F"/>
    <w:rsid w:val="008D4C38"/>
    <w:rsid w:val="008D4D9D"/>
    <w:rsid w:val="008D5070"/>
    <w:rsid w:val="008D5093"/>
    <w:rsid w:val="008D53E1"/>
    <w:rsid w:val="008D54DA"/>
    <w:rsid w:val="008D56D3"/>
    <w:rsid w:val="008D592E"/>
    <w:rsid w:val="008D5A95"/>
    <w:rsid w:val="008D5BBF"/>
    <w:rsid w:val="008D6036"/>
    <w:rsid w:val="008D60D6"/>
    <w:rsid w:val="008D6271"/>
    <w:rsid w:val="008D62C4"/>
    <w:rsid w:val="008D6360"/>
    <w:rsid w:val="008D65D2"/>
    <w:rsid w:val="008D6634"/>
    <w:rsid w:val="008D6689"/>
    <w:rsid w:val="008D67E6"/>
    <w:rsid w:val="008D6A53"/>
    <w:rsid w:val="008D6BD9"/>
    <w:rsid w:val="008D6F14"/>
    <w:rsid w:val="008D72B3"/>
    <w:rsid w:val="008D765E"/>
    <w:rsid w:val="008D76F8"/>
    <w:rsid w:val="008D782A"/>
    <w:rsid w:val="008D78E7"/>
    <w:rsid w:val="008D7933"/>
    <w:rsid w:val="008D7C26"/>
    <w:rsid w:val="008D7D27"/>
    <w:rsid w:val="008E01EE"/>
    <w:rsid w:val="008E0413"/>
    <w:rsid w:val="008E0539"/>
    <w:rsid w:val="008E07F2"/>
    <w:rsid w:val="008E0E9D"/>
    <w:rsid w:val="008E1054"/>
    <w:rsid w:val="008E134D"/>
    <w:rsid w:val="008E1423"/>
    <w:rsid w:val="008E1C35"/>
    <w:rsid w:val="008E2216"/>
    <w:rsid w:val="008E258D"/>
    <w:rsid w:val="008E264C"/>
    <w:rsid w:val="008E2978"/>
    <w:rsid w:val="008E2CED"/>
    <w:rsid w:val="008E2F9B"/>
    <w:rsid w:val="008E30A7"/>
    <w:rsid w:val="008E3251"/>
    <w:rsid w:val="008E339A"/>
    <w:rsid w:val="008E3415"/>
    <w:rsid w:val="008E35F8"/>
    <w:rsid w:val="008E3BF3"/>
    <w:rsid w:val="008E3D4A"/>
    <w:rsid w:val="008E3D63"/>
    <w:rsid w:val="008E3E28"/>
    <w:rsid w:val="008E3E5A"/>
    <w:rsid w:val="008E41A3"/>
    <w:rsid w:val="008E486D"/>
    <w:rsid w:val="008E4BF3"/>
    <w:rsid w:val="008E4CA0"/>
    <w:rsid w:val="008E4E89"/>
    <w:rsid w:val="008E4F4C"/>
    <w:rsid w:val="008E5056"/>
    <w:rsid w:val="008E51F3"/>
    <w:rsid w:val="008E54F8"/>
    <w:rsid w:val="008E5E37"/>
    <w:rsid w:val="008E601C"/>
    <w:rsid w:val="008E61CA"/>
    <w:rsid w:val="008E61EF"/>
    <w:rsid w:val="008E6500"/>
    <w:rsid w:val="008E66FC"/>
    <w:rsid w:val="008E6A0D"/>
    <w:rsid w:val="008E6BD9"/>
    <w:rsid w:val="008E6C7C"/>
    <w:rsid w:val="008E6DD9"/>
    <w:rsid w:val="008E700E"/>
    <w:rsid w:val="008E7404"/>
    <w:rsid w:val="008E7505"/>
    <w:rsid w:val="008E77C1"/>
    <w:rsid w:val="008E7DCF"/>
    <w:rsid w:val="008E7F33"/>
    <w:rsid w:val="008F0680"/>
    <w:rsid w:val="008F073F"/>
    <w:rsid w:val="008F0DC5"/>
    <w:rsid w:val="008F137A"/>
    <w:rsid w:val="008F13F6"/>
    <w:rsid w:val="008F165E"/>
    <w:rsid w:val="008F1726"/>
    <w:rsid w:val="008F17D7"/>
    <w:rsid w:val="008F1914"/>
    <w:rsid w:val="008F1A43"/>
    <w:rsid w:val="008F1B03"/>
    <w:rsid w:val="008F1E2D"/>
    <w:rsid w:val="008F1F39"/>
    <w:rsid w:val="008F2201"/>
    <w:rsid w:val="008F25BD"/>
    <w:rsid w:val="008F2BCE"/>
    <w:rsid w:val="008F30E7"/>
    <w:rsid w:val="008F350D"/>
    <w:rsid w:val="008F36BC"/>
    <w:rsid w:val="008F3CD3"/>
    <w:rsid w:val="008F3D5C"/>
    <w:rsid w:val="008F3E19"/>
    <w:rsid w:val="008F3FAC"/>
    <w:rsid w:val="008F435F"/>
    <w:rsid w:val="008F4907"/>
    <w:rsid w:val="008F5333"/>
    <w:rsid w:val="008F5900"/>
    <w:rsid w:val="008F5E63"/>
    <w:rsid w:val="008F62EF"/>
    <w:rsid w:val="008F652C"/>
    <w:rsid w:val="008F67CA"/>
    <w:rsid w:val="008F6985"/>
    <w:rsid w:val="008F69D8"/>
    <w:rsid w:val="008F6AAB"/>
    <w:rsid w:val="008F6E84"/>
    <w:rsid w:val="008F755D"/>
    <w:rsid w:val="008F7586"/>
    <w:rsid w:val="008F76B2"/>
    <w:rsid w:val="008F76F0"/>
    <w:rsid w:val="008F7705"/>
    <w:rsid w:val="008F7D1D"/>
    <w:rsid w:val="008F7E99"/>
    <w:rsid w:val="009000C1"/>
    <w:rsid w:val="00900199"/>
    <w:rsid w:val="009001B2"/>
    <w:rsid w:val="0090020C"/>
    <w:rsid w:val="009005B3"/>
    <w:rsid w:val="0090063E"/>
    <w:rsid w:val="00900866"/>
    <w:rsid w:val="00900D3B"/>
    <w:rsid w:val="00900FA4"/>
    <w:rsid w:val="00900FAF"/>
    <w:rsid w:val="00901215"/>
    <w:rsid w:val="0090125C"/>
    <w:rsid w:val="00901314"/>
    <w:rsid w:val="0090170E"/>
    <w:rsid w:val="00901739"/>
    <w:rsid w:val="00901BE4"/>
    <w:rsid w:val="00901D21"/>
    <w:rsid w:val="009022E1"/>
    <w:rsid w:val="0090243B"/>
    <w:rsid w:val="009025B5"/>
    <w:rsid w:val="009026AE"/>
    <w:rsid w:val="00902CE8"/>
    <w:rsid w:val="00902D3A"/>
    <w:rsid w:val="009033F7"/>
    <w:rsid w:val="009038A9"/>
    <w:rsid w:val="0090399E"/>
    <w:rsid w:val="009044D1"/>
    <w:rsid w:val="00904500"/>
    <w:rsid w:val="009046EA"/>
    <w:rsid w:val="009047EB"/>
    <w:rsid w:val="00904818"/>
    <w:rsid w:val="00904879"/>
    <w:rsid w:val="00904AE9"/>
    <w:rsid w:val="00904C36"/>
    <w:rsid w:val="0090502F"/>
    <w:rsid w:val="00905198"/>
    <w:rsid w:val="009051F3"/>
    <w:rsid w:val="009055A3"/>
    <w:rsid w:val="0090572F"/>
    <w:rsid w:val="0090577C"/>
    <w:rsid w:val="00905AA2"/>
    <w:rsid w:val="00905AED"/>
    <w:rsid w:val="00905CA7"/>
    <w:rsid w:val="00905D56"/>
    <w:rsid w:val="009060B4"/>
    <w:rsid w:val="00906270"/>
    <w:rsid w:val="00906356"/>
    <w:rsid w:val="00906464"/>
    <w:rsid w:val="009064CE"/>
    <w:rsid w:val="009069AB"/>
    <w:rsid w:val="00906A45"/>
    <w:rsid w:val="00906B5A"/>
    <w:rsid w:val="00906BDD"/>
    <w:rsid w:val="00906D83"/>
    <w:rsid w:val="009073D3"/>
    <w:rsid w:val="0090785D"/>
    <w:rsid w:val="00907874"/>
    <w:rsid w:val="00907B0E"/>
    <w:rsid w:val="00907F17"/>
    <w:rsid w:val="00907F4C"/>
    <w:rsid w:val="00907FAB"/>
    <w:rsid w:val="0091005C"/>
    <w:rsid w:val="009100B9"/>
    <w:rsid w:val="0091045A"/>
    <w:rsid w:val="0091052D"/>
    <w:rsid w:val="00910846"/>
    <w:rsid w:val="00910870"/>
    <w:rsid w:val="00910A41"/>
    <w:rsid w:val="00910A90"/>
    <w:rsid w:val="00910B47"/>
    <w:rsid w:val="00910CD3"/>
    <w:rsid w:val="00910ECA"/>
    <w:rsid w:val="00911200"/>
    <w:rsid w:val="0091133C"/>
    <w:rsid w:val="009113FE"/>
    <w:rsid w:val="00911720"/>
    <w:rsid w:val="00911C12"/>
    <w:rsid w:val="0091212F"/>
    <w:rsid w:val="009129F0"/>
    <w:rsid w:val="00912B8A"/>
    <w:rsid w:val="00912B9F"/>
    <w:rsid w:val="00912C9C"/>
    <w:rsid w:val="009130FC"/>
    <w:rsid w:val="0091324F"/>
    <w:rsid w:val="009133A7"/>
    <w:rsid w:val="009134AC"/>
    <w:rsid w:val="00913817"/>
    <w:rsid w:val="00913CC8"/>
    <w:rsid w:val="00913D9B"/>
    <w:rsid w:val="0091404E"/>
    <w:rsid w:val="00914773"/>
    <w:rsid w:val="009148B5"/>
    <w:rsid w:val="00914AFA"/>
    <w:rsid w:val="00914FA0"/>
    <w:rsid w:val="00915302"/>
    <w:rsid w:val="0091532D"/>
    <w:rsid w:val="009155B5"/>
    <w:rsid w:val="009155BF"/>
    <w:rsid w:val="00915624"/>
    <w:rsid w:val="009156C0"/>
    <w:rsid w:val="00915A26"/>
    <w:rsid w:val="00915B5A"/>
    <w:rsid w:val="00915BDF"/>
    <w:rsid w:val="00915C86"/>
    <w:rsid w:val="00916066"/>
    <w:rsid w:val="0091606E"/>
    <w:rsid w:val="009160DE"/>
    <w:rsid w:val="0091612B"/>
    <w:rsid w:val="009163A5"/>
    <w:rsid w:val="0091656E"/>
    <w:rsid w:val="0091663E"/>
    <w:rsid w:val="00916EB2"/>
    <w:rsid w:val="00917330"/>
    <w:rsid w:val="009173D7"/>
    <w:rsid w:val="0091752B"/>
    <w:rsid w:val="00917AA2"/>
    <w:rsid w:val="00917BA6"/>
    <w:rsid w:val="00917E5F"/>
    <w:rsid w:val="00917FCE"/>
    <w:rsid w:val="00920147"/>
    <w:rsid w:val="0092054D"/>
    <w:rsid w:val="0092084F"/>
    <w:rsid w:val="00920CA2"/>
    <w:rsid w:val="00920CD6"/>
    <w:rsid w:val="00920EE6"/>
    <w:rsid w:val="009210A0"/>
    <w:rsid w:val="0092161E"/>
    <w:rsid w:val="009216DE"/>
    <w:rsid w:val="00921ABC"/>
    <w:rsid w:val="00921E15"/>
    <w:rsid w:val="00922113"/>
    <w:rsid w:val="00922298"/>
    <w:rsid w:val="009222D1"/>
    <w:rsid w:val="00922339"/>
    <w:rsid w:val="00922A33"/>
    <w:rsid w:val="00922BCC"/>
    <w:rsid w:val="00922C1F"/>
    <w:rsid w:val="00922F53"/>
    <w:rsid w:val="00922FF8"/>
    <w:rsid w:val="009230C4"/>
    <w:rsid w:val="0092348F"/>
    <w:rsid w:val="009236C2"/>
    <w:rsid w:val="0092396A"/>
    <w:rsid w:val="00923ACA"/>
    <w:rsid w:val="00923B0A"/>
    <w:rsid w:val="00924252"/>
    <w:rsid w:val="009244E9"/>
    <w:rsid w:val="009245B4"/>
    <w:rsid w:val="00924680"/>
    <w:rsid w:val="00924A85"/>
    <w:rsid w:val="00924C05"/>
    <w:rsid w:val="00924C7B"/>
    <w:rsid w:val="00924CF0"/>
    <w:rsid w:val="00924D04"/>
    <w:rsid w:val="00924F32"/>
    <w:rsid w:val="0092515A"/>
    <w:rsid w:val="0092517A"/>
    <w:rsid w:val="0092538D"/>
    <w:rsid w:val="009254B7"/>
    <w:rsid w:val="009255FA"/>
    <w:rsid w:val="00925653"/>
    <w:rsid w:val="0092622A"/>
    <w:rsid w:val="00926406"/>
    <w:rsid w:val="00926408"/>
    <w:rsid w:val="0092643F"/>
    <w:rsid w:val="009268EF"/>
    <w:rsid w:val="00926F08"/>
    <w:rsid w:val="009273EF"/>
    <w:rsid w:val="009274D1"/>
    <w:rsid w:val="009275EA"/>
    <w:rsid w:val="009277D5"/>
    <w:rsid w:val="00927AB4"/>
    <w:rsid w:val="00927C25"/>
    <w:rsid w:val="00927CC0"/>
    <w:rsid w:val="00927D40"/>
    <w:rsid w:val="00930197"/>
    <w:rsid w:val="009301DB"/>
    <w:rsid w:val="0093033C"/>
    <w:rsid w:val="00930406"/>
    <w:rsid w:val="00930618"/>
    <w:rsid w:val="00930630"/>
    <w:rsid w:val="009309BA"/>
    <w:rsid w:val="00930D3D"/>
    <w:rsid w:val="00930D9E"/>
    <w:rsid w:val="00931798"/>
    <w:rsid w:val="00931983"/>
    <w:rsid w:val="0093207F"/>
    <w:rsid w:val="009323FD"/>
    <w:rsid w:val="00932513"/>
    <w:rsid w:val="00932580"/>
    <w:rsid w:val="009329B7"/>
    <w:rsid w:val="00932AE6"/>
    <w:rsid w:val="00932BD3"/>
    <w:rsid w:val="00932CD3"/>
    <w:rsid w:val="00932DD3"/>
    <w:rsid w:val="009332C8"/>
    <w:rsid w:val="009337DF"/>
    <w:rsid w:val="00933888"/>
    <w:rsid w:val="00933967"/>
    <w:rsid w:val="00933AEA"/>
    <w:rsid w:val="00933F3A"/>
    <w:rsid w:val="0093420F"/>
    <w:rsid w:val="00934918"/>
    <w:rsid w:val="00934F4C"/>
    <w:rsid w:val="00935458"/>
    <w:rsid w:val="00935A86"/>
    <w:rsid w:val="00935B1B"/>
    <w:rsid w:val="00935CAE"/>
    <w:rsid w:val="0093628D"/>
    <w:rsid w:val="00936316"/>
    <w:rsid w:val="00936375"/>
    <w:rsid w:val="00936442"/>
    <w:rsid w:val="00936641"/>
    <w:rsid w:val="00936657"/>
    <w:rsid w:val="00936939"/>
    <w:rsid w:val="00936CA2"/>
    <w:rsid w:val="00936CBC"/>
    <w:rsid w:val="00936DC5"/>
    <w:rsid w:val="0093757D"/>
    <w:rsid w:val="00937620"/>
    <w:rsid w:val="009377F4"/>
    <w:rsid w:val="00937860"/>
    <w:rsid w:val="009378BE"/>
    <w:rsid w:val="00937922"/>
    <w:rsid w:val="00937B66"/>
    <w:rsid w:val="00937BB1"/>
    <w:rsid w:val="00940175"/>
    <w:rsid w:val="0094031E"/>
    <w:rsid w:val="00940398"/>
    <w:rsid w:val="00940427"/>
    <w:rsid w:val="009404FC"/>
    <w:rsid w:val="00940ABA"/>
    <w:rsid w:val="00940EAB"/>
    <w:rsid w:val="00940FCC"/>
    <w:rsid w:val="00941014"/>
    <w:rsid w:val="009417F9"/>
    <w:rsid w:val="00941A51"/>
    <w:rsid w:val="00941F5E"/>
    <w:rsid w:val="009420CD"/>
    <w:rsid w:val="00942106"/>
    <w:rsid w:val="009423D8"/>
    <w:rsid w:val="0094252C"/>
    <w:rsid w:val="0094263A"/>
    <w:rsid w:val="00942C81"/>
    <w:rsid w:val="0094308B"/>
    <w:rsid w:val="0094317E"/>
    <w:rsid w:val="00943261"/>
    <w:rsid w:val="009434B2"/>
    <w:rsid w:val="009438F0"/>
    <w:rsid w:val="00943A4B"/>
    <w:rsid w:val="00943AD1"/>
    <w:rsid w:val="00943D5E"/>
    <w:rsid w:val="009440AD"/>
    <w:rsid w:val="00944391"/>
    <w:rsid w:val="0094485D"/>
    <w:rsid w:val="0094489E"/>
    <w:rsid w:val="00944A12"/>
    <w:rsid w:val="00944FC9"/>
    <w:rsid w:val="00945160"/>
    <w:rsid w:val="009455A6"/>
    <w:rsid w:val="00945630"/>
    <w:rsid w:val="009457AC"/>
    <w:rsid w:val="00945828"/>
    <w:rsid w:val="00945AE9"/>
    <w:rsid w:val="00946191"/>
    <w:rsid w:val="0094626F"/>
    <w:rsid w:val="00946532"/>
    <w:rsid w:val="00946BC7"/>
    <w:rsid w:val="00946F30"/>
    <w:rsid w:val="009477CD"/>
    <w:rsid w:val="00947ADE"/>
    <w:rsid w:val="00947D59"/>
    <w:rsid w:val="00947D82"/>
    <w:rsid w:val="009500B8"/>
    <w:rsid w:val="00950A03"/>
    <w:rsid w:val="00950A52"/>
    <w:rsid w:val="00950BEA"/>
    <w:rsid w:val="00950C0B"/>
    <w:rsid w:val="00950C27"/>
    <w:rsid w:val="00950D1D"/>
    <w:rsid w:val="00950E5D"/>
    <w:rsid w:val="00951568"/>
    <w:rsid w:val="009516BB"/>
    <w:rsid w:val="00951917"/>
    <w:rsid w:val="00951A1A"/>
    <w:rsid w:val="00951C1C"/>
    <w:rsid w:val="00951CD4"/>
    <w:rsid w:val="00951CF0"/>
    <w:rsid w:val="00951E0D"/>
    <w:rsid w:val="00952034"/>
    <w:rsid w:val="009525F2"/>
    <w:rsid w:val="00952A0E"/>
    <w:rsid w:val="00952A90"/>
    <w:rsid w:val="00952C3B"/>
    <w:rsid w:val="00952C41"/>
    <w:rsid w:val="00952DD4"/>
    <w:rsid w:val="009531D3"/>
    <w:rsid w:val="0095335E"/>
    <w:rsid w:val="0095339C"/>
    <w:rsid w:val="0095381F"/>
    <w:rsid w:val="00953999"/>
    <w:rsid w:val="009539C7"/>
    <w:rsid w:val="009539CB"/>
    <w:rsid w:val="00954825"/>
    <w:rsid w:val="00954967"/>
    <w:rsid w:val="00954C3D"/>
    <w:rsid w:val="00954D7F"/>
    <w:rsid w:val="00954ED6"/>
    <w:rsid w:val="009552E5"/>
    <w:rsid w:val="00955311"/>
    <w:rsid w:val="00955AD6"/>
    <w:rsid w:val="00955AE8"/>
    <w:rsid w:val="00955AEC"/>
    <w:rsid w:val="00955B71"/>
    <w:rsid w:val="00956271"/>
    <w:rsid w:val="0095657D"/>
    <w:rsid w:val="009569D5"/>
    <w:rsid w:val="009569EF"/>
    <w:rsid w:val="009569F8"/>
    <w:rsid w:val="00956A2F"/>
    <w:rsid w:val="00956E7D"/>
    <w:rsid w:val="00956F15"/>
    <w:rsid w:val="00956F4B"/>
    <w:rsid w:val="0095708F"/>
    <w:rsid w:val="009573C2"/>
    <w:rsid w:val="00957420"/>
    <w:rsid w:val="00957573"/>
    <w:rsid w:val="00957783"/>
    <w:rsid w:val="00957D96"/>
    <w:rsid w:val="00957FA3"/>
    <w:rsid w:val="00957FA9"/>
    <w:rsid w:val="009606EF"/>
    <w:rsid w:val="00960BDC"/>
    <w:rsid w:val="00960C8C"/>
    <w:rsid w:val="00960D08"/>
    <w:rsid w:val="00960E61"/>
    <w:rsid w:val="00960E6F"/>
    <w:rsid w:val="00960FB6"/>
    <w:rsid w:val="0096131A"/>
    <w:rsid w:val="009613BD"/>
    <w:rsid w:val="00961404"/>
    <w:rsid w:val="00961666"/>
    <w:rsid w:val="00961791"/>
    <w:rsid w:val="00961E24"/>
    <w:rsid w:val="00961F7F"/>
    <w:rsid w:val="00962201"/>
    <w:rsid w:val="00962322"/>
    <w:rsid w:val="00962406"/>
    <w:rsid w:val="0096243F"/>
    <w:rsid w:val="0096257D"/>
    <w:rsid w:val="00962737"/>
    <w:rsid w:val="0096280E"/>
    <w:rsid w:val="009629B6"/>
    <w:rsid w:val="00962B24"/>
    <w:rsid w:val="00962CFE"/>
    <w:rsid w:val="00962D2F"/>
    <w:rsid w:val="00962DBE"/>
    <w:rsid w:val="00962F83"/>
    <w:rsid w:val="00963652"/>
    <w:rsid w:val="00963831"/>
    <w:rsid w:val="009639A6"/>
    <w:rsid w:val="009639C6"/>
    <w:rsid w:val="009639FA"/>
    <w:rsid w:val="00963B69"/>
    <w:rsid w:val="00964027"/>
    <w:rsid w:val="00964076"/>
    <w:rsid w:val="009640A3"/>
    <w:rsid w:val="009643C1"/>
    <w:rsid w:val="0096441B"/>
    <w:rsid w:val="00964526"/>
    <w:rsid w:val="0096473F"/>
    <w:rsid w:val="00964964"/>
    <w:rsid w:val="00964A15"/>
    <w:rsid w:val="00964E02"/>
    <w:rsid w:val="0096502A"/>
    <w:rsid w:val="009651FB"/>
    <w:rsid w:val="00965498"/>
    <w:rsid w:val="009654F3"/>
    <w:rsid w:val="009655EB"/>
    <w:rsid w:val="00965672"/>
    <w:rsid w:val="0096579C"/>
    <w:rsid w:val="00965955"/>
    <w:rsid w:val="00965A26"/>
    <w:rsid w:val="00965EED"/>
    <w:rsid w:val="00965FAD"/>
    <w:rsid w:val="00966305"/>
    <w:rsid w:val="009667FF"/>
    <w:rsid w:val="00966883"/>
    <w:rsid w:val="009668B4"/>
    <w:rsid w:val="0096698D"/>
    <w:rsid w:val="00966E53"/>
    <w:rsid w:val="0096717B"/>
    <w:rsid w:val="00967190"/>
    <w:rsid w:val="009671B9"/>
    <w:rsid w:val="00967210"/>
    <w:rsid w:val="00967589"/>
    <w:rsid w:val="00967592"/>
    <w:rsid w:val="00967707"/>
    <w:rsid w:val="009677B0"/>
    <w:rsid w:val="009678C6"/>
    <w:rsid w:val="00967B22"/>
    <w:rsid w:val="00967C96"/>
    <w:rsid w:val="00970019"/>
    <w:rsid w:val="0097030B"/>
    <w:rsid w:val="00970911"/>
    <w:rsid w:val="00970A1E"/>
    <w:rsid w:val="00970AED"/>
    <w:rsid w:val="00970B07"/>
    <w:rsid w:val="00970B4F"/>
    <w:rsid w:val="00970CE0"/>
    <w:rsid w:val="00970FA4"/>
    <w:rsid w:val="00970FA9"/>
    <w:rsid w:val="00971841"/>
    <w:rsid w:val="00971AE2"/>
    <w:rsid w:val="00971C9B"/>
    <w:rsid w:val="00971E0C"/>
    <w:rsid w:val="00971E8D"/>
    <w:rsid w:val="00971FD9"/>
    <w:rsid w:val="009720CF"/>
    <w:rsid w:val="009720DD"/>
    <w:rsid w:val="009720EE"/>
    <w:rsid w:val="0097230C"/>
    <w:rsid w:val="0097236E"/>
    <w:rsid w:val="00972699"/>
    <w:rsid w:val="0097276A"/>
    <w:rsid w:val="009727AD"/>
    <w:rsid w:val="0097287B"/>
    <w:rsid w:val="0097289F"/>
    <w:rsid w:val="00972923"/>
    <w:rsid w:val="00972BDB"/>
    <w:rsid w:val="00972E0A"/>
    <w:rsid w:val="00972E77"/>
    <w:rsid w:val="00972E92"/>
    <w:rsid w:val="00972EE9"/>
    <w:rsid w:val="00972EF5"/>
    <w:rsid w:val="00972EF8"/>
    <w:rsid w:val="00973024"/>
    <w:rsid w:val="00973139"/>
    <w:rsid w:val="009731D6"/>
    <w:rsid w:val="00973320"/>
    <w:rsid w:val="0097337E"/>
    <w:rsid w:val="00973B6F"/>
    <w:rsid w:val="00973C54"/>
    <w:rsid w:val="0097411F"/>
    <w:rsid w:val="00974663"/>
    <w:rsid w:val="009749A3"/>
    <w:rsid w:val="009749B7"/>
    <w:rsid w:val="00974C3A"/>
    <w:rsid w:val="00974C54"/>
    <w:rsid w:val="00975414"/>
    <w:rsid w:val="009754D6"/>
    <w:rsid w:val="00975958"/>
    <w:rsid w:val="00975A01"/>
    <w:rsid w:val="00975C9E"/>
    <w:rsid w:val="00976389"/>
    <w:rsid w:val="00976609"/>
    <w:rsid w:val="009767C4"/>
    <w:rsid w:val="00976B63"/>
    <w:rsid w:val="00976C9B"/>
    <w:rsid w:val="00976CB7"/>
    <w:rsid w:val="00976D93"/>
    <w:rsid w:val="00976F35"/>
    <w:rsid w:val="00977415"/>
    <w:rsid w:val="00977536"/>
    <w:rsid w:val="0097753A"/>
    <w:rsid w:val="0097771B"/>
    <w:rsid w:val="009777FE"/>
    <w:rsid w:val="0097796F"/>
    <w:rsid w:val="009779B8"/>
    <w:rsid w:val="00977D0D"/>
    <w:rsid w:val="00977F12"/>
    <w:rsid w:val="00980035"/>
    <w:rsid w:val="00980267"/>
    <w:rsid w:val="00980460"/>
    <w:rsid w:val="00980545"/>
    <w:rsid w:val="00980AF6"/>
    <w:rsid w:val="00980D0A"/>
    <w:rsid w:val="0098118A"/>
    <w:rsid w:val="009814DA"/>
    <w:rsid w:val="00981565"/>
    <w:rsid w:val="009815E3"/>
    <w:rsid w:val="009818D7"/>
    <w:rsid w:val="009819E8"/>
    <w:rsid w:val="00981A6F"/>
    <w:rsid w:val="00981BCD"/>
    <w:rsid w:val="00981C16"/>
    <w:rsid w:val="00981C47"/>
    <w:rsid w:val="00981EE3"/>
    <w:rsid w:val="00982443"/>
    <w:rsid w:val="009826AC"/>
    <w:rsid w:val="0098278A"/>
    <w:rsid w:val="009827A1"/>
    <w:rsid w:val="00982825"/>
    <w:rsid w:val="00982B9F"/>
    <w:rsid w:val="00982EBF"/>
    <w:rsid w:val="00982F1A"/>
    <w:rsid w:val="00983052"/>
    <w:rsid w:val="009830AD"/>
    <w:rsid w:val="009832BB"/>
    <w:rsid w:val="00983BD7"/>
    <w:rsid w:val="00983DBA"/>
    <w:rsid w:val="00983DFB"/>
    <w:rsid w:val="00983E32"/>
    <w:rsid w:val="00983EF8"/>
    <w:rsid w:val="00984428"/>
    <w:rsid w:val="009846D2"/>
    <w:rsid w:val="00984856"/>
    <w:rsid w:val="00984A57"/>
    <w:rsid w:val="00984D95"/>
    <w:rsid w:val="00984E31"/>
    <w:rsid w:val="00984EBF"/>
    <w:rsid w:val="00984F55"/>
    <w:rsid w:val="009853CE"/>
    <w:rsid w:val="00985850"/>
    <w:rsid w:val="009859ED"/>
    <w:rsid w:val="00985C3A"/>
    <w:rsid w:val="00985F1C"/>
    <w:rsid w:val="0098600C"/>
    <w:rsid w:val="00986448"/>
    <w:rsid w:val="0098644E"/>
    <w:rsid w:val="009866F2"/>
    <w:rsid w:val="009868D5"/>
    <w:rsid w:val="00986978"/>
    <w:rsid w:val="00986CD2"/>
    <w:rsid w:val="00986FDC"/>
    <w:rsid w:val="00986FF1"/>
    <w:rsid w:val="009870A7"/>
    <w:rsid w:val="00987187"/>
    <w:rsid w:val="00987422"/>
    <w:rsid w:val="00987447"/>
    <w:rsid w:val="0098763D"/>
    <w:rsid w:val="00987BA8"/>
    <w:rsid w:val="00987D5D"/>
    <w:rsid w:val="0099012B"/>
    <w:rsid w:val="009901FA"/>
    <w:rsid w:val="0099023C"/>
    <w:rsid w:val="009902DB"/>
    <w:rsid w:val="009903C3"/>
    <w:rsid w:val="00990461"/>
    <w:rsid w:val="00990909"/>
    <w:rsid w:val="009909A1"/>
    <w:rsid w:val="00990AD5"/>
    <w:rsid w:val="00990BF9"/>
    <w:rsid w:val="00991693"/>
    <w:rsid w:val="00991A50"/>
    <w:rsid w:val="00991DFE"/>
    <w:rsid w:val="00991E17"/>
    <w:rsid w:val="00992112"/>
    <w:rsid w:val="0099271A"/>
    <w:rsid w:val="00992A82"/>
    <w:rsid w:val="00992AEE"/>
    <w:rsid w:val="00992B21"/>
    <w:rsid w:val="00992B64"/>
    <w:rsid w:val="00992EA8"/>
    <w:rsid w:val="00993069"/>
    <w:rsid w:val="009930FF"/>
    <w:rsid w:val="009931A5"/>
    <w:rsid w:val="00993662"/>
    <w:rsid w:val="009941D2"/>
    <w:rsid w:val="00994362"/>
    <w:rsid w:val="009945C0"/>
    <w:rsid w:val="0099496C"/>
    <w:rsid w:val="00995029"/>
    <w:rsid w:val="00995090"/>
    <w:rsid w:val="009951FB"/>
    <w:rsid w:val="009952A1"/>
    <w:rsid w:val="00995807"/>
    <w:rsid w:val="0099581D"/>
    <w:rsid w:val="0099591C"/>
    <w:rsid w:val="00995B80"/>
    <w:rsid w:val="00995F17"/>
    <w:rsid w:val="00996005"/>
    <w:rsid w:val="00996032"/>
    <w:rsid w:val="00996109"/>
    <w:rsid w:val="0099614C"/>
    <w:rsid w:val="0099621A"/>
    <w:rsid w:val="00996662"/>
    <w:rsid w:val="009967BA"/>
    <w:rsid w:val="009967FA"/>
    <w:rsid w:val="00996A60"/>
    <w:rsid w:val="00996DD9"/>
    <w:rsid w:val="00997080"/>
    <w:rsid w:val="00997227"/>
    <w:rsid w:val="00997496"/>
    <w:rsid w:val="00997527"/>
    <w:rsid w:val="00997D21"/>
    <w:rsid w:val="00997DD2"/>
    <w:rsid w:val="009A0196"/>
    <w:rsid w:val="009A0256"/>
    <w:rsid w:val="009A0461"/>
    <w:rsid w:val="009A05CF"/>
    <w:rsid w:val="009A0656"/>
    <w:rsid w:val="009A0A06"/>
    <w:rsid w:val="009A0CED"/>
    <w:rsid w:val="009A0E73"/>
    <w:rsid w:val="009A0ED9"/>
    <w:rsid w:val="009A1707"/>
    <w:rsid w:val="009A17FB"/>
    <w:rsid w:val="009A1C6C"/>
    <w:rsid w:val="009A1E5A"/>
    <w:rsid w:val="009A1F5D"/>
    <w:rsid w:val="009A1F92"/>
    <w:rsid w:val="009A1FD3"/>
    <w:rsid w:val="009A223C"/>
    <w:rsid w:val="009A22EC"/>
    <w:rsid w:val="009A244D"/>
    <w:rsid w:val="009A272A"/>
    <w:rsid w:val="009A30B4"/>
    <w:rsid w:val="009A33B8"/>
    <w:rsid w:val="009A3C12"/>
    <w:rsid w:val="009A3E40"/>
    <w:rsid w:val="009A3FA6"/>
    <w:rsid w:val="009A42D6"/>
    <w:rsid w:val="009A4416"/>
    <w:rsid w:val="009A44F7"/>
    <w:rsid w:val="009A47A2"/>
    <w:rsid w:val="009A4C31"/>
    <w:rsid w:val="009A4CCD"/>
    <w:rsid w:val="009A4E64"/>
    <w:rsid w:val="009A545D"/>
    <w:rsid w:val="009A569C"/>
    <w:rsid w:val="009A5880"/>
    <w:rsid w:val="009A59B8"/>
    <w:rsid w:val="009A5C9E"/>
    <w:rsid w:val="009A5D71"/>
    <w:rsid w:val="009A6070"/>
    <w:rsid w:val="009A6148"/>
    <w:rsid w:val="009A637D"/>
    <w:rsid w:val="009A65FB"/>
    <w:rsid w:val="009A6775"/>
    <w:rsid w:val="009A69E8"/>
    <w:rsid w:val="009A6BAB"/>
    <w:rsid w:val="009A6D5C"/>
    <w:rsid w:val="009A7C07"/>
    <w:rsid w:val="009A7C22"/>
    <w:rsid w:val="009A7CE9"/>
    <w:rsid w:val="009A7ED8"/>
    <w:rsid w:val="009B00A1"/>
    <w:rsid w:val="009B03D0"/>
    <w:rsid w:val="009B05F4"/>
    <w:rsid w:val="009B074F"/>
    <w:rsid w:val="009B0944"/>
    <w:rsid w:val="009B0A7F"/>
    <w:rsid w:val="009B0BFA"/>
    <w:rsid w:val="009B0D2B"/>
    <w:rsid w:val="009B1144"/>
    <w:rsid w:val="009B1332"/>
    <w:rsid w:val="009B152E"/>
    <w:rsid w:val="009B1E64"/>
    <w:rsid w:val="009B1ED2"/>
    <w:rsid w:val="009B1EF4"/>
    <w:rsid w:val="009B1F2C"/>
    <w:rsid w:val="009B2016"/>
    <w:rsid w:val="009B203E"/>
    <w:rsid w:val="009B2330"/>
    <w:rsid w:val="009B242B"/>
    <w:rsid w:val="009B255E"/>
    <w:rsid w:val="009B25BD"/>
    <w:rsid w:val="009B2A04"/>
    <w:rsid w:val="009B2A4F"/>
    <w:rsid w:val="009B2AC6"/>
    <w:rsid w:val="009B2BBA"/>
    <w:rsid w:val="009B2C0E"/>
    <w:rsid w:val="009B2E74"/>
    <w:rsid w:val="009B3063"/>
    <w:rsid w:val="009B3278"/>
    <w:rsid w:val="009B3389"/>
    <w:rsid w:val="009B34BE"/>
    <w:rsid w:val="009B3758"/>
    <w:rsid w:val="009B3A81"/>
    <w:rsid w:val="009B3CF9"/>
    <w:rsid w:val="009B3F5F"/>
    <w:rsid w:val="009B4116"/>
    <w:rsid w:val="009B4A7D"/>
    <w:rsid w:val="009B4D22"/>
    <w:rsid w:val="009B4DD2"/>
    <w:rsid w:val="009B4E7B"/>
    <w:rsid w:val="009B54D2"/>
    <w:rsid w:val="009B5512"/>
    <w:rsid w:val="009B583C"/>
    <w:rsid w:val="009B5B2D"/>
    <w:rsid w:val="009B5B33"/>
    <w:rsid w:val="009B5E0C"/>
    <w:rsid w:val="009B6506"/>
    <w:rsid w:val="009B68A3"/>
    <w:rsid w:val="009B69B3"/>
    <w:rsid w:val="009B6A24"/>
    <w:rsid w:val="009B75B4"/>
    <w:rsid w:val="009B7630"/>
    <w:rsid w:val="009B76A2"/>
    <w:rsid w:val="009B7B82"/>
    <w:rsid w:val="009C00F4"/>
    <w:rsid w:val="009C03AB"/>
    <w:rsid w:val="009C093E"/>
    <w:rsid w:val="009C0C42"/>
    <w:rsid w:val="009C0EA5"/>
    <w:rsid w:val="009C1031"/>
    <w:rsid w:val="009C1106"/>
    <w:rsid w:val="009C1365"/>
    <w:rsid w:val="009C150B"/>
    <w:rsid w:val="009C163A"/>
    <w:rsid w:val="009C191D"/>
    <w:rsid w:val="009C1A4B"/>
    <w:rsid w:val="009C1CB4"/>
    <w:rsid w:val="009C2008"/>
    <w:rsid w:val="009C2161"/>
    <w:rsid w:val="009C225B"/>
    <w:rsid w:val="009C2292"/>
    <w:rsid w:val="009C2393"/>
    <w:rsid w:val="009C2A85"/>
    <w:rsid w:val="009C2EF2"/>
    <w:rsid w:val="009C2F3A"/>
    <w:rsid w:val="009C2FFE"/>
    <w:rsid w:val="009C336E"/>
    <w:rsid w:val="009C348A"/>
    <w:rsid w:val="009C3830"/>
    <w:rsid w:val="009C39D4"/>
    <w:rsid w:val="009C3A31"/>
    <w:rsid w:val="009C3B0C"/>
    <w:rsid w:val="009C3CA2"/>
    <w:rsid w:val="009C3DBE"/>
    <w:rsid w:val="009C41DD"/>
    <w:rsid w:val="009C450F"/>
    <w:rsid w:val="009C48D8"/>
    <w:rsid w:val="009C4A5C"/>
    <w:rsid w:val="009C50B7"/>
    <w:rsid w:val="009C527D"/>
    <w:rsid w:val="009C5368"/>
    <w:rsid w:val="009C56F0"/>
    <w:rsid w:val="009C58B2"/>
    <w:rsid w:val="009C5A5E"/>
    <w:rsid w:val="009C6115"/>
    <w:rsid w:val="009C63A3"/>
    <w:rsid w:val="009C698D"/>
    <w:rsid w:val="009C6BB6"/>
    <w:rsid w:val="009C6C67"/>
    <w:rsid w:val="009C6C73"/>
    <w:rsid w:val="009C6EE6"/>
    <w:rsid w:val="009C772D"/>
    <w:rsid w:val="009C778E"/>
    <w:rsid w:val="009C7808"/>
    <w:rsid w:val="009C78DE"/>
    <w:rsid w:val="009C7BD7"/>
    <w:rsid w:val="009C7EDD"/>
    <w:rsid w:val="009D00EB"/>
    <w:rsid w:val="009D01E1"/>
    <w:rsid w:val="009D0262"/>
    <w:rsid w:val="009D026A"/>
    <w:rsid w:val="009D03F4"/>
    <w:rsid w:val="009D060F"/>
    <w:rsid w:val="009D062C"/>
    <w:rsid w:val="009D06CD"/>
    <w:rsid w:val="009D0909"/>
    <w:rsid w:val="009D0961"/>
    <w:rsid w:val="009D0A71"/>
    <w:rsid w:val="009D0ACE"/>
    <w:rsid w:val="009D0B52"/>
    <w:rsid w:val="009D0B84"/>
    <w:rsid w:val="009D0FD1"/>
    <w:rsid w:val="009D1102"/>
    <w:rsid w:val="009D1584"/>
    <w:rsid w:val="009D1773"/>
    <w:rsid w:val="009D17F9"/>
    <w:rsid w:val="009D1834"/>
    <w:rsid w:val="009D1A66"/>
    <w:rsid w:val="009D1E1A"/>
    <w:rsid w:val="009D1EBD"/>
    <w:rsid w:val="009D2153"/>
    <w:rsid w:val="009D2690"/>
    <w:rsid w:val="009D2AEF"/>
    <w:rsid w:val="009D2D16"/>
    <w:rsid w:val="009D2D19"/>
    <w:rsid w:val="009D2E13"/>
    <w:rsid w:val="009D2EF7"/>
    <w:rsid w:val="009D2FE3"/>
    <w:rsid w:val="009D32CE"/>
    <w:rsid w:val="009D3659"/>
    <w:rsid w:val="009D3B28"/>
    <w:rsid w:val="009D3B71"/>
    <w:rsid w:val="009D3BEE"/>
    <w:rsid w:val="009D3E81"/>
    <w:rsid w:val="009D3EC0"/>
    <w:rsid w:val="009D40CE"/>
    <w:rsid w:val="009D4188"/>
    <w:rsid w:val="009D44D9"/>
    <w:rsid w:val="009D456A"/>
    <w:rsid w:val="009D47F4"/>
    <w:rsid w:val="009D4911"/>
    <w:rsid w:val="009D493E"/>
    <w:rsid w:val="009D4B36"/>
    <w:rsid w:val="009D4D65"/>
    <w:rsid w:val="009D4F63"/>
    <w:rsid w:val="009D4F64"/>
    <w:rsid w:val="009D55C1"/>
    <w:rsid w:val="009D55E4"/>
    <w:rsid w:val="009D5933"/>
    <w:rsid w:val="009D5ABB"/>
    <w:rsid w:val="009D5AE8"/>
    <w:rsid w:val="009D5B20"/>
    <w:rsid w:val="009D5CE4"/>
    <w:rsid w:val="009D5FCE"/>
    <w:rsid w:val="009D608F"/>
    <w:rsid w:val="009D60A8"/>
    <w:rsid w:val="009D61E9"/>
    <w:rsid w:val="009D6226"/>
    <w:rsid w:val="009D6591"/>
    <w:rsid w:val="009D6C80"/>
    <w:rsid w:val="009D6CAD"/>
    <w:rsid w:val="009D6E64"/>
    <w:rsid w:val="009D6ED7"/>
    <w:rsid w:val="009D6F85"/>
    <w:rsid w:val="009D719E"/>
    <w:rsid w:val="009D730B"/>
    <w:rsid w:val="009D73B9"/>
    <w:rsid w:val="009D7485"/>
    <w:rsid w:val="009D7534"/>
    <w:rsid w:val="009D7804"/>
    <w:rsid w:val="009E0822"/>
    <w:rsid w:val="009E0C10"/>
    <w:rsid w:val="009E105A"/>
    <w:rsid w:val="009E12F9"/>
    <w:rsid w:val="009E1354"/>
    <w:rsid w:val="009E1365"/>
    <w:rsid w:val="009E14F3"/>
    <w:rsid w:val="009E16CB"/>
    <w:rsid w:val="009E1709"/>
    <w:rsid w:val="009E197C"/>
    <w:rsid w:val="009E1CAD"/>
    <w:rsid w:val="009E22DE"/>
    <w:rsid w:val="009E2459"/>
    <w:rsid w:val="009E2897"/>
    <w:rsid w:val="009E2920"/>
    <w:rsid w:val="009E2B09"/>
    <w:rsid w:val="009E2D8E"/>
    <w:rsid w:val="009E2E5C"/>
    <w:rsid w:val="009E2E72"/>
    <w:rsid w:val="009E2EF7"/>
    <w:rsid w:val="009E3057"/>
    <w:rsid w:val="009E3188"/>
    <w:rsid w:val="009E33F8"/>
    <w:rsid w:val="009E34EB"/>
    <w:rsid w:val="009E372D"/>
    <w:rsid w:val="009E374C"/>
    <w:rsid w:val="009E3A9D"/>
    <w:rsid w:val="009E4157"/>
    <w:rsid w:val="009E4332"/>
    <w:rsid w:val="009E43BC"/>
    <w:rsid w:val="009E4413"/>
    <w:rsid w:val="009E4659"/>
    <w:rsid w:val="009E4A16"/>
    <w:rsid w:val="009E4BF9"/>
    <w:rsid w:val="009E4CA0"/>
    <w:rsid w:val="009E4D8B"/>
    <w:rsid w:val="009E4E8D"/>
    <w:rsid w:val="009E4F97"/>
    <w:rsid w:val="009E53BF"/>
    <w:rsid w:val="009E564D"/>
    <w:rsid w:val="009E5AB6"/>
    <w:rsid w:val="009E5B56"/>
    <w:rsid w:val="009E5F6F"/>
    <w:rsid w:val="009E6010"/>
    <w:rsid w:val="009E632C"/>
    <w:rsid w:val="009E633E"/>
    <w:rsid w:val="009E6435"/>
    <w:rsid w:val="009E65D6"/>
    <w:rsid w:val="009E6DEC"/>
    <w:rsid w:val="009E6F30"/>
    <w:rsid w:val="009E70ED"/>
    <w:rsid w:val="009E71DF"/>
    <w:rsid w:val="009E7257"/>
    <w:rsid w:val="009E72CD"/>
    <w:rsid w:val="009E7594"/>
    <w:rsid w:val="009E7845"/>
    <w:rsid w:val="009E78DB"/>
    <w:rsid w:val="009E7A40"/>
    <w:rsid w:val="009E7A9E"/>
    <w:rsid w:val="009F02FF"/>
    <w:rsid w:val="009F0341"/>
    <w:rsid w:val="009F0B71"/>
    <w:rsid w:val="009F0C18"/>
    <w:rsid w:val="009F0C48"/>
    <w:rsid w:val="009F0D20"/>
    <w:rsid w:val="009F0D2A"/>
    <w:rsid w:val="009F0EF0"/>
    <w:rsid w:val="009F0F87"/>
    <w:rsid w:val="009F120A"/>
    <w:rsid w:val="009F12B7"/>
    <w:rsid w:val="009F1775"/>
    <w:rsid w:val="009F18E4"/>
    <w:rsid w:val="009F1A9E"/>
    <w:rsid w:val="009F1EE9"/>
    <w:rsid w:val="009F215E"/>
    <w:rsid w:val="009F2215"/>
    <w:rsid w:val="009F2519"/>
    <w:rsid w:val="009F2537"/>
    <w:rsid w:val="009F2560"/>
    <w:rsid w:val="009F2836"/>
    <w:rsid w:val="009F2B38"/>
    <w:rsid w:val="009F2C6E"/>
    <w:rsid w:val="009F2F98"/>
    <w:rsid w:val="009F3677"/>
    <w:rsid w:val="009F36A9"/>
    <w:rsid w:val="009F3828"/>
    <w:rsid w:val="009F3D96"/>
    <w:rsid w:val="009F3DB5"/>
    <w:rsid w:val="009F3F5F"/>
    <w:rsid w:val="009F4032"/>
    <w:rsid w:val="009F4058"/>
    <w:rsid w:val="009F416D"/>
    <w:rsid w:val="009F4266"/>
    <w:rsid w:val="009F45C8"/>
    <w:rsid w:val="009F4D21"/>
    <w:rsid w:val="009F4E15"/>
    <w:rsid w:val="009F4EF3"/>
    <w:rsid w:val="009F508F"/>
    <w:rsid w:val="009F52F6"/>
    <w:rsid w:val="009F5305"/>
    <w:rsid w:val="009F5449"/>
    <w:rsid w:val="009F548F"/>
    <w:rsid w:val="009F5BE2"/>
    <w:rsid w:val="009F61E3"/>
    <w:rsid w:val="009F6239"/>
    <w:rsid w:val="009F6248"/>
    <w:rsid w:val="009F629F"/>
    <w:rsid w:val="009F6425"/>
    <w:rsid w:val="009F686C"/>
    <w:rsid w:val="009F6881"/>
    <w:rsid w:val="009F69E4"/>
    <w:rsid w:val="009F6C67"/>
    <w:rsid w:val="009F6D5D"/>
    <w:rsid w:val="009F6DB5"/>
    <w:rsid w:val="009F6EDA"/>
    <w:rsid w:val="009F6F3F"/>
    <w:rsid w:val="009F7424"/>
    <w:rsid w:val="009F76FE"/>
    <w:rsid w:val="009F7C2A"/>
    <w:rsid w:val="009F7C38"/>
    <w:rsid w:val="00A0006B"/>
    <w:rsid w:val="00A00155"/>
    <w:rsid w:val="00A00226"/>
    <w:rsid w:val="00A003CD"/>
    <w:rsid w:val="00A00598"/>
    <w:rsid w:val="00A0064E"/>
    <w:rsid w:val="00A009A3"/>
    <w:rsid w:val="00A00A7F"/>
    <w:rsid w:val="00A00B68"/>
    <w:rsid w:val="00A00BA2"/>
    <w:rsid w:val="00A00E02"/>
    <w:rsid w:val="00A010D7"/>
    <w:rsid w:val="00A01155"/>
    <w:rsid w:val="00A0123D"/>
    <w:rsid w:val="00A01372"/>
    <w:rsid w:val="00A0140F"/>
    <w:rsid w:val="00A014B7"/>
    <w:rsid w:val="00A01806"/>
    <w:rsid w:val="00A01AAA"/>
    <w:rsid w:val="00A01C43"/>
    <w:rsid w:val="00A01C59"/>
    <w:rsid w:val="00A01D21"/>
    <w:rsid w:val="00A01E2E"/>
    <w:rsid w:val="00A02087"/>
    <w:rsid w:val="00A0216B"/>
    <w:rsid w:val="00A0229E"/>
    <w:rsid w:val="00A0243B"/>
    <w:rsid w:val="00A02621"/>
    <w:rsid w:val="00A02AA2"/>
    <w:rsid w:val="00A02E8A"/>
    <w:rsid w:val="00A034CA"/>
    <w:rsid w:val="00A03995"/>
    <w:rsid w:val="00A03C3C"/>
    <w:rsid w:val="00A03E25"/>
    <w:rsid w:val="00A040EA"/>
    <w:rsid w:val="00A0441A"/>
    <w:rsid w:val="00A04513"/>
    <w:rsid w:val="00A045BD"/>
    <w:rsid w:val="00A0468F"/>
    <w:rsid w:val="00A0470F"/>
    <w:rsid w:val="00A049F6"/>
    <w:rsid w:val="00A04AC5"/>
    <w:rsid w:val="00A0533E"/>
    <w:rsid w:val="00A0577E"/>
    <w:rsid w:val="00A05891"/>
    <w:rsid w:val="00A05A32"/>
    <w:rsid w:val="00A05AC1"/>
    <w:rsid w:val="00A05CAA"/>
    <w:rsid w:val="00A05CE4"/>
    <w:rsid w:val="00A05CFA"/>
    <w:rsid w:val="00A05D29"/>
    <w:rsid w:val="00A05E67"/>
    <w:rsid w:val="00A05EE6"/>
    <w:rsid w:val="00A05F9E"/>
    <w:rsid w:val="00A0616D"/>
    <w:rsid w:val="00A06541"/>
    <w:rsid w:val="00A06713"/>
    <w:rsid w:val="00A0673B"/>
    <w:rsid w:val="00A06A41"/>
    <w:rsid w:val="00A07113"/>
    <w:rsid w:val="00A07512"/>
    <w:rsid w:val="00A07783"/>
    <w:rsid w:val="00A07D7B"/>
    <w:rsid w:val="00A07DCD"/>
    <w:rsid w:val="00A10027"/>
    <w:rsid w:val="00A10227"/>
    <w:rsid w:val="00A10362"/>
    <w:rsid w:val="00A10560"/>
    <w:rsid w:val="00A10575"/>
    <w:rsid w:val="00A10988"/>
    <w:rsid w:val="00A10A23"/>
    <w:rsid w:val="00A10B77"/>
    <w:rsid w:val="00A10F44"/>
    <w:rsid w:val="00A10FA3"/>
    <w:rsid w:val="00A112CC"/>
    <w:rsid w:val="00A117E6"/>
    <w:rsid w:val="00A119D1"/>
    <w:rsid w:val="00A11B6C"/>
    <w:rsid w:val="00A11E18"/>
    <w:rsid w:val="00A12059"/>
    <w:rsid w:val="00A120BF"/>
    <w:rsid w:val="00A12484"/>
    <w:rsid w:val="00A12764"/>
    <w:rsid w:val="00A12A6B"/>
    <w:rsid w:val="00A12AD5"/>
    <w:rsid w:val="00A1309C"/>
    <w:rsid w:val="00A1312E"/>
    <w:rsid w:val="00A13BDC"/>
    <w:rsid w:val="00A13CEF"/>
    <w:rsid w:val="00A13F9A"/>
    <w:rsid w:val="00A14284"/>
    <w:rsid w:val="00A144A4"/>
    <w:rsid w:val="00A14880"/>
    <w:rsid w:val="00A15315"/>
    <w:rsid w:val="00A154ED"/>
    <w:rsid w:val="00A15700"/>
    <w:rsid w:val="00A1587E"/>
    <w:rsid w:val="00A15966"/>
    <w:rsid w:val="00A15E52"/>
    <w:rsid w:val="00A164FA"/>
    <w:rsid w:val="00A165B5"/>
    <w:rsid w:val="00A1669E"/>
    <w:rsid w:val="00A16941"/>
    <w:rsid w:val="00A16989"/>
    <w:rsid w:val="00A16D69"/>
    <w:rsid w:val="00A1704F"/>
    <w:rsid w:val="00A172DA"/>
    <w:rsid w:val="00A174E0"/>
    <w:rsid w:val="00A17505"/>
    <w:rsid w:val="00A17574"/>
    <w:rsid w:val="00A17651"/>
    <w:rsid w:val="00A1768F"/>
    <w:rsid w:val="00A176D1"/>
    <w:rsid w:val="00A17B00"/>
    <w:rsid w:val="00A17DC6"/>
    <w:rsid w:val="00A17F68"/>
    <w:rsid w:val="00A2009D"/>
    <w:rsid w:val="00A2023C"/>
    <w:rsid w:val="00A20338"/>
    <w:rsid w:val="00A208D8"/>
    <w:rsid w:val="00A20E02"/>
    <w:rsid w:val="00A20E81"/>
    <w:rsid w:val="00A20F3F"/>
    <w:rsid w:val="00A2110E"/>
    <w:rsid w:val="00A21134"/>
    <w:rsid w:val="00A21180"/>
    <w:rsid w:val="00A211BE"/>
    <w:rsid w:val="00A21273"/>
    <w:rsid w:val="00A214E3"/>
    <w:rsid w:val="00A21562"/>
    <w:rsid w:val="00A215BD"/>
    <w:rsid w:val="00A216B7"/>
    <w:rsid w:val="00A217AC"/>
    <w:rsid w:val="00A2189B"/>
    <w:rsid w:val="00A21957"/>
    <w:rsid w:val="00A21A8A"/>
    <w:rsid w:val="00A21D78"/>
    <w:rsid w:val="00A21DE9"/>
    <w:rsid w:val="00A2202F"/>
    <w:rsid w:val="00A2203D"/>
    <w:rsid w:val="00A220A9"/>
    <w:rsid w:val="00A221FB"/>
    <w:rsid w:val="00A22672"/>
    <w:rsid w:val="00A22B9D"/>
    <w:rsid w:val="00A22CCA"/>
    <w:rsid w:val="00A22CCB"/>
    <w:rsid w:val="00A22D11"/>
    <w:rsid w:val="00A22EF4"/>
    <w:rsid w:val="00A22F43"/>
    <w:rsid w:val="00A23291"/>
    <w:rsid w:val="00A23329"/>
    <w:rsid w:val="00A235A8"/>
    <w:rsid w:val="00A235B4"/>
    <w:rsid w:val="00A23720"/>
    <w:rsid w:val="00A2376E"/>
    <w:rsid w:val="00A23A35"/>
    <w:rsid w:val="00A23C2D"/>
    <w:rsid w:val="00A23F76"/>
    <w:rsid w:val="00A23FB9"/>
    <w:rsid w:val="00A241EF"/>
    <w:rsid w:val="00A243A9"/>
    <w:rsid w:val="00A24459"/>
    <w:rsid w:val="00A24662"/>
    <w:rsid w:val="00A246EF"/>
    <w:rsid w:val="00A247A6"/>
    <w:rsid w:val="00A24C6B"/>
    <w:rsid w:val="00A24E3B"/>
    <w:rsid w:val="00A25064"/>
    <w:rsid w:val="00A251C0"/>
    <w:rsid w:val="00A2525C"/>
    <w:rsid w:val="00A2541D"/>
    <w:rsid w:val="00A2557B"/>
    <w:rsid w:val="00A25979"/>
    <w:rsid w:val="00A25CD6"/>
    <w:rsid w:val="00A25EE0"/>
    <w:rsid w:val="00A263F1"/>
    <w:rsid w:val="00A2646D"/>
    <w:rsid w:val="00A2654D"/>
    <w:rsid w:val="00A26555"/>
    <w:rsid w:val="00A265F1"/>
    <w:rsid w:val="00A268C7"/>
    <w:rsid w:val="00A26AE9"/>
    <w:rsid w:val="00A26CF8"/>
    <w:rsid w:val="00A270AC"/>
    <w:rsid w:val="00A2723B"/>
    <w:rsid w:val="00A27368"/>
    <w:rsid w:val="00A2737A"/>
    <w:rsid w:val="00A274B5"/>
    <w:rsid w:val="00A275E3"/>
    <w:rsid w:val="00A27717"/>
    <w:rsid w:val="00A2794F"/>
    <w:rsid w:val="00A27AE6"/>
    <w:rsid w:val="00A30017"/>
    <w:rsid w:val="00A3012C"/>
    <w:rsid w:val="00A304F6"/>
    <w:rsid w:val="00A3056D"/>
    <w:rsid w:val="00A30B37"/>
    <w:rsid w:val="00A30C14"/>
    <w:rsid w:val="00A30D7A"/>
    <w:rsid w:val="00A30F6A"/>
    <w:rsid w:val="00A31046"/>
    <w:rsid w:val="00A3116A"/>
    <w:rsid w:val="00A31542"/>
    <w:rsid w:val="00A31837"/>
    <w:rsid w:val="00A318A0"/>
    <w:rsid w:val="00A31F55"/>
    <w:rsid w:val="00A31FB1"/>
    <w:rsid w:val="00A3243C"/>
    <w:rsid w:val="00A3255B"/>
    <w:rsid w:val="00A3262B"/>
    <w:rsid w:val="00A32A1C"/>
    <w:rsid w:val="00A32F1F"/>
    <w:rsid w:val="00A32F68"/>
    <w:rsid w:val="00A32F9E"/>
    <w:rsid w:val="00A33164"/>
    <w:rsid w:val="00A33200"/>
    <w:rsid w:val="00A3329F"/>
    <w:rsid w:val="00A332C1"/>
    <w:rsid w:val="00A3341B"/>
    <w:rsid w:val="00A337FA"/>
    <w:rsid w:val="00A3397A"/>
    <w:rsid w:val="00A33D2D"/>
    <w:rsid w:val="00A341B7"/>
    <w:rsid w:val="00A3458B"/>
    <w:rsid w:val="00A34673"/>
    <w:rsid w:val="00A3496C"/>
    <w:rsid w:val="00A34982"/>
    <w:rsid w:val="00A34A6B"/>
    <w:rsid w:val="00A34A77"/>
    <w:rsid w:val="00A34A9B"/>
    <w:rsid w:val="00A34C7D"/>
    <w:rsid w:val="00A34EE9"/>
    <w:rsid w:val="00A3502B"/>
    <w:rsid w:val="00A352A3"/>
    <w:rsid w:val="00A35CCC"/>
    <w:rsid w:val="00A35D97"/>
    <w:rsid w:val="00A360DC"/>
    <w:rsid w:val="00A36214"/>
    <w:rsid w:val="00A3662B"/>
    <w:rsid w:val="00A368E3"/>
    <w:rsid w:val="00A36A56"/>
    <w:rsid w:val="00A36C24"/>
    <w:rsid w:val="00A36D68"/>
    <w:rsid w:val="00A37156"/>
    <w:rsid w:val="00A371E4"/>
    <w:rsid w:val="00A37306"/>
    <w:rsid w:val="00A3742D"/>
    <w:rsid w:val="00A37555"/>
    <w:rsid w:val="00A37B17"/>
    <w:rsid w:val="00A37E21"/>
    <w:rsid w:val="00A401DF"/>
    <w:rsid w:val="00A4042A"/>
    <w:rsid w:val="00A40751"/>
    <w:rsid w:val="00A40894"/>
    <w:rsid w:val="00A409F5"/>
    <w:rsid w:val="00A41034"/>
    <w:rsid w:val="00A41304"/>
    <w:rsid w:val="00A4168C"/>
    <w:rsid w:val="00A41750"/>
    <w:rsid w:val="00A418C0"/>
    <w:rsid w:val="00A41904"/>
    <w:rsid w:val="00A41A28"/>
    <w:rsid w:val="00A41B25"/>
    <w:rsid w:val="00A41D0B"/>
    <w:rsid w:val="00A41D62"/>
    <w:rsid w:val="00A41E0F"/>
    <w:rsid w:val="00A41F50"/>
    <w:rsid w:val="00A4208E"/>
    <w:rsid w:val="00A423AB"/>
    <w:rsid w:val="00A423BF"/>
    <w:rsid w:val="00A423CA"/>
    <w:rsid w:val="00A424AB"/>
    <w:rsid w:val="00A424C3"/>
    <w:rsid w:val="00A42537"/>
    <w:rsid w:val="00A42615"/>
    <w:rsid w:val="00A42D49"/>
    <w:rsid w:val="00A42DB2"/>
    <w:rsid w:val="00A42F1F"/>
    <w:rsid w:val="00A42FE1"/>
    <w:rsid w:val="00A43878"/>
    <w:rsid w:val="00A438A3"/>
    <w:rsid w:val="00A43935"/>
    <w:rsid w:val="00A43F28"/>
    <w:rsid w:val="00A440A8"/>
    <w:rsid w:val="00A44188"/>
    <w:rsid w:val="00A44668"/>
    <w:rsid w:val="00A446C8"/>
    <w:rsid w:val="00A44762"/>
    <w:rsid w:val="00A44BE3"/>
    <w:rsid w:val="00A44C07"/>
    <w:rsid w:val="00A44FDE"/>
    <w:rsid w:val="00A4517D"/>
    <w:rsid w:val="00A4522A"/>
    <w:rsid w:val="00A45309"/>
    <w:rsid w:val="00A45642"/>
    <w:rsid w:val="00A456F3"/>
    <w:rsid w:val="00A459A2"/>
    <w:rsid w:val="00A45A61"/>
    <w:rsid w:val="00A45A6D"/>
    <w:rsid w:val="00A45CC7"/>
    <w:rsid w:val="00A45F50"/>
    <w:rsid w:val="00A461E0"/>
    <w:rsid w:val="00A464CF"/>
    <w:rsid w:val="00A464E1"/>
    <w:rsid w:val="00A464FF"/>
    <w:rsid w:val="00A46927"/>
    <w:rsid w:val="00A46B4F"/>
    <w:rsid w:val="00A46CE1"/>
    <w:rsid w:val="00A46EB9"/>
    <w:rsid w:val="00A47435"/>
    <w:rsid w:val="00A47567"/>
    <w:rsid w:val="00A4790B"/>
    <w:rsid w:val="00A47913"/>
    <w:rsid w:val="00A479C3"/>
    <w:rsid w:val="00A47B92"/>
    <w:rsid w:val="00A47B96"/>
    <w:rsid w:val="00A500AB"/>
    <w:rsid w:val="00A502DE"/>
    <w:rsid w:val="00A50744"/>
    <w:rsid w:val="00A508AC"/>
    <w:rsid w:val="00A509C9"/>
    <w:rsid w:val="00A50A04"/>
    <w:rsid w:val="00A50D07"/>
    <w:rsid w:val="00A51157"/>
    <w:rsid w:val="00A513EC"/>
    <w:rsid w:val="00A51669"/>
    <w:rsid w:val="00A51915"/>
    <w:rsid w:val="00A51AF7"/>
    <w:rsid w:val="00A51B80"/>
    <w:rsid w:val="00A51D90"/>
    <w:rsid w:val="00A51EA0"/>
    <w:rsid w:val="00A5208F"/>
    <w:rsid w:val="00A52267"/>
    <w:rsid w:val="00A52576"/>
    <w:rsid w:val="00A525A8"/>
    <w:rsid w:val="00A52D02"/>
    <w:rsid w:val="00A52FB8"/>
    <w:rsid w:val="00A52FDC"/>
    <w:rsid w:val="00A52FEA"/>
    <w:rsid w:val="00A5340E"/>
    <w:rsid w:val="00A53507"/>
    <w:rsid w:val="00A53585"/>
    <w:rsid w:val="00A53774"/>
    <w:rsid w:val="00A53854"/>
    <w:rsid w:val="00A53A29"/>
    <w:rsid w:val="00A53C03"/>
    <w:rsid w:val="00A53C71"/>
    <w:rsid w:val="00A53FFC"/>
    <w:rsid w:val="00A543D7"/>
    <w:rsid w:val="00A54772"/>
    <w:rsid w:val="00A54B41"/>
    <w:rsid w:val="00A54DC9"/>
    <w:rsid w:val="00A54DFA"/>
    <w:rsid w:val="00A54F99"/>
    <w:rsid w:val="00A551D9"/>
    <w:rsid w:val="00A55419"/>
    <w:rsid w:val="00A5579E"/>
    <w:rsid w:val="00A56006"/>
    <w:rsid w:val="00A560AE"/>
    <w:rsid w:val="00A561B7"/>
    <w:rsid w:val="00A561C9"/>
    <w:rsid w:val="00A5634B"/>
    <w:rsid w:val="00A56636"/>
    <w:rsid w:val="00A56BD8"/>
    <w:rsid w:val="00A56D74"/>
    <w:rsid w:val="00A56DA9"/>
    <w:rsid w:val="00A5702F"/>
    <w:rsid w:val="00A5732F"/>
    <w:rsid w:val="00A574E2"/>
    <w:rsid w:val="00A600CB"/>
    <w:rsid w:val="00A60313"/>
    <w:rsid w:val="00A60657"/>
    <w:rsid w:val="00A60700"/>
    <w:rsid w:val="00A607F6"/>
    <w:rsid w:val="00A60B30"/>
    <w:rsid w:val="00A60C55"/>
    <w:rsid w:val="00A60E84"/>
    <w:rsid w:val="00A60EC2"/>
    <w:rsid w:val="00A60F95"/>
    <w:rsid w:val="00A6122F"/>
    <w:rsid w:val="00A61288"/>
    <w:rsid w:val="00A61740"/>
    <w:rsid w:val="00A6175A"/>
    <w:rsid w:val="00A61BA9"/>
    <w:rsid w:val="00A61BD6"/>
    <w:rsid w:val="00A61C63"/>
    <w:rsid w:val="00A61F25"/>
    <w:rsid w:val="00A61F8C"/>
    <w:rsid w:val="00A620C1"/>
    <w:rsid w:val="00A6240F"/>
    <w:rsid w:val="00A6284E"/>
    <w:rsid w:val="00A6312B"/>
    <w:rsid w:val="00A6321B"/>
    <w:rsid w:val="00A63230"/>
    <w:rsid w:val="00A63415"/>
    <w:rsid w:val="00A63A42"/>
    <w:rsid w:val="00A63BB6"/>
    <w:rsid w:val="00A63CBB"/>
    <w:rsid w:val="00A63D11"/>
    <w:rsid w:val="00A640E7"/>
    <w:rsid w:val="00A64413"/>
    <w:rsid w:val="00A64578"/>
    <w:rsid w:val="00A64594"/>
    <w:rsid w:val="00A6463D"/>
    <w:rsid w:val="00A6486E"/>
    <w:rsid w:val="00A64A7B"/>
    <w:rsid w:val="00A64DA9"/>
    <w:rsid w:val="00A64DB1"/>
    <w:rsid w:val="00A64DDE"/>
    <w:rsid w:val="00A64DF0"/>
    <w:rsid w:val="00A64F85"/>
    <w:rsid w:val="00A64F95"/>
    <w:rsid w:val="00A65033"/>
    <w:rsid w:val="00A650E5"/>
    <w:rsid w:val="00A65523"/>
    <w:rsid w:val="00A65547"/>
    <w:rsid w:val="00A65576"/>
    <w:rsid w:val="00A658BC"/>
    <w:rsid w:val="00A65A21"/>
    <w:rsid w:val="00A65E65"/>
    <w:rsid w:val="00A65ED8"/>
    <w:rsid w:val="00A6603E"/>
    <w:rsid w:val="00A6659B"/>
    <w:rsid w:val="00A66616"/>
    <w:rsid w:val="00A66661"/>
    <w:rsid w:val="00A66E22"/>
    <w:rsid w:val="00A67365"/>
    <w:rsid w:val="00A67415"/>
    <w:rsid w:val="00A6743B"/>
    <w:rsid w:val="00A67596"/>
    <w:rsid w:val="00A677DC"/>
    <w:rsid w:val="00A6789D"/>
    <w:rsid w:val="00A678C0"/>
    <w:rsid w:val="00A67909"/>
    <w:rsid w:val="00A704C6"/>
    <w:rsid w:val="00A704E0"/>
    <w:rsid w:val="00A70578"/>
    <w:rsid w:val="00A705CA"/>
    <w:rsid w:val="00A707BB"/>
    <w:rsid w:val="00A7081D"/>
    <w:rsid w:val="00A708B3"/>
    <w:rsid w:val="00A70A88"/>
    <w:rsid w:val="00A70E40"/>
    <w:rsid w:val="00A70E55"/>
    <w:rsid w:val="00A70F2F"/>
    <w:rsid w:val="00A70F44"/>
    <w:rsid w:val="00A70FCA"/>
    <w:rsid w:val="00A7157F"/>
    <w:rsid w:val="00A71651"/>
    <w:rsid w:val="00A71837"/>
    <w:rsid w:val="00A71A07"/>
    <w:rsid w:val="00A71CB6"/>
    <w:rsid w:val="00A71D07"/>
    <w:rsid w:val="00A71D2D"/>
    <w:rsid w:val="00A725C9"/>
    <w:rsid w:val="00A7278C"/>
    <w:rsid w:val="00A72794"/>
    <w:rsid w:val="00A72A43"/>
    <w:rsid w:val="00A72CC6"/>
    <w:rsid w:val="00A72E35"/>
    <w:rsid w:val="00A73181"/>
    <w:rsid w:val="00A732C0"/>
    <w:rsid w:val="00A733A3"/>
    <w:rsid w:val="00A7350C"/>
    <w:rsid w:val="00A735A1"/>
    <w:rsid w:val="00A73924"/>
    <w:rsid w:val="00A73946"/>
    <w:rsid w:val="00A73B93"/>
    <w:rsid w:val="00A73D67"/>
    <w:rsid w:val="00A73E68"/>
    <w:rsid w:val="00A741E3"/>
    <w:rsid w:val="00A742FC"/>
    <w:rsid w:val="00A74C5C"/>
    <w:rsid w:val="00A74CBB"/>
    <w:rsid w:val="00A74EB8"/>
    <w:rsid w:val="00A7503D"/>
    <w:rsid w:val="00A750EF"/>
    <w:rsid w:val="00A75553"/>
    <w:rsid w:val="00A75B4E"/>
    <w:rsid w:val="00A75B9D"/>
    <w:rsid w:val="00A75C31"/>
    <w:rsid w:val="00A75D09"/>
    <w:rsid w:val="00A75F98"/>
    <w:rsid w:val="00A7620F"/>
    <w:rsid w:val="00A763ED"/>
    <w:rsid w:val="00A7649E"/>
    <w:rsid w:val="00A76786"/>
    <w:rsid w:val="00A76819"/>
    <w:rsid w:val="00A7683E"/>
    <w:rsid w:val="00A768AA"/>
    <w:rsid w:val="00A768E3"/>
    <w:rsid w:val="00A76E5C"/>
    <w:rsid w:val="00A76FB7"/>
    <w:rsid w:val="00A770B6"/>
    <w:rsid w:val="00A77960"/>
    <w:rsid w:val="00A77AC6"/>
    <w:rsid w:val="00A77C5A"/>
    <w:rsid w:val="00A77DAC"/>
    <w:rsid w:val="00A8051F"/>
    <w:rsid w:val="00A81092"/>
    <w:rsid w:val="00A811E0"/>
    <w:rsid w:val="00A81521"/>
    <w:rsid w:val="00A8164C"/>
    <w:rsid w:val="00A81A73"/>
    <w:rsid w:val="00A81C52"/>
    <w:rsid w:val="00A81D3A"/>
    <w:rsid w:val="00A81E86"/>
    <w:rsid w:val="00A824C0"/>
    <w:rsid w:val="00A82689"/>
    <w:rsid w:val="00A831A3"/>
    <w:rsid w:val="00A836BA"/>
    <w:rsid w:val="00A83972"/>
    <w:rsid w:val="00A83DC9"/>
    <w:rsid w:val="00A83E61"/>
    <w:rsid w:val="00A83F27"/>
    <w:rsid w:val="00A84126"/>
    <w:rsid w:val="00A846BB"/>
    <w:rsid w:val="00A84881"/>
    <w:rsid w:val="00A84908"/>
    <w:rsid w:val="00A84C7C"/>
    <w:rsid w:val="00A85081"/>
    <w:rsid w:val="00A85095"/>
    <w:rsid w:val="00A85508"/>
    <w:rsid w:val="00A85517"/>
    <w:rsid w:val="00A8555C"/>
    <w:rsid w:val="00A85917"/>
    <w:rsid w:val="00A85BB7"/>
    <w:rsid w:val="00A85D2A"/>
    <w:rsid w:val="00A86072"/>
    <w:rsid w:val="00A862C2"/>
    <w:rsid w:val="00A864CD"/>
    <w:rsid w:val="00A86564"/>
    <w:rsid w:val="00A86A14"/>
    <w:rsid w:val="00A86A65"/>
    <w:rsid w:val="00A86BDE"/>
    <w:rsid w:val="00A86BF4"/>
    <w:rsid w:val="00A86DCF"/>
    <w:rsid w:val="00A86E9F"/>
    <w:rsid w:val="00A87238"/>
    <w:rsid w:val="00A8769D"/>
    <w:rsid w:val="00A87750"/>
    <w:rsid w:val="00A87A4F"/>
    <w:rsid w:val="00A87B8C"/>
    <w:rsid w:val="00A87DAE"/>
    <w:rsid w:val="00A9050B"/>
    <w:rsid w:val="00A9066D"/>
    <w:rsid w:val="00A907A6"/>
    <w:rsid w:val="00A907F6"/>
    <w:rsid w:val="00A908AB"/>
    <w:rsid w:val="00A90A68"/>
    <w:rsid w:val="00A90C96"/>
    <w:rsid w:val="00A90FAE"/>
    <w:rsid w:val="00A912DF"/>
    <w:rsid w:val="00A913E6"/>
    <w:rsid w:val="00A91902"/>
    <w:rsid w:val="00A91A59"/>
    <w:rsid w:val="00A91AFC"/>
    <w:rsid w:val="00A91C0A"/>
    <w:rsid w:val="00A91DCD"/>
    <w:rsid w:val="00A91E49"/>
    <w:rsid w:val="00A91E8E"/>
    <w:rsid w:val="00A91EC2"/>
    <w:rsid w:val="00A91F4C"/>
    <w:rsid w:val="00A92383"/>
    <w:rsid w:val="00A92679"/>
    <w:rsid w:val="00A926FA"/>
    <w:rsid w:val="00A92766"/>
    <w:rsid w:val="00A92836"/>
    <w:rsid w:val="00A92C43"/>
    <w:rsid w:val="00A92DD5"/>
    <w:rsid w:val="00A92DF6"/>
    <w:rsid w:val="00A92E50"/>
    <w:rsid w:val="00A92F7A"/>
    <w:rsid w:val="00A9305D"/>
    <w:rsid w:val="00A933B0"/>
    <w:rsid w:val="00A935D9"/>
    <w:rsid w:val="00A935DA"/>
    <w:rsid w:val="00A93744"/>
    <w:rsid w:val="00A93745"/>
    <w:rsid w:val="00A93E52"/>
    <w:rsid w:val="00A9405E"/>
    <w:rsid w:val="00A94094"/>
    <w:rsid w:val="00A9417B"/>
    <w:rsid w:val="00A9420D"/>
    <w:rsid w:val="00A946B7"/>
    <w:rsid w:val="00A94D5C"/>
    <w:rsid w:val="00A94DD4"/>
    <w:rsid w:val="00A9501F"/>
    <w:rsid w:val="00A952AC"/>
    <w:rsid w:val="00A9560B"/>
    <w:rsid w:val="00A956E3"/>
    <w:rsid w:val="00A958D0"/>
    <w:rsid w:val="00A95B21"/>
    <w:rsid w:val="00A95E8A"/>
    <w:rsid w:val="00A95FE5"/>
    <w:rsid w:val="00A95FF8"/>
    <w:rsid w:val="00A96023"/>
    <w:rsid w:val="00A96213"/>
    <w:rsid w:val="00A963E6"/>
    <w:rsid w:val="00A9669E"/>
    <w:rsid w:val="00A96838"/>
    <w:rsid w:val="00A968A2"/>
    <w:rsid w:val="00A96CF6"/>
    <w:rsid w:val="00A97052"/>
    <w:rsid w:val="00A9706E"/>
    <w:rsid w:val="00A97861"/>
    <w:rsid w:val="00A978B3"/>
    <w:rsid w:val="00A97960"/>
    <w:rsid w:val="00A97BD1"/>
    <w:rsid w:val="00A97EA1"/>
    <w:rsid w:val="00A97ED8"/>
    <w:rsid w:val="00AA002C"/>
    <w:rsid w:val="00AA00AF"/>
    <w:rsid w:val="00AA00E0"/>
    <w:rsid w:val="00AA02DA"/>
    <w:rsid w:val="00AA03A6"/>
    <w:rsid w:val="00AA03E9"/>
    <w:rsid w:val="00AA05CF"/>
    <w:rsid w:val="00AA0988"/>
    <w:rsid w:val="00AA0AE7"/>
    <w:rsid w:val="00AA0FE6"/>
    <w:rsid w:val="00AA1076"/>
    <w:rsid w:val="00AA153F"/>
    <w:rsid w:val="00AA165C"/>
    <w:rsid w:val="00AA190B"/>
    <w:rsid w:val="00AA1A41"/>
    <w:rsid w:val="00AA1CB1"/>
    <w:rsid w:val="00AA2099"/>
    <w:rsid w:val="00AA2962"/>
    <w:rsid w:val="00AA2A6E"/>
    <w:rsid w:val="00AA3240"/>
    <w:rsid w:val="00AA3297"/>
    <w:rsid w:val="00AA3E96"/>
    <w:rsid w:val="00AA4313"/>
    <w:rsid w:val="00AA43C1"/>
    <w:rsid w:val="00AA468A"/>
    <w:rsid w:val="00AA46F8"/>
    <w:rsid w:val="00AA4C1E"/>
    <w:rsid w:val="00AA4E66"/>
    <w:rsid w:val="00AA4FEB"/>
    <w:rsid w:val="00AA510E"/>
    <w:rsid w:val="00AA5255"/>
    <w:rsid w:val="00AA5424"/>
    <w:rsid w:val="00AA5A86"/>
    <w:rsid w:val="00AA5BD2"/>
    <w:rsid w:val="00AA6244"/>
    <w:rsid w:val="00AA6522"/>
    <w:rsid w:val="00AA65CD"/>
    <w:rsid w:val="00AA66BA"/>
    <w:rsid w:val="00AA6B1E"/>
    <w:rsid w:val="00AA6CD4"/>
    <w:rsid w:val="00AA6D1F"/>
    <w:rsid w:val="00AA6E99"/>
    <w:rsid w:val="00AA7449"/>
    <w:rsid w:val="00AA7964"/>
    <w:rsid w:val="00AA7B82"/>
    <w:rsid w:val="00AA7C6E"/>
    <w:rsid w:val="00AA7CDE"/>
    <w:rsid w:val="00AA7CFB"/>
    <w:rsid w:val="00AA7FBA"/>
    <w:rsid w:val="00AB035B"/>
    <w:rsid w:val="00AB04EA"/>
    <w:rsid w:val="00AB0509"/>
    <w:rsid w:val="00AB08B1"/>
    <w:rsid w:val="00AB0FC8"/>
    <w:rsid w:val="00AB1038"/>
    <w:rsid w:val="00AB15FF"/>
    <w:rsid w:val="00AB17EC"/>
    <w:rsid w:val="00AB19A9"/>
    <w:rsid w:val="00AB19CE"/>
    <w:rsid w:val="00AB1ACD"/>
    <w:rsid w:val="00AB1D86"/>
    <w:rsid w:val="00AB236D"/>
    <w:rsid w:val="00AB244B"/>
    <w:rsid w:val="00AB24C7"/>
    <w:rsid w:val="00AB25BD"/>
    <w:rsid w:val="00AB268B"/>
    <w:rsid w:val="00AB28AB"/>
    <w:rsid w:val="00AB2C0E"/>
    <w:rsid w:val="00AB2EC3"/>
    <w:rsid w:val="00AB3009"/>
    <w:rsid w:val="00AB332D"/>
    <w:rsid w:val="00AB3356"/>
    <w:rsid w:val="00AB3638"/>
    <w:rsid w:val="00AB36FF"/>
    <w:rsid w:val="00AB39D4"/>
    <w:rsid w:val="00AB3C10"/>
    <w:rsid w:val="00AB3CFC"/>
    <w:rsid w:val="00AB3EC0"/>
    <w:rsid w:val="00AB3F81"/>
    <w:rsid w:val="00AB43D3"/>
    <w:rsid w:val="00AB4478"/>
    <w:rsid w:val="00AB44DF"/>
    <w:rsid w:val="00AB48C5"/>
    <w:rsid w:val="00AB4A18"/>
    <w:rsid w:val="00AB4E0B"/>
    <w:rsid w:val="00AB5085"/>
    <w:rsid w:val="00AB5587"/>
    <w:rsid w:val="00AB58AF"/>
    <w:rsid w:val="00AB5A04"/>
    <w:rsid w:val="00AB5AB4"/>
    <w:rsid w:val="00AB5EE9"/>
    <w:rsid w:val="00AB6621"/>
    <w:rsid w:val="00AB66D8"/>
    <w:rsid w:val="00AB684B"/>
    <w:rsid w:val="00AB6A64"/>
    <w:rsid w:val="00AB6BA8"/>
    <w:rsid w:val="00AB6C3D"/>
    <w:rsid w:val="00AB6CEE"/>
    <w:rsid w:val="00AB71F2"/>
    <w:rsid w:val="00AB7312"/>
    <w:rsid w:val="00AB7363"/>
    <w:rsid w:val="00AB7722"/>
    <w:rsid w:val="00AB7803"/>
    <w:rsid w:val="00AB7961"/>
    <w:rsid w:val="00AB7985"/>
    <w:rsid w:val="00AB7D03"/>
    <w:rsid w:val="00AB7D9E"/>
    <w:rsid w:val="00AC069C"/>
    <w:rsid w:val="00AC0AF8"/>
    <w:rsid w:val="00AC0ED7"/>
    <w:rsid w:val="00AC141A"/>
    <w:rsid w:val="00AC1B77"/>
    <w:rsid w:val="00AC1F03"/>
    <w:rsid w:val="00AC2319"/>
    <w:rsid w:val="00AC2676"/>
    <w:rsid w:val="00AC2719"/>
    <w:rsid w:val="00AC27AA"/>
    <w:rsid w:val="00AC2C37"/>
    <w:rsid w:val="00AC2C43"/>
    <w:rsid w:val="00AC2C82"/>
    <w:rsid w:val="00AC3008"/>
    <w:rsid w:val="00AC3149"/>
    <w:rsid w:val="00AC33F8"/>
    <w:rsid w:val="00AC34BF"/>
    <w:rsid w:val="00AC38D2"/>
    <w:rsid w:val="00AC398D"/>
    <w:rsid w:val="00AC3BB3"/>
    <w:rsid w:val="00AC3CA0"/>
    <w:rsid w:val="00AC3CA8"/>
    <w:rsid w:val="00AC3D59"/>
    <w:rsid w:val="00AC409F"/>
    <w:rsid w:val="00AC4433"/>
    <w:rsid w:val="00AC454A"/>
    <w:rsid w:val="00AC47EA"/>
    <w:rsid w:val="00AC4ACA"/>
    <w:rsid w:val="00AC4B59"/>
    <w:rsid w:val="00AC4D50"/>
    <w:rsid w:val="00AC4E94"/>
    <w:rsid w:val="00AC4F1A"/>
    <w:rsid w:val="00AC571D"/>
    <w:rsid w:val="00AC57A3"/>
    <w:rsid w:val="00AC586A"/>
    <w:rsid w:val="00AC58E1"/>
    <w:rsid w:val="00AC5D29"/>
    <w:rsid w:val="00AC5D5D"/>
    <w:rsid w:val="00AC600A"/>
    <w:rsid w:val="00AC64B0"/>
    <w:rsid w:val="00AC6583"/>
    <w:rsid w:val="00AC6646"/>
    <w:rsid w:val="00AC6758"/>
    <w:rsid w:val="00AC67FA"/>
    <w:rsid w:val="00AC6965"/>
    <w:rsid w:val="00AC6CC8"/>
    <w:rsid w:val="00AC6EA6"/>
    <w:rsid w:val="00AC7544"/>
    <w:rsid w:val="00AC7814"/>
    <w:rsid w:val="00AC7A2D"/>
    <w:rsid w:val="00AD01F9"/>
    <w:rsid w:val="00AD022F"/>
    <w:rsid w:val="00AD0271"/>
    <w:rsid w:val="00AD0755"/>
    <w:rsid w:val="00AD08E2"/>
    <w:rsid w:val="00AD0996"/>
    <w:rsid w:val="00AD0A0D"/>
    <w:rsid w:val="00AD0ACA"/>
    <w:rsid w:val="00AD0BDC"/>
    <w:rsid w:val="00AD0F6B"/>
    <w:rsid w:val="00AD1319"/>
    <w:rsid w:val="00AD1369"/>
    <w:rsid w:val="00AD141D"/>
    <w:rsid w:val="00AD155C"/>
    <w:rsid w:val="00AD16B3"/>
    <w:rsid w:val="00AD1722"/>
    <w:rsid w:val="00AD1A7A"/>
    <w:rsid w:val="00AD1BD3"/>
    <w:rsid w:val="00AD2001"/>
    <w:rsid w:val="00AD2178"/>
    <w:rsid w:val="00AD218C"/>
    <w:rsid w:val="00AD228D"/>
    <w:rsid w:val="00AD2311"/>
    <w:rsid w:val="00AD237F"/>
    <w:rsid w:val="00AD26E6"/>
    <w:rsid w:val="00AD27EA"/>
    <w:rsid w:val="00AD298E"/>
    <w:rsid w:val="00AD2998"/>
    <w:rsid w:val="00AD2BB0"/>
    <w:rsid w:val="00AD2BC7"/>
    <w:rsid w:val="00AD2BDF"/>
    <w:rsid w:val="00AD2D0B"/>
    <w:rsid w:val="00AD2D64"/>
    <w:rsid w:val="00AD2E9B"/>
    <w:rsid w:val="00AD3255"/>
    <w:rsid w:val="00AD332A"/>
    <w:rsid w:val="00AD3342"/>
    <w:rsid w:val="00AD3363"/>
    <w:rsid w:val="00AD375E"/>
    <w:rsid w:val="00AD38EB"/>
    <w:rsid w:val="00AD3F62"/>
    <w:rsid w:val="00AD4531"/>
    <w:rsid w:val="00AD4742"/>
    <w:rsid w:val="00AD47A6"/>
    <w:rsid w:val="00AD4937"/>
    <w:rsid w:val="00AD51BD"/>
    <w:rsid w:val="00AD56D4"/>
    <w:rsid w:val="00AD5BB1"/>
    <w:rsid w:val="00AD65C7"/>
    <w:rsid w:val="00AD67B5"/>
    <w:rsid w:val="00AD69E7"/>
    <w:rsid w:val="00AD69F8"/>
    <w:rsid w:val="00AD6AEE"/>
    <w:rsid w:val="00AD6B4F"/>
    <w:rsid w:val="00AD6BF6"/>
    <w:rsid w:val="00AD6DC9"/>
    <w:rsid w:val="00AD6FA7"/>
    <w:rsid w:val="00AD6FC3"/>
    <w:rsid w:val="00AD7085"/>
    <w:rsid w:val="00AD73AB"/>
    <w:rsid w:val="00AD7442"/>
    <w:rsid w:val="00AD7B36"/>
    <w:rsid w:val="00AD7D36"/>
    <w:rsid w:val="00AE011E"/>
    <w:rsid w:val="00AE0201"/>
    <w:rsid w:val="00AE02F9"/>
    <w:rsid w:val="00AE03B4"/>
    <w:rsid w:val="00AE0851"/>
    <w:rsid w:val="00AE0A55"/>
    <w:rsid w:val="00AE0D25"/>
    <w:rsid w:val="00AE0F94"/>
    <w:rsid w:val="00AE0FDF"/>
    <w:rsid w:val="00AE12AF"/>
    <w:rsid w:val="00AE1376"/>
    <w:rsid w:val="00AE1C2E"/>
    <w:rsid w:val="00AE2350"/>
    <w:rsid w:val="00AE284E"/>
    <w:rsid w:val="00AE28FF"/>
    <w:rsid w:val="00AE2976"/>
    <w:rsid w:val="00AE2E87"/>
    <w:rsid w:val="00AE3205"/>
    <w:rsid w:val="00AE33EB"/>
    <w:rsid w:val="00AE3514"/>
    <w:rsid w:val="00AE360C"/>
    <w:rsid w:val="00AE388B"/>
    <w:rsid w:val="00AE3A97"/>
    <w:rsid w:val="00AE3B40"/>
    <w:rsid w:val="00AE3FD6"/>
    <w:rsid w:val="00AE4263"/>
    <w:rsid w:val="00AE4312"/>
    <w:rsid w:val="00AE46D5"/>
    <w:rsid w:val="00AE4732"/>
    <w:rsid w:val="00AE476A"/>
    <w:rsid w:val="00AE4A40"/>
    <w:rsid w:val="00AE4C97"/>
    <w:rsid w:val="00AE4F51"/>
    <w:rsid w:val="00AE529F"/>
    <w:rsid w:val="00AE5333"/>
    <w:rsid w:val="00AE53CE"/>
    <w:rsid w:val="00AE5473"/>
    <w:rsid w:val="00AE598F"/>
    <w:rsid w:val="00AE5B1B"/>
    <w:rsid w:val="00AE5DEA"/>
    <w:rsid w:val="00AE60DE"/>
    <w:rsid w:val="00AE610B"/>
    <w:rsid w:val="00AE66C5"/>
    <w:rsid w:val="00AE6708"/>
    <w:rsid w:val="00AE6719"/>
    <w:rsid w:val="00AE6823"/>
    <w:rsid w:val="00AE68F3"/>
    <w:rsid w:val="00AE6988"/>
    <w:rsid w:val="00AE69FE"/>
    <w:rsid w:val="00AE73C5"/>
    <w:rsid w:val="00AE76F9"/>
    <w:rsid w:val="00AE778C"/>
    <w:rsid w:val="00AE78B5"/>
    <w:rsid w:val="00AF045D"/>
    <w:rsid w:val="00AF04C7"/>
    <w:rsid w:val="00AF09AB"/>
    <w:rsid w:val="00AF0DD4"/>
    <w:rsid w:val="00AF0E36"/>
    <w:rsid w:val="00AF1059"/>
    <w:rsid w:val="00AF1200"/>
    <w:rsid w:val="00AF124B"/>
    <w:rsid w:val="00AF135C"/>
    <w:rsid w:val="00AF15F4"/>
    <w:rsid w:val="00AF1A5D"/>
    <w:rsid w:val="00AF1A89"/>
    <w:rsid w:val="00AF1DA1"/>
    <w:rsid w:val="00AF203F"/>
    <w:rsid w:val="00AF2181"/>
    <w:rsid w:val="00AF21F1"/>
    <w:rsid w:val="00AF21FB"/>
    <w:rsid w:val="00AF2317"/>
    <w:rsid w:val="00AF2363"/>
    <w:rsid w:val="00AF23B6"/>
    <w:rsid w:val="00AF2851"/>
    <w:rsid w:val="00AF2891"/>
    <w:rsid w:val="00AF2C72"/>
    <w:rsid w:val="00AF2CC7"/>
    <w:rsid w:val="00AF2DAE"/>
    <w:rsid w:val="00AF2E75"/>
    <w:rsid w:val="00AF3149"/>
    <w:rsid w:val="00AF3418"/>
    <w:rsid w:val="00AF36F3"/>
    <w:rsid w:val="00AF3B41"/>
    <w:rsid w:val="00AF403D"/>
    <w:rsid w:val="00AF43D3"/>
    <w:rsid w:val="00AF46F9"/>
    <w:rsid w:val="00AF49E4"/>
    <w:rsid w:val="00AF4C01"/>
    <w:rsid w:val="00AF4E13"/>
    <w:rsid w:val="00AF537D"/>
    <w:rsid w:val="00AF5530"/>
    <w:rsid w:val="00AF56F8"/>
    <w:rsid w:val="00AF5B21"/>
    <w:rsid w:val="00AF5B66"/>
    <w:rsid w:val="00AF5EB8"/>
    <w:rsid w:val="00AF60F9"/>
    <w:rsid w:val="00AF63A7"/>
    <w:rsid w:val="00AF663E"/>
    <w:rsid w:val="00AF6706"/>
    <w:rsid w:val="00AF6890"/>
    <w:rsid w:val="00AF697D"/>
    <w:rsid w:val="00AF6991"/>
    <w:rsid w:val="00AF6A21"/>
    <w:rsid w:val="00AF6B3B"/>
    <w:rsid w:val="00AF6D7D"/>
    <w:rsid w:val="00AF6F9E"/>
    <w:rsid w:val="00AF713B"/>
    <w:rsid w:val="00AF7160"/>
    <w:rsid w:val="00AF71CF"/>
    <w:rsid w:val="00AF750B"/>
    <w:rsid w:val="00AF7759"/>
    <w:rsid w:val="00AF7DBD"/>
    <w:rsid w:val="00AF7F31"/>
    <w:rsid w:val="00AF7FAF"/>
    <w:rsid w:val="00B0029E"/>
    <w:rsid w:val="00B008B4"/>
    <w:rsid w:val="00B00954"/>
    <w:rsid w:val="00B00958"/>
    <w:rsid w:val="00B00A56"/>
    <w:rsid w:val="00B00B61"/>
    <w:rsid w:val="00B00EEA"/>
    <w:rsid w:val="00B00F34"/>
    <w:rsid w:val="00B015FF"/>
    <w:rsid w:val="00B01648"/>
    <w:rsid w:val="00B01710"/>
    <w:rsid w:val="00B017E9"/>
    <w:rsid w:val="00B018B9"/>
    <w:rsid w:val="00B018FD"/>
    <w:rsid w:val="00B019E9"/>
    <w:rsid w:val="00B02014"/>
    <w:rsid w:val="00B021A0"/>
    <w:rsid w:val="00B02235"/>
    <w:rsid w:val="00B0229E"/>
    <w:rsid w:val="00B024AD"/>
    <w:rsid w:val="00B026C8"/>
    <w:rsid w:val="00B02767"/>
    <w:rsid w:val="00B02897"/>
    <w:rsid w:val="00B02949"/>
    <w:rsid w:val="00B02969"/>
    <w:rsid w:val="00B02D44"/>
    <w:rsid w:val="00B03645"/>
    <w:rsid w:val="00B037FF"/>
    <w:rsid w:val="00B03BDA"/>
    <w:rsid w:val="00B03DA6"/>
    <w:rsid w:val="00B03DBB"/>
    <w:rsid w:val="00B03E83"/>
    <w:rsid w:val="00B04035"/>
    <w:rsid w:val="00B0408E"/>
    <w:rsid w:val="00B040A4"/>
    <w:rsid w:val="00B04295"/>
    <w:rsid w:val="00B04354"/>
    <w:rsid w:val="00B04377"/>
    <w:rsid w:val="00B045B5"/>
    <w:rsid w:val="00B045BC"/>
    <w:rsid w:val="00B04748"/>
    <w:rsid w:val="00B04B16"/>
    <w:rsid w:val="00B04DAA"/>
    <w:rsid w:val="00B04F91"/>
    <w:rsid w:val="00B055F5"/>
    <w:rsid w:val="00B0562C"/>
    <w:rsid w:val="00B056FB"/>
    <w:rsid w:val="00B05904"/>
    <w:rsid w:val="00B05C0F"/>
    <w:rsid w:val="00B05C31"/>
    <w:rsid w:val="00B05E5E"/>
    <w:rsid w:val="00B06388"/>
    <w:rsid w:val="00B065A0"/>
    <w:rsid w:val="00B06630"/>
    <w:rsid w:val="00B06BB7"/>
    <w:rsid w:val="00B06C5A"/>
    <w:rsid w:val="00B06D92"/>
    <w:rsid w:val="00B075D4"/>
    <w:rsid w:val="00B077A3"/>
    <w:rsid w:val="00B077D3"/>
    <w:rsid w:val="00B07BE8"/>
    <w:rsid w:val="00B106D5"/>
    <w:rsid w:val="00B10AFF"/>
    <w:rsid w:val="00B10B08"/>
    <w:rsid w:val="00B10B2D"/>
    <w:rsid w:val="00B10BBC"/>
    <w:rsid w:val="00B111CC"/>
    <w:rsid w:val="00B111FF"/>
    <w:rsid w:val="00B1132C"/>
    <w:rsid w:val="00B11331"/>
    <w:rsid w:val="00B1171F"/>
    <w:rsid w:val="00B117F7"/>
    <w:rsid w:val="00B11A7A"/>
    <w:rsid w:val="00B11C4F"/>
    <w:rsid w:val="00B11F8B"/>
    <w:rsid w:val="00B12497"/>
    <w:rsid w:val="00B12513"/>
    <w:rsid w:val="00B12A67"/>
    <w:rsid w:val="00B12B55"/>
    <w:rsid w:val="00B131DF"/>
    <w:rsid w:val="00B134F3"/>
    <w:rsid w:val="00B13518"/>
    <w:rsid w:val="00B136FA"/>
    <w:rsid w:val="00B13780"/>
    <w:rsid w:val="00B137B2"/>
    <w:rsid w:val="00B137E7"/>
    <w:rsid w:val="00B13A68"/>
    <w:rsid w:val="00B13AA5"/>
    <w:rsid w:val="00B13D52"/>
    <w:rsid w:val="00B13EAB"/>
    <w:rsid w:val="00B14711"/>
    <w:rsid w:val="00B14BDA"/>
    <w:rsid w:val="00B14F7A"/>
    <w:rsid w:val="00B150C9"/>
    <w:rsid w:val="00B15200"/>
    <w:rsid w:val="00B15443"/>
    <w:rsid w:val="00B157CE"/>
    <w:rsid w:val="00B1587C"/>
    <w:rsid w:val="00B15957"/>
    <w:rsid w:val="00B15960"/>
    <w:rsid w:val="00B15D6C"/>
    <w:rsid w:val="00B15D91"/>
    <w:rsid w:val="00B16D28"/>
    <w:rsid w:val="00B16FAC"/>
    <w:rsid w:val="00B16FBF"/>
    <w:rsid w:val="00B170DE"/>
    <w:rsid w:val="00B171BB"/>
    <w:rsid w:val="00B173C4"/>
    <w:rsid w:val="00B17990"/>
    <w:rsid w:val="00B179B4"/>
    <w:rsid w:val="00B17F82"/>
    <w:rsid w:val="00B204F4"/>
    <w:rsid w:val="00B20A30"/>
    <w:rsid w:val="00B20CCF"/>
    <w:rsid w:val="00B20F4F"/>
    <w:rsid w:val="00B21118"/>
    <w:rsid w:val="00B2141B"/>
    <w:rsid w:val="00B21455"/>
    <w:rsid w:val="00B216AE"/>
    <w:rsid w:val="00B216CF"/>
    <w:rsid w:val="00B21867"/>
    <w:rsid w:val="00B21C48"/>
    <w:rsid w:val="00B21EFF"/>
    <w:rsid w:val="00B22086"/>
    <w:rsid w:val="00B222D6"/>
    <w:rsid w:val="00B223C9"/>
    <w:rsid w:val="00B22523"/>
    <w:rsid w:val="00B22728"/>
    <w:rsid w:val="00B22AFC"/>
    <w:rsid w:val="00B22D08"/>
    <w:rsid w:val="00B22EAA"/>
    <w:rsid w:val="00B22F31"/>
    <w:rsid w:val="00B22FD2"/>
    <w:rsid w:val="00B23492"/>
    <w:rsid w:val="00B234B8"/>
    <w:rsid w:val="00B234D6"/>
    <w:rsid w:val="00B234EB"/>
    <w:rsid w:val="00B23742"/>
    <w:rsid w:val="00B23932"/>
    <w:rsid w:val="00B23E7D"/>
    <w:rsid w:val="00B24217"/>
    <w:rsid w:val="00B24285"/>
    <w:rsid w:val="00B24687"/>
    <w:rsid w:val="00B2476E"/>
    <w:rsid w:val="00B24D27"/>
    <w:rsid w:val="00B252EC"/>
    <w:rsid w:val="00B252F6"/>
    <w:rsid w:val="00B25421"/>
    <w:rsid w:val="00B2551A"/>
    <w:rsid w:val="00B2551E"/>
    <w:rsid w:val="00B256C0"/>
    <w:rsid w:val="00B25851"/>
    <w:rsid w:val="00B25D94"/>
    <w:rsid w:val="00B25E71"/>
    <w:rsid w:val="00B25EBD"/>
    <w:rsid w:val="00B25FCE"/>
    <w:rsid w:val="00B25FDD"/>
    <w:rsid w:val="00B26446"/>
    <w:rsid w:val="00B264DF"/>
    <w:rsid w:val="00B267B3"/>
    <w:rsid w:val="00B26820"/>
    <w:rsid w:val="00B27013"/>
    <w:rsid w:val="00B271EB"/>
    <w:rsid w:val="00B273BD"/>
    <w:rsid w:val="00B27628"/>
    <w:rsid w:val="00B27726"/>
    <w:rsid w:val="00B2773E"/>
    <w:rsid w:val="00B278A8"/>
    <w:rsid w:val="00B27D9F"/>
    <w:rsid w:val="00B27DAA"/>
    <w:rsid w:val="00B27E68"/>
    <w:rsid w:val="00B27F74"/>
    <w:rsid w:val="00B30408"/>
    <w:rsid w:val="00B305C9"/>
    <w:rsid w:val="00B30631"/>
    <w:rsid w:val="00B30688"/>
    <w:rsid w:val="00B307C7"/>
    <w:rsid w:val="00B308A9"/>
    <w:rsid w:val="00B30A3D"/>
    <w:rsid w:val="00B30B50"/>
    <w:rsid w:val="00B30B83"/>
    <w:rsid w:val="00B311A3"/>
    <w:rsid w:val="00B31A4F"/>
    <w:rsid w:val="00B31BF0"/>
    <w:rsid w:val="00B31D89"/>
    <w:rsid w:val="00B31E0E"/>
    <w:rsid w:val="00B31E99"/>
    <w:rsid w:val="00B31FEA"/>
    <w:rsid w:val="00B321E9"/>
    <w:rsid w:val="00B32239"/>
    <w:rsid w:val="00B324E3"/>
    <w:rsid w:val="00B329DC"/>
    <w:rsid w:val="00B32D4D"/>
    <w:rsid w:val="00B3306C"/>
    <w:rsid w:val="00B3355C"/>
    <w:rsid w:val="00B336A0"/>
    <w:rsid w:val="00B336AF"/>
    <w:rsid w:val="00B336D7"/>
    <w:rsid w:val="00B33BE9"/>
    <w:rsid w:val="00B33C1C"/>
    <w:rsid w:val="00B33C3D"/>
    <w:rsid w:val="00B33C42"/>
    <w:rsid w:val="00B33C5A"/>
    <w:rsid w:val="00B3451F"/>
    <w:rsid w:val="00B34537"/>
    <w:rsid w:val="00B3453C"/>
    <w:rsid w:val="00B345CE"/>
    <w:rsid w:val="00B34C75"/>
    <w:rsid w:val="00B34CE5"/>
    <w:rsid w:val="00B34D8C"/>
    <w:rsid w:val="00B34F08"/>
    <w:rsid w:val="00B35160"/>
    <w:rsid w:val="00B3545F"/>
    <w:rsid w:val="00B35499"/>
    <w:rsid w:val="00B354B4"/>
    <w:rsid w:val="00B355A5"/>
    <w:rsid w:val="00B35A1A"/>
    <w:rsid w:val="00B35DDE"/>
    <w:rsid w:val="00B35F2F"/>
    <w:rsid w:val="00B362F9"/>
    <w:rsid w:val="00B36578"/>
    <w:rsid w:val="00B36685"/>
    <w:rsid w:val="00B36740"/>
    <w:rsid w:val="00B367A4"/>
    <w:rsid w:val="00B367B3"/>
    <w:rsid w:val="00B36D3D"/>
    <w:rsid w:val="00B36DB9"/>
    <w:rsid w:val="00B37070"/>
    <w:rsid w:val="00B372E7"/>
    <w:rsid w:val="00B37370"/>
    <w:rsid w:val="00B376D5"/>
    <w:rsid w:val="00B37899"/>
    <w:rsid w:val="00B37915"/>
    <w:rsid w:val="00B37A50"/>
    <w:rsid w:val="00B37A51"/>
    <w:rsid w:val="00B37D04"/>
    <w:rsid w:val="00B37EB0"/>
    <w:rsid w:val="00B401C3"/>
    <w:rsid w:val="00B402FC"/>
    <w:rsid w:val="00B404B0"/>
    <w:rsid w:val="00B4069D"/>
    <w:rsid w:val="00B406BC"/>
    <w:rsid w:val="00B4086A"/>
    <w:rsid w:val="00B40BF5"/>
    <w:rsid w:val="00B40C49"/>
    <w:rsid w:val="00B40E17"/>
    <w:rsid w:val="00B4107B"/>
    <w:rsid w:val="00B41105"/>
    <w:rsid w:val="00B41200"/>
    <w:rsid w:val="00B41832"/>
    <w:rsid w:val="00B42164"/>
    <w:rsid w:val="00B424F5"/>
    <w:rsid w:val="00B42570"/>
    <w:rsid w:val="00B428D0"/>
    <w:rsid w:val="00B429DE"/>
    <w:rsid w:val="00B42B54"/>
    <w:rsid w:val="00B42BC5"/>
    <w:rsid w:val="00B42D2C"/>
    <w:rsid w:val="00B42E83"/>
    <w:rsid w:val="00B42F18"/>
    <w:rsid w:val="00B42F94"/>
    <w:rsid w:val="00B434D2"/>
    <w:rsid w:val="00B436F2"/>
    <w:rsid w:val="00B438FA"/>
    <w:rsid w:val="00B43E1D"/>
    <w:rsid w:val="00B43FA6"/>
    <w:rsid w:val="00B444EC"/>
    <w:rsid w:val="00B446C5"/>
    <w:rsid w:val="00B447D7"/>
    <w:rsid w:val="00B44848"/>
    <w:rsid w:val="00B448FA"/>
    <w:rsid w:val="00B449F3"/>
    <w:rsid w:val="00B44A4B"/>
    <w:rsid w:val="00B44D15"/>
    <w:rsid w:val="00B44D90"/>
    <w:rsid w:val="00B44F3D"/>
    <w:rsid w:val="00B450CA"/>
    <w:rsid w:val="00B45191"/>
    <w:rsid w:val="00B4522A"/>
    <w:rsid w:val="00B45315"/>
    <w:rsid w:val="00B455AA"/>
    <w:rsid w:val="00B45D0E"/>
    <w:rsid w:val="00B45D94"/>
    <w:rsid w:val="00B45E71"/>
    <w:rsid w:val="00B45F93"/>
    <w:rsid w:val="00B4600C"/>
    <w:rsid w:val="00B461E8"/>
    <w:rsid w:val="00B46254"/>
    <w:rsid w:val="00B46310"/>
    <w:rsid w:val="00B46ACB"/>
    <w:rsid w:val="00B46AED"/>
    <w:rsid w:val="00B46BFE"/>
    <w:rsid w:val="00B471F3"/>
    <w:rsid w:val="00B47373"/>
    <w:rsid w:val="00B474A7"/>
    <w:rsid w:val="00B47537"/>
    <w:rsid w:val="00B477C9"/>
    <w:rsid w:val="00B47860"/>
    <w:rsid w:val="00B478CA"/>
    <w:rsid w:val="00B479E6"/>
    <w:rsid w:val="00B47ADF"/>
    <w:rsid w:val="00B47B7F"/>
    <w:rsid w:val="00B47C82"/>
    <w:rsid w:val="00B47D28"/>
    <w:rsid w:val="00B47D47"/>
    <w:rsid w:val="00B47EF3"/>
    <w:rsid w:val="00B50175"/>
    <w:rsid w:val="00B503DE"/>
    <w:rsid w:val="00B50BDA"/>
    <w:rsid w:val="00B50E41"/>
    <w:rsid w:val="00B51889"/>
    <w:rsid w:val="00B51ADB"/>
    <w:rsid w:val="00B51BAE"/>
    <w:rsid w:val="00B51BB0"/>
    <w:rsid w:val="00B51CE1"/>
    <w:rsid w:val="00B51E04"/>
    <w:rsid w:val="00B51E9A"/>
    <w:rsid w:val="00B51EB9"/>
    <w:rsid w:val="00B521C2"/>
    <w:rsid w:val="00B5230C"/>
    <w:rsid w:val="00B5241C"/>
    <w:rsid w:val="00B5277F"/>
    <w:rsid w:val="00B527BB"/>
    <w:rsid w:val="00B52958"/>
    <w:rsid w:val="00B52A7B"/>
    <w:rsid w:val="00B52CCD"/>
    <w:rsid w:val="00B52DF9"/>
    <w:rsid w:val="00B53414"/>
    <w:rsid w:val="00B53A8E"/>
    <w:rsid w:val="00B53E34"/>
    <w:rsid w:val="00B53E44"/>
    <w:rsid w:val="00B54069"/>
    <w:rsid w:val="00B54700"/>
    <w:rsid w:val="00B54B70"/>
    <w:rsid w:val="00B54C0C"/>
    <w:rsid w:val="00B54C4C"/>
    <w:rsid w:val="00B55239"/>
    <w:rsid w:val="00B552A4"/>
    <w:rsid w:val="00B552ED"/>
    <w:rsid w:val="00B557A7"/>
    <w:rsid w:val="00B559D3"/>
    <w:rsid w:val="00B55CBA"/>
    <w:rsid w:val="00B55E1E"/>
    <w:rsid w:val="00B55EB8"/>
    <w:rsid w:val="00B56267"/>
    <w:rsid w:val="00B562A1"/>
    <w:rsid w:val="00B562C4"/>
    <w:rsid w:val="00B56365"/>
    <w:rsid w:val="00B5682A"/>
    <w:rsid w:val="00B56B58"/>
    <w:rsid w:val="00B573FF"/>
    <w:rsid w:val="00B57500"/>
    <w:rsid w:val="00B57D4A"/>
    <w:rsid w:val="00B57DE4"/>
    <w:rsid w:val="00B57EC7"/>
    <w:rsid w:val="00B57F39"/>
    <w:rsid w:val="00B6012B"/>
    <w:rsid w:val="00B60141"/>
    <w:rsid w:val="00B604F5"/>
    <w:rsid w:val="00B60513"/>
    <w:rsid w:val="00B6061A"/>
    <w:rsid w:val="00B607D1"/>
    <w:rsid w:val="00B60D39"/>
    <w:rsid w:val="00B60E0A"/>
    <w:rsid w:val="00B611A6"/>
    <w:rsid w:val="00B6150C"/>
    <w:rsid w:val="00B61807"/>
    <w:rsid w:val="00B618F8"/>
    <w:rsid w:val="00B61AB4"/>
    <w:rsid w:val="00B61AC2"/>
    <w:rsid w:val="00B61B64"/>
    <w:rsid w:val="00B6220C"/>
    <w:rsid w:val="00B623B2"/>
    <w:rsid w:val="00B6273F"/>
    <w:rsid w:val="00B62A53"/>
    <w:rsid w:val="00B62D08"/>
    <w:rsid w:val="00B63085"/>
    <w:rsid w:val="00B63736"/>
    <w:rsid w:val="00B637D9"/>
    <w:rsid w:val="00B63937"/>
    <w:rsid w:val="00B63A29"/>
    <w:rsid w:val="00B63C77"/>
    <w:rsid w:val="00B63FC3"/>
    <w:rsid w:val="00B63FD0"/>
    <w:rsid w:val="00B641F2"/>
    <w:rsid w:val="00B6428D"/>
    <w:rsid w:val="00B64707"/>
    <w:rsid w:val="00B6484C"/>
    <w:rsid w:val="00B650DA"/>
    <w:rsid w:val="00B65378"/>
    <w:rsid w:val="00B65A1B"/>
    <w:rsid w:val="00B65FAD"/>
    <w:rsid w:val="00B66069"/>
    <w:rsid w:val="00B6627B"/>
    <w:rsid w:val="00B6640A"/>
    <w:rsid w:val="00B66881"/>
    <w:rsid w:val="00B66ED1"/>
    <w:rsid w:val="00B66F50"/>
    <w:rsid w:val="00B66F69"/>
    <w:rsid w:val="00B67030"/>
    <w:rsid w:val="00B673C7"/>
    <w:rsid w:val="00B675FD"/>
    <w:rsid w:val="00B67866"/>
    <w:rsid w:val="00B678C5"/>
    <w:rsid w:val="00B67942"/>
    <w:rsid w:val="00B67980"/>
    <w:rsid w:val="00B679BB"/>
    <w:rsid w:val="00B67CBE"/>
    <w:rsid w:val="00B7004C"/>
    <w:rsid w:val="00B70084"/>
    <w:rsid w:val="00B70200"/>
    <w:rsid w:val="00B7026D"/>
    <w:rsid w:val="00B70395"/>
    <w:rsid w:val="00B70504"/>
    <w:rsid w:val="00B7071D"/>
    <w:rsid w:val="00B70A36"/>
    <w:rsid w:val="00B70DCD"/>
    <w:rsid w:val="00B70F12"/>
    <w:rsid w:val="00B7121A"/>
    <w:rsid w:val="00B71299"/>
    <w:rsid w:val="00B712C3"/>
    <w:rsid w:val="00B713EC"/>
    <w:rsid w:val="00B71433"/>
    <w:rsid w:val="00B714EB"/>
    <w:rsid w:val="00B71683"/>
    <w:rsid w:val="00B716A3"/>
    <w:rsid w:val="00B71702"/>
    <w:rsid w:val="00B71907"/>
    <w:rsid w:val="00B71D22"/>
    <w:rsid w:val="00B71D55"/>
    <w:rsid w:val="00B71DD4"/>
    <w:rsid w:val="00B721ED"/>
    <w:rsid w:val="00B72226"/>
    <w:rsid w:val="00B72232"/>
    <w:rsid w:val="00B723D8"/>
    <w:rsid w:val="00B72651"/>
    <w:rsid w:val="00B727EB"/>
    <w:rsid w:val="00B72C6D"/>
    <w:rsid w:val="00B72DE7"/>
    <w:rsid w:val="00B73023"/>
    <w:rsid w:val="00B73103"/>
    <w:rsid w:val="00B732E1"/>
    <w:rsid w:val="00B737EB"/>
    <w:rsid w:val="00B73806"/>
    <w:rsid w:val="00B738E4"/>
    <w:rsid w:val="00B739FF"/>
    <w:rsid w:val="00B73A26"/>
    <w:rsid w:val="00B73AF3"/>
    <w:rsid w:val="00B73CA2"/>
    <w:rsid w:val="00B73DE9"/>
    <w:rsid w:val="00B73E20"/>
    <w:rsid w:val="00B73F0B"/>
    <w:rsid w:val="00B7412D"/>
    <w:rsid w:val="00B74229"/>
    <w:rsid w:val="00B743E2"/>
    <w:rsid w:val="00B74471"/>
    <w:rsid w:val="00B74798"/>
    <w:rsid w:val="00B74C03"/>
    <w:rsid w:val="00B74DAB"/>
    <w:rsid w:val="00B74DF1"/>
    <w:rsid w:val="00B75190"/>
    <w:rsid w:val="00B75394"/>
    <w:rsid w:val="00B7582A"/>
    <w:rsid w:val="00B75929"/>
    <w:rsid w:val="00B75AD8"/>
    <w:rsid w:val="00B75AF2"/>
    <w:rsid w:val="00B75C00"/>
    <w:rsid w:val="00B75F47"/>
    <w:rsid w:val="00B761EB"/>
    <w:rsid w:val="00B7643A"/>
    <w:rsid w:val="00B76525"/>
    <w:rsid w:val="00B76537"/>
    <w:rsid w:val="00B769F8"/>
    <w:rsid w:val="00B76A2C"/>
    <w:rsid w:val="00B76D18"/>
    <w:rsid w:val="00B76D25"/>
    <w:rsid w:val="00B76F82"/>
    <w:rsid w:val="00B77268"/>
    <w:rsid w:val="00B7736E"/>
    <w:rsid w:val="00B77452"/>
    <w:rsid w:val="00B77680"/>
    <w:rsid w:val="00B7778F"/>
    <w:rsid w:val="00B77B41"/>
    <w:rsid w:val="00B77BC2"/>
    <w:rsid w:val="00B77DC4"/>
    <w:rsid w:val="00B77EB5"/>
    <w:rsid w:val="00B77EFC"/>
    <w:rsid w:val="00B80087"/>
    <w:rsid w:val="00B8017D"/>
    <w:rsid w:val="00B80603"/>
    <w:rsid w:val="00B80635"/>
    <w:rsid w:val="00B807D0"/>
    <w:rsid w:val="00B80A29"/>
    <w:rsid w:val="00B80AB7"/>
    <w:rsid w:val="00B80B37"/>
    <w:rsid w:val="00B80BD4"/>
    <w:rsid w:val="00B80E22"/>
    <w:rsid w:val="00B810CE"/>
    <w:rsid w:val="00B81126"/>
    <w:rsid w:val="00B8112B"/>
    <w:rsid w:val="00B81530"/>
    <w:rsid w:val="00B8155C"/>
    <w:rsid w:val="00B815DA"/>
    <w:rsid w:val="00B818A5"/>
    <w:rsid w:val="00B81A39"/>
    <w:rsid w:val="00B81B59"/>
    <w:rsid w:val="00B81D38"/>
    <w:rsid w:val="00B81EF0"/>
    <w:rsid w:val="00B8216A"/>
    <w:rsid w:val="00B82395"/>
    <w:rsid w:val="00B82452"/>
    <w:rsid w:val="00B8255A"/>
    <w:rsid w:val="00B825D3"/>
    <w:rsid w:val="00B8278A"/>
    <w:rsid w:val="00B82A02"/>
    <w:rsid w:val="00B82CB4"/>
    <w:rsid w:val="00B82DDE"/>
    <w:rsid w:val="00B82E14"/>
    <w:rsid w:val="00B82F98"/>
    <w:rsid w:val="00B82FD2"/>
    <w:rsid w:val="00B83287"/>
    <w:rsid w:val="00B832A4"/>
    <w:rsid w:val="00B8385A"/>
    <w:rsid w:val="00B83993"/>
    <w:rsid w:val="00B83B9E"/>
    <w:rsid w:val="00B83E1A"/>
    <w:rsid w:val="00B83E1E"/>
    <w:rsid w:val="00B83F27"/>
    <w:rsid w:val="00B84001"/>
    <w:rsid w:val="00B84123"/>
    <w:rsid w:val="00B8442D"/>
    <w:rsid w:val="00B84554"/>
    <w:rsid w:val="00B846BC"/>
    <w:rsid w:val="00B84883"/>
    <w:rsid w:val="00B84BF8"/>
    <w:rsid w:val="00B84C97"/>
    <w:rsid w:val="00B84DDB"/>
    <w:rsid w:val="00B852F5"/>
    <w:rsid w:val="00B85402"/>
    <w:rsid w:val="00B855B8"/>
    <w:rsid w:val="00B85905"/>
    <w:rsid w:val="00B8590D"/>
    <w:rsid w:val="00B85926"/>
    <w:rsid w:val="00B85F66"/>
    <w:rsid w:val="00B8628A"/>
    <w:rsid w:val="00B864FA"/>
    <w:rsid w:val="00B86798"/>
    <w:rsid w:val="00B86832"/>
    <w:rsid w:val="00B86871"/>
    <w:rsid w:val="00B86D3A"/>
    <w:rsid w:val="00B86DE3"/>
    <w:rsid w:val="00B870FE"/>
    <w:rsid w:val="00B871DC"/>
    <w:rsid w:val="00B8776D"/>
    <w:rsid w:val="00B8791C"/>
    <w:rsid w:val="00B87AA9"/>
    <w:rsid w:val="00B87B3E"/>
    <w:rsid w:val="00B87CE6"/>
    <w:rsid w:val="00B87DCC"/>
    <w:rsid w:val="00B87F02"/>
    <w:rsid w:val="00B9025C"/>
    <w:rsid w:val="00B903B4"/>
    <w:rsid w:val="00B903D2"/>
    <w:rsid w:val="00B9053B"/>
    <w:rsid w:val="00B90548"/>
    <w:rsid w:val="00B9058D"/>
    <w:rsid w:val="00B906F1"/>
    <w:rsid w:val="00B90788"/>
    <w:rsid w:val="00B90EC6"/>
    <w:rsid w:val="00B90F5F"/>
    <w:rsid w:val="00B90F9A"/>
    <w:rsid w:val="00B9122C"/>
    <w:rsid w:val="00B91266"/>
    <w:rsid w:val="00B912E1"/>
    <w:rsid w:val="00B91362"/>
    <w:rsid w:val="00B9199D"/>
    <w:rsid w:val="00B91E77"/>
    <w:rsid w:val="00B92201"/>
    <w:rsid w:val="00B92373"/>
    <w:rsid w:val="00B92C5B"/>
    <w:rsid w:val="00B92D3A"/>
    <w:rsid w:val="00B92E43"/>
    <w:rsid w:val="00B92ECF"/>
    <w:rsid w:val="00B93159"/>
    <w:rsid w:val="00B937BA"/>
    <w:rsid w:val="00B9387C"/>
    <w:rsid w:val="00B9389A"/>
    <w:rsid w:val="00B938DA"/>
    <w:rsid w:val="00B93A96"/>
    <w:rsid w:val="00B93AA1"/>
    <w:rsid w:val="00B93CBE"/>
    <w:rsid w:val="00B94169"/>
    <w:rsid w:val="00B94602"/>
    <w:rsid w:val="00B94708"/>
    <w:rsid w:val="00B9487D"/>
    <w:rsid w:val="00B949B7"/>
    <w:rsid w:val="00B94AB4"/>
    <w:rsid w:val="00B94B07"/>
    <w:rsid w:val="00B94B0D"/>
    <w:rsid w:val="00B94C70"/>
    <w:rsid w:val="00B94DBB"/>
    <w:rsid w:val="00B94E18"/>
    <w:rsid w:val="00B94E33"/>
    <w:rsid w:val="00B94EBF"/>
    <w:rsid w:val="00B954EA"/>
    <w:rsid w:val="00B9559A"/>
    <w:rsid w:val="00B957F3"/>
    <w:rsid w:val="00B95854"/>
    <w:rsid w:val="00B958CC"/>
    <w:rsid w:val="00B95966"/>
    <w:rsid w:val="00B95A6E"/>
    <w:rsid w:val="00B95B3F"/>
    <w:rsid w:val="00B95C1C"/>
    <w:rsid w:val="00B95C51"/>
    <w:rsid w:val="00B96061"/>
    <w:rsid w:val="00B961C8"/>
    <w:rsid w:val="00B962DC"/>
    <w:rsid w:val="00B964CC"/>
    <w:rsid w:val="00B965C4"/>
    <w:rsid w:val="00B96BCE"/>
    <w:rsid w:val="00B96CE8"/>
    <w:rsid w:val="00B97075"/>
    <w:rsid w:val="00B971CA"/>
    <w:rsid w:val="00B97241"/>
    <w:rsid w:val="00B9731C"/>
    <w:rsid w:val="00B97B97"/>
    <w:rsid w:val="00B97F48"/>
    <w:rsid w:val="00BA041C"/>
    <w:rsid w:val="00BA0759"/>
    <w:rsid w:val="00BA0A21"/>
    <w:rsid w:val="00BA0AE0"/>
    <w:rsid w:val="00BA0C16"/>
    <w:rsid w:val="00BA0E0F"/>
    <w:rsid w:val="00BA1031"/>
    <w:rsid w:val="00BA106D"/>
    <w:rsid w:val="00BA12DE"/>
    <w:rsid w:val="00BA1490"/>
    <w:rsid w:val="00BA1AB6"/>
    <w:rsid w:val="00BA1CA5"/>
    <w:rsid w:val="00BA1F96"/>
    <w:rsid w:val="00BA21A9"/>
    <w:rsid w:val="00BA21AE"/>
    <w:rsid w:val="00BA246B"/>
    <w:rsid w:val="00BA260A"/>
    <w:rsid w:val="00BA2D74"/>
    <w:rsid w:val="00BA2D9D"/>
    <w:rsid w:val="00BA2E07"/>
    <w:rsid w:val="00BA3168"/>
    <w:rsid w:val="00BA32D5"/>
    <w:rsid w:val="00BA3939"/>
    <w:rsid w:val="00BA39DA"/>
    <w:rsid w:val="00BA39FC"/>
    <w:rsid w:val="00BA3C24"/>
    <w:rsid w:val="00BA3CE3"/>
    <w:rsid w:val="00BA3F7E"/>
    <w:rsid w:val="00BA40E6"/>
    <w:rsid w:val="00BA4361"/>
    <w:rsid w:val="00BA4541"/>
    <w:rsid w:val="00BA479A"/>
    <w:rsid w:val="00BA47ED"/>
    <w:rsid w:val="00BA48E6"/>
    <w:rsid w:val="00BA4AD2"/>
    <w:rsid w:val="00BA4D26"/>
    <w:rsid w:val="00BA5014"/>
    <w:rsid w:val="00BA54C0"/>
    <w:rsid w:val="00BA5617"/>
    <w:rsid w:val="00BA56DD"/>
    <w:rsid w:val="00BA5879"/>
    <w:rsid w:val="00BA58EA"/>
    <w:rsid w:val="00BA5ECD"/>
    <w:rsid w:val="00BA6015"/>
    <w:rsid w:val="00BA615F"/>
    <w:rsid w:val="00BA6562"/>
    <w:rsid w:val="00BA65E5"/>
    <w:rsid w:val="00BA670D"/>
    <w:rsid w:val="00BA67CD"/>
    <w:rsid w:val="00BA68AB"/>
    <w:rsid w:val="00BA6BD6"/>
    <w:rsid w:val="00BA70FE"/>
    <w:rsid w:val="00BA716F"/>
    <w:rsid w:val="00BA7454"/>
    <w:rsid w:val="00BA7478"/>
    <w:rsid w:val="00BA78BA"/>
    <w:rsid w:val="00BB00E4"/>
    <w:rsid w:val="00BB04AD"/>
    <w:rsid w:val="00BB07AA"/>
    <w:rsid w:val="00BB08EC"/>
    <w:rsid w:val="00BB0F08"/>
    <w:rsid w:val="00BB13EA"/>
    <w:rsid w:val="00BB1814"/>
    <w:rsid w:val="00BB1858"/>
    <w:rsid w:val="00BB1DF5"/>
    <w:rsid w:val="00BB20DB"/>
    <w:rsid w:val="00BB2305"/>
    <w:rsid w:val="00BB26B6"/>
    <w:rsid w:val="00BB27AC"/>
    <w:rsid w:val="00BB27CB"/>
    <w:rsid w:val="00BB27E4"/>
    <w:rsid w:val="00BB2819"/>
    <w:rsid w:val="00BB296C"/>
    <w:rsid w:val="00BB2A75"/>
    <w:rsid w:val="00BB2B0B"/>
    <w:rsid w:val="00BB2B17"/>
    <w:rsid w:val="00BB2B38"/>
    <w:rsid w:val="00BB2CBA"/>
    <w:rsid w:val="00BB2D5E"/>
    <w:rsid w:val="00BB2DCA"/>
    <w:rsid w:val="00BB330E"/>
    <w:rsid w:val="00BB351D"/>
    <w:rsid w:val="00BB355C"/>
    <w:rsid w:val="00BB3577"/>
    <w:rsid w:val="00BB3584"/>
    <w:rsid w:val="00BB37B0"/>
    <w:rsid w:val="00BB3960"/>
    <w:rsid w:val="00BB3C60"/>
    <w:rsid w:val="00BB3C7E"/>
    <w:rsid w:val="00BB3EC6"/>
    <w:rsid w:val="00BB3F27"/>
    <w:rsid w:val="00BB414E"/>
    <w:rsid w:val="00BB41C8"/>
    <w:rsid w:val="00BB42C9"/>
    <w:rsid w:val="00BB4480"/>
    <w:rsid w:val="00BB45B1"/>
    <w:rsid w:val="00BB52DB"/>
    <w:rsid w:val="00BB53A8"/>
    <w:rsid w:val="00BB5923"/>
    <w:rsid w:val="00BB5B04"/>
    <w:rsid w:val="00BB6177"/>
    <w:rsid w:val="00BB62FB"/>
    <w:rsid w:val="00BB6416"/>
    <w:rsid w:val="00BB66A1"/>
    <w:rsid w:val="00BB6E81"/>
    <w:rsid w:val="00BB6F2B"/>
    <w:rsid w:val="00BB6F36"/>
    <w:rsid w:val="00BB6F6A"/>
    <w:rsid w:val="00BB707E"/>
    <w:rsid w:val="00BB70BD"/>
    <w:rsid w:val="00BB7252"/>
    <w:rsid w:val="00BB7372"/>
    <w:rsid w:val="00BB77AB"/>
    <w:rsid w:val="00BB7A0C"/>
    <w:rsid w:val="00BB7AA4"/>
    <w:rsid w:val="00BB7B5C"/>
    <w:rsid w:val="00BB7C30"/>
    <w:rsid w:val="00BB7CB6"/>
    <w:rsid w:val="00BB7D1C"/>
    <w:rsid w:val="00BC005E"/>
    <w:rsid w:val="00BC00B8"/>
    <w:rsid w:val="00BC0189"/>
    <w:rsid w:val="00BC02B7"/>
    <w:rsid w:val="00BC0328"/>
    <w:rsid w:val="00BC04AE"/>
    <w:rsid w:val="00BC07A6"/>
    <w:rsid w:val="00BC1399"/>
    <w:rsid w:val="00BC13FC"/>
    <w:rsid w:val="00BC1612"/>
    <w:rsid w:val="00BC162B"/>
    <w:rsid w:val="00BC1793"/>
    <w:rsid w:val="00BC183C"/>
    <w:rsid w:val="00BC18A4"/>
    <w:rsid w:val="00BC1B31"/>
    <w:rsid w:val="00BC1C33"/>
    <w:rsid w:val="00BC1D5A"/>
    <w:rsid w:val="00BC1E68"/>
    <w:rsid w:val="00BC1F50"/>
    <w:rsid w:val="00BC21D0"/>
    <w:rsid w:val="00BC2618"/>
    <w:rsid w:val="00BC2675"/>
    <w:rsid w:val="00BC283C"/>
    <w:rsid w:val="00BC299D"/>
    <w:rsid w:val="00BC2B85"/>
    <w:rsid w:val="00BC2E04"/>
    <w:rsid w:val="00BC307F"/>
    <w:rsid w:val="00BC3221"/>
    <w:rsid w:val="00BC36DD"/>
    <w:rsid w:val="00BC3ADD"/>
    <w:rsid w:val="00BC3E2F"/>
    <w:rsid w:val="00BC3EB3"/>
    <w:rsid w:val="00BC4176"/>
    <w:rsid w:val="00BC4198"/>
    <w:rsid w:val="00BC426A"/>
    <w:rsid w:val="00BC42B8"/>
    <w:rsid w:val="00BC43DA"/>
    <w:rsid w:val="00BC4501"/>
    <w:rsid w:val="00BC4617"/>
    <w:rsid w:val="00BC4C33"/>
    <w:rsid w:val="00BC4CB7"/>
    <w:rsid w:val="00BC51D4"/>
    <w:rsid w:val="00BC52B8"/>
    <w:rsid w:val="00BC54B5"/>
    <w:rsid w:val="00BC55C8"/>
    <w:rsid w:val="00BC577E"/>
    <w:rsid w:val="00BC5894"/>
    <w:rsid w:val="00BC5A76"/>
    <w:rsid w:val="00BC5B5A"/>
    <w:rsid w:val="00BC611F"/>
    <w:rsid w:val="00BC6794"/>
    <w:rsid w:val="00BC67DE"/>
    <w:rsid w:val="00BC6A77"/>
    <w:rsid w:val="00BC6C72"/>
    <w:rsid w:val="00BC6C96"/>
    <w:rsid w:val="00BC6CF2"/>
    <w:rsid w:val="00BC6E9A"/>
    <w:rsid w:val="00BC6F2A"/>
    <w:rsid w:val="00BC7100"/>
    <w:rsid w:val="00BC770B"/>
    <w:rsid w:val="00BC7717"/>
    <w:rsid w:val="00BC77E9"/>
    <w:rsid w:val="00BD00BE"/>
    <w:rsid w:val="00BD0415"/>
    <w:rsid w:val="00BD0ACF"/>
    <w:rsid w:val="00BD0B52"/>
    <w:rsid w:val="00BD0C4C"/>
    <w:rsid w:val="00BD0D06"/>
    <w:rsid w:val="00BD0FDE"/>
    <w:rsid w:val="00BD1448"/>
    <w:rsid w:val="00BD18C0"/>
    <w:rsid w:val="00BD1BF8"/>
    <w:rsid w:val="00BD1D8A"/>
    <w:rsid w:val="00BD1D96"/>
    <w:rsid w:val="00BD1F9B"/>
    <w:rsid w:val="00BD2011"/>
    <w:rsid w:val="00BD2194"/>
    <w:rsid w:val="00BD2285"/>
    <w:rsid w:val="00BD251A"/>
    <w:rsid w:val="00BD27B8"/>
    <w:rsid w:val="00BD2C04"/>
    <w:rsid w:val="00BD2C62"/>
    <w:rsid w:val="00BD2D21"/>
    <w:rsid w:val="00BD2ECB"/>
    <w:rsid w:val="00BD37E0"/>
    <w:rsid w:val="00BD3B26"/>
    <w:rsid w:val="00BD3BE5"/>
    <w:rsid w:val="00BD3D55"/>
    <w:rsid w:val="00BD3DBC"/>
    <w:rsid w:val="00BD3E94"/>
    <w:rsid w:val="00BD3F01"/>
    <w:rsid w:val="00BD4020"/>
    <w:rsid w:val="00BD4315"/>
    <w:rsid w:val="00BD43F1"/>
    <w:rsid w:val="00BD4791"/>
    <w:rsid w:val="00BD4981"/>
    <w:rsid w:val="00BD49CC"/>
    <w:rsid w:val="00BD4C69"/>
    <w:rsid w:val="00BD4C82"/>
    <w:rsid w:val="00BD4D4A"/>
    <w:rsid w:val="00BD4D9D"/>
    <w:rsid w:val="00BD4DF8"/>
    <w:rsid w:val="00BD4EA0"/>
    <w:rsid w:val="00BD4FE6"/>
    <w:rsid w:val="00BD52BD"/>
    <w:rsid w:val="00BD5607"/>
    <w:rsid w:val="00BD56D9"/>
    <w:rsid w:val="00BD5970"/>
    <w:rsid w:val="00BD5C77"/>
    <w:rsid w:val="00BD5DC0"/>
    <w:rsid w:val="00BD5E19"/>
    <w:rsid w:val="00BD60A1"/>
    <w:rsid w:val="00BD6831"/>
    <w:rsid w:val="00BD6B5A"/>
    <w:rsid w:val="00BD6BAE"/>
    <w:rsid w:val="00BD6CA3"/>
    <w:rsid w:val="00BD6CC1"/>
    <w:rsid w:val="00BD7298"/>
    <w:rsid w:val="00BD72EF"/>
    <w:rsid w:val="00BD756F"/>
    <w:rsid w:val="00BD7671"/>
    <w:rsid w:val="00BD76CD"/>
    <w:rsid w:val="00BD780F"/>
    <w:rsid w:val="00BD7AAC"/>
    <w:rsid w:val="00BD7C76"/>
    <w:rsid w:val="00BD7CB4"/>
    <w:rsid w:val="00BD7EA4"/>
    <w:rsid w:val="00BE0196"/>
    <w:rsid w:val="00BE0229"/>
    <w:rsid w:val="00BE0321"/>
    <w:rsid w:val="00BE054A"/>
    <w:rsid w:val="00BE067A"/>
    <w:rsid w:val="00BE0E81"/>
    <w:rsid w:val="00BE0EC7"/>
    <w:rsid w:val="00BE0F65"/>
    <w:rsid w:val="00BE1199"/>
    <w:rsid w:val="00BE120A"/>
    <w:rsid w:val="00BE14BB"/>
    <w:rsid w:val="00BE1715"/>
    <w:rsid w:val="00BE203B"/>
    <w:rsid w:val="00BE237B"/>
    <w:rsid w:val="00BE286B"/>
    <w:rsid w:val="00BE29B2"/>
    <w:rsid w:val="00BE2A65"/>
    <w:rsid w:val="00BE2DCB"/>
    <w:rsid w:val="00BE2FD2"/>
    <w:rsid w:val="00BE3359"/>
    <w:rsid w:val="00BE33BB"/>
    <w:rsid w:val="00BE3497"/>
    <w:rsid w:val="00BE395D"/>
    <w:rsid w:val="00BE3F1F"/>
    <w:rsid w:val="00BE4153"/>
    <w:rsid w:val="00BE4316"/>
    <w:rsid w:val="00BE444D"/>
    <w:rsid w:val="00BE460E"/>
    <w:rsid w:val="00BE4632"/>
    <w:rsid w:val="00BE4AD9"/>
    <w:rsid w:val="00BE4B92"/>
    <w:rsid w:val="00BE4D02"/>
    <w:rsid w:val="00BE4F36"/>
    <w:rsid w:val="00BE501B"/>
    <w:rsid w:val="00BE524C"/>
    <w:rsid w:val="00BE5372"/>
    <w:rsid w:val="00BE5376"/>
    <w:rsid w:val="00BE53B3"/>
    <w:rsid w:val="00BE5549"/>
    <w:rsid w:val="00BE58A0"/>
    <w:rsid w:val="00BE591F"/>
    <w:rsid w:val="00BE5A26"/>
    <w:rsid w:val="00BE5BBE"/>
    <w:rsid w:val="00BE5C47"/>
    <w:rsid w:val="00BE60AD"/>
    <w:rsid w:val="00BE61BE"/>
    <w:rsid w:val="00BE6348"/>
    <w:rsid w:val="00BE6623"/>
    <w:rsid w:val="00BE6C8B"/>
    <w:rsid w:val="00BE6EFF"/>
    <w:rsid w:val="00BE7027"/>
    <w:rsid w:val="00BE7096"/>
    <w:rsid w:val="00BE761B"/>
    <w:rsid w:val="00BE768D"/>
    <w:rsid w:val="00BE7AB2"/>
    <w:rsid w:val="00BE7CAA"/>
    <w:rsid w:val="00BE7F27"/>
    <w:rsid w:val="00BF0454"/>
    <w:rsid w:val="00BF04D1"/>
    <w:rsid w:val="00BF0582"/>
    <w:rsid w:val="00BF0588"/>
    <w:rsid w:val="00BF061B"/>
    <w:rsid w:val="00BF1453"/>
    <w:rsid w:val="00BF14BF"/>
    <w:rsid w:val="00BF150E"/>
    <w:rsid w:val="00BF15C3"/>
    <w:rsid w:val="00BF1662"/>
    <w:rsid w:val="00BF18BC"/>
    <w:rsid w:val="00BF19B0"/>
    <w:rsid w:val="00BF1E43"/>
    <w:rsid w:val="00BF2001"/>
    <w:rsid w:val="00BF208E"/>
    <w:rsid w:val="00BF219B"/>
    <w:rsid w:val="00BF22EA"/>
    <w:rsid w:val="00BF2779"/>
    <w:rsid w:val="00BF2793"/>
    <w:rsid w:val="00BF2A4D"/>
    <w:rsid w:val="00BF2CD5"/>
    <w:rsid w:val="00BF2CF1"/>
    <w:rsid w:val="00BF301F"/>
    <w:rsid w:val="00BF3112"/>
    <w:rsid w:val="00BF3262"/>
    <w:rsid w:val="00BF33A8"/>
    <w:rsid w:val="00BF34E1"/>
    <w:rsid w:val="00BF3654"/>
    <w:rsid w:val="00BF384C"/>
    <w:rsid w:val="00BF38C9"/>
    <w:rsid w:val="00BF396F"/>
    <w:rsid w:val="00BF3EA4"/>
    <w:rsid w:val="00BF3EFF"/>
    <w:rsid w:val="00BF3F18"/>
    <w:rsid w:val="00BF43B2"/>
    <w:rsid w:val="00BF485F"/>
    <w:rsid w:val="00BF4C1B"/>
    <w:rsid w:val="00BF51F4"/>
    <w:rsid w:val="00BF5387"/>
    <w:rsid w:val="00BF586C"/>
    <w:rsid w:val="00BF5AC4"/>
    <w:rsid w:val="00BF602F"/>
    <w:rsid w:val="00BF6076"/>
    <w:rsid w:val="00BF6108"/>
    <w:rsid w:val="00BF6175"/>
    <w:rsid w:val="00BF624E"/>
    <w:rsid w:val="00BF62B3"/>
    <w:rsid w:val="00BF6481"/>
    <w:rsid w:val="00BF6582"/>
    <w:rsid w:val="00BF6792"/>
    <w:rsid w:val="00BF6CD2"/>
    <w:rsid w:val="00BF6F5F"/>
    <w:rsid w:val="00BF7156"/>
    <w:rsid w:val="00BF72F2"/>
    <w:rsid w:val="00BF73F2"/>
    <w:rsid w:val="00BF74A2"/>
    <w:rsid w:val="00BF74F3"/>
    <w:rsid w:val="00BF7765"/>
    <w:rsid w:val="00BF7A13"/>
    <w:rsid w:val="00BF7B6B"/>
    <w:rsid w:val="00BF7EA8"/>
    <w:rsid w:val="00BF7F93"/>
    <w:rsid w:val="00C00209"/>
    <w:rsid w:val="00C00350"/>
    <w:rsid w:val="00C003F1"/>
    <w:rsid w:val="00C004A2"/>
    <w:rsid w:val="00C004E0"/>
    <w:rsid w:val="00C00808"/>
    <w:rsid w:val="00C00835"/>
    <w:rsid w:val="00C00949"/>
    <w:rsid w:val="00C00982"/>
    <w:rsid w:val="00C00D0F"/>
    <w:rsid w:val="00C00EBA"/>
    <w:rsid w:val="00C011AA"/>
    <w:rsid w:val="00C01252"/>
    <w:rsid w:val="00C01284"/>
    <w:rsid w:val="00C01338"/>
    <w:rsid w:val="00C015C2"/>
    <w:rsid w:val="00C01775"/>
    <w:rsid w:val="00C01838"/>
    <w:rsid w:val="00C01AE0"/>
    <w:rsid w:val="00C0212C"/>
    <w:rsid w:val="00C024A6"/>
    <w:rsid w:val="00C0273F"/>
    <w:rsid w:val="00C02C04"/>
    <w:rsid w:val="00C02D40"/>
    <w:rsid w:val="00C031A6"/>
    <w:rsid w:val="00C032D1"/>
    <w:rsid w:val="00C0340C"/>
    <w:rsid w:val="00C03449"/>
    <w:rsid w:val="00C03B60"/>
    <w:rsid w:val="00C03BFD"/>
    <w:rsid w:val="00C03CCE"/>
    <w:rsid w:val="00C03D91"/>
    <w:rsid w:val="00C03DD3"/>
    <w:rsid w:val="00C03ECF"/>
    <w:rsid w:val="00C0439E"/>
    <w:rsid w:val="00C04664"/>
    <w:rsid w:val="00C0472D"/>
    <w:rsid w:val="00C04749"/>
    <w:rsid w:val="00C04F2E"/>
    <w:rsid w:val="00C05305"/>
    <w:rsid w:val="00C05330"/>
    <w:rsid w:val="00C05339"/>
    <w:rsid w:val="00C05A35"/>
    <w:rsid w:val="00C05BB1"/>
    <w:rsid w:val="00C05D61"/>
    <w:rsid w:val="00C05E1B"/>
    <w:rsid w:val="00C05E60"/>
    <w:rsid w:val="00C06333"/>
    <w:rsid w:val="00C06464"/>
    <w:rsid w:val="00C06471"/>
    <w:rsid w:val="00C068FF"/>
    <w:rsid w:val="00C06A1C"/>
    <w:rsid w:val="00C06E70"/>
    <w:rsid w:val="00C0726E"/>
    <w:rsid w:val="00C076B9"/>
    <w:rsid w:val="00C07E87"/>
    <w:rsid w:val="00C07F5A"/>
    <w:rsid w:val="00C07F83"/>
    <w:rsid w:val="00C10444"/>
    <w:rsid w:val="00C106F6"/>
    <w:rsid w:val="00C10AFB"/>
    <w:rsid w:val="00C10B93"/>
    <w:rsid w:val="00C10C47"/>
    <w:rsid w:val="00C10F50"/>
    <w:rsid w:val="00C11715"/>
    <w:rsid w:val="00C11831"/>
    <w:rsid w:val="00C119C6"/>
    <w:rsid w:val="00C11BAB"/>
    <w:rsid w:val="00C11C4D"/>
    <w:rsid w:val="00C11D3E"/>
    <w:rsid w:val="00C11F31"/>
    <w:rsid w:val="00C12131"/>
    <w:rsid w:val="00C1272A"/>
    <w:rsid w:val="00C1276D"/>
    <w:rsid w:val="00C12981"/>
    <w:rsid w:val="00C131B6"/>
    <w:rsid w:val="00C1321C"/>
    <w:rsid w:val="00C1323D"/>
    <w:rsid w:val="00C13305"/>
    <w:rsid w:val="00C133DF"/>
    <w:rsid w:val="00C13A0F"/>
    <w:rsid w:val="00C13C67"/>
    <w:rsid w:val="00C13E05"/>
    <w:rsid w:val="00C14231"/>
    <w:rsid w:val="00C144AE"/>
    <w:rsid w:val="00C147CA"/>
    <w:rsid w:val="00C149EF"/>
    <w:rsid w:val="00C14A87"/>
    <w:rsid w:val="00C14B94"/>
    <w:rsid w:val="00C14F5F"/>
    <w:rsid w:val="00C15117"/>
    <w:rsid w:val="00C1516F"/>
    <w:rsid w:val="00C15471"/>
    <w:rsid w:val="00C15476"/>
    <w:rsid w:val="00C154CB"/>
    <w:rsid w:val="00C157A5"/>
    <w:rsid w:val="00C157BE"/>
    <w:rsid w:val="00C15B36"/>
    <w:rsid w:val="00C15F32"/>
    <w:rsid w:val="00C15F95"/>
    <w:rsid w:val="00C163ED"/>
    <w:rsid w:val="00C168C9"/>
    <w:rsid w:val="00C16A0A"/>
    <w:rsid w:val="00C16B11"/>
    <w:rsid w:val="00C16C1F"/>
    <w:rsid w:val="00C16DE8"/>
    <w:rsid w:val="00C16E33"/>
    <w:rsid w:val="00C16E80"/>
    <w:rsid w:val="00C17115"/>
    <w:rsid w:val="00C171C9"/>
    <w:rsid w:val="00C17332"/>
    <w:rsid w:val="00C1735C"/>
    <w:rsid w:val="00C175E4"/>
    <w:rsid w:val="00C1761D"/>
    <w:rsid w:val="00C17AB0"/>
    <w:rsid w:val="00C17FA5"/>
    <w:rsid w:val="00C17FC3"/>
    <w:rsid w:val="00C20179"/>
    <w:rsid w:val="00C202DF"/>
    <w:rsid w:val="00C20388"/>
    <w:rsid w:val="00C2056C"/>
    <w:rsid w:val="00C205EC"/>
    <w:rsid w:val="00C206E3"/>
    <w:rsid w:val="00C208A9"/>
    <w:rsid w:val="00C20A5D"/>
    <w:rsid w:val="00C20C43"/>
    <w:rsid w:val="00C2194D"/>
    <w:rsid w:val="00C21957"/>
    <w:rsid w:val="00C219C9"/>
    <w:rsid w:val="00C21AF8"/>
    <w:rsid w:val="00C21B42"/>
    <w:rsid w:val="00C21B7D"/>
    <w:rsid w:val="00C21ECE"/>
    <w:rsid w:val="00C21F3C"/>
    <w:rsid w:val="00C22002"/>
    <w:rsid w:val="00C2216D"/>
    <w:rsid w:val="00C2222D"/>
    <w:rsid w:val="00C223D6"/>
    <w:rsid w:val="00C22703"/>
    <w:rsid w:val="00C23029"/>
    <w:rsid w:val="00C23106"/>
    <w:rsid w:val="00C23193"/>
    <w:rsid w:val="00C2326D"/>
    <w:rsid w:val="00C23633"/>
    <w:rsid w:val="00C2374F"/>
    <w:rsid w:val="00C23A74"/>
    <w:rsid w:val="00C23DF3"/>
    <w:rsid w:val="00C23F77"/>
    <w:rsid w:val="00C23F8F"/>
    <w:rsid w:val="00C2438D"/>
    <w:rsid w:val="00C243B5"/>
    <w:rsid w:val="00C2445D"/>
    <w:rsid w:val="00C24650"/>
    <w:rsid w:val="00C246D0"/>
    <w:rsid w:val="00C2482A"/>
    <w:rsid w:val="00C24A94"/>
    <w:rsid w:val="00C2503F"/>
    <w:rsid w:val="00C250B5"/>
    <w:rsid w:val="00C2518E"/>
    <w:rsid w:val="00C25196"/>
    <w:rsid w:val="00C25269"/>
    <w:rsid w:val="00C252B3"/>
    <w:rsid w:val="00C253DA"/>
    <w:rsid w:val="00C25411"/>
    <w:rsid w:val="00C25529"/>
    <w:rsid w:val="00C257B9"/>
    <w:rsid w:val="00C25905"/>
    <w:rsid w:val="00C25D0E"/>
    <w:rsid w:val="00C26103"/>
    <w:rsid w:val="00C2662B"/>
    <w:rsid w:val="00C266B7"/>
    <w:rsid w:val="00C268EB"/>
    <w:rsid w:val="00C26B1C"/>
    <w:rsid w:val="00C26C36"/>
    <w:rsid w:val="00C26E3E"/>
    <w:rsid w:val="00C27095"/>
    <w:rsid w:val="00C27292"/>
    <w:rsid w:val="00C274B8"/>
    <w:rsid w:val="00C2765E"/>
    <w:rsid w:val="00C2783A"/>
    <w:rsid w:val="00C27A35"/>
    <w:rsid w:val="00C27B0A"/>
    <w:rsid w:val="00C27CB2"/>
    <w:rsid w:val="00C27E3C"/>
    <w:rsid w:val="00C30238"/>
    <w:rsid w:val="00C30257"/>
    <w:rsid w:val="00C30462"/>
    <w:rsid w:val="00C305EB"/>
    <w:rsid w:val="00C30689"/>
    <w:rsid w:val="00C30CE7"/>
    <w:rsid w:val="00C30E27"/>
    <w:rsid w:val="00C311BF"/>
    <w:rsid w:val="00C314C2"/>
    <w:rsid w:val="00C31989"/>
    <w:rsid w:val="00C319CE"/>
    <w:rsid w:val="00C31A32"/>
    <w:rsid w:val="00C31B1C"/>
    <w:rsid w:val="00C31BFB"/>
    <w:rsid w:val="00C31D26"/>
    <w:rsid w:val="00C32143"/>
    <w:rsid w:val="00C325C6"/>
    <w:rsid w:val="00C3277D"/>
    <w:rsid w:val="00C32E1E"/>
    <w:rsid w:val="00C32EA5"/>
    <w:rsid w:val="00C32F07"/>
    <w:rsid w:val="00C32F77"/>
    <w:rsid w:val="00C32FBC"/>
    <w:rsid w:val="00C3321C"/>
    <w:rsid w:val="00C335A8"/>
    <w:rsid w:val="00C335B1"/>
    <w:rsid w:val="00C33762"/>
    <w:rsid w:val="00C337DD"/>
    <w:rsid w:val="00C33B09"/>
    <w:rsid w:val="00C33DE7"/>
    <w:rsid w:val="00C33EBD"/>
    <w:rsid w:val="00C33F39"/>
    <w:rsid w:val="00C343A2"/>
    <w:rsid w:val="00C34731"/>
    <w:rsid w:val="00C34925"/>
    <w:rsid w:val="00C34A5F"/>
    <w:rsid w:val="00C34CB1"/>
    <w:rsid w:val="00C34F76"/>
    <w:rsid w:val="00C35097"/>
    <w:rsid w:val="00C351C9"/>
    <w:rsid w:val="00C35527"/>
    <w:rsid w:val="00C35A6D"/>
    <w:rsid w:val="00C35B9B"/>
    <w:rsid w:val="00C35C17"/>
    <w:rsid w:val="00C35E13"/>
    <w:rsid w:val="00C35FF3"/>
    <w:rsid w:val="00C363FB"/>
    <w:rsid w:val="00C365CB"/>
    <w:rsid w:val="00C36749"/>
    <w:rsid w:val="00C3681D"/>
    <w:rsid w:val="00C36A2E"/>
    <w:rsid w:val="00C36F58"/>
    <w:rsid w:val="00C370F3"/>
    <w:rsid w:val="00C37300"/>
    <w:rsid w:val="00C37335"/>
    <w:rsid w:val="00C3734A"/>
    <w:rsid w:val="00C374DA"/>
    <w:rsid w:val="00C379EA"/>
    <w:rsid w:val="00C37D9A"/>
    <w:rsid w:val="00C37F0F"/>
    <w:rsid w:val="00C37F67"/>
    <w:rsid w:val="00C400A3"/>
    <w:rsid w:val="00C402A6"/>
    <w:rsid w:val="00C40318"/>
    <w:rsid w:val="00C40548"/>
    <w:rsid w:val="00C40C7F"/>
    <w:rsid w:val="00C41085"/>
    <w:rsid w:val="00C41153"/>
    <w:rsid w:val="00C41539"/>
    <w:rsid w:val="00C41654"/>
    <w:rsid w:val="00C41827"/>
    <w:rsid w:val="00C4189D"/>
    <w:rsid w:val="00C4199F"/>
    <w:rsid w:val="00C41A40"/>
    <w:rsid w:val="00C41BB2"/>
    <w:rsid w:val="00C41BD6"/>
    <w:rsid w:val="00C41C57"/>
    <w:rsid w:val="00C41D6F"/>
    <w:rsid w:val="00C423B5"/>
    <w:rsid w:val="00C42939"/>
    <w:rsid w:val="00C42A48"/>
    <w:rsid w:val="00C42B16"/>
    <w:rsid w:val="00C42BDB"/>
    <w:rsid w:val="00C42EA4"/>
    <w:rsid w:val="00C42EBC"/>
    <w:rsid w:val="00C42FDC"/>
    <w:rsid w:val="00C43463"/>
    <w:rsid w:val="00C436DB"/>
    <w:rsid w:val="00C4385E"/>
    <w:rsid w:val="00C438B3"/>
    <w:rsid w:val="00C43C60"/>
    <w:rsid w:val="00C43C8F"/>
    <w:rsid w:val="00C43CF2"/>
    <w:rsid w:val="00C43E0D"/>
    <w:rsid w:val="00C43ED6"/>
    <w:rsid w:val="00C43FCD"/>
    <w:rsid w:val="00C44548"/>
    <w:rsid w:val="00C445A6"/>
    <w:rsid w:val="00C4492E"/>
    <w:rsid w:val="00C44A80"/>
    <w:rsid w:val="00C45049"/>
    <w:rsid w:val="00C4509C"/>
    <w:rsid w:val="00C45149"/>
    <w:rsid w:val="00C4523D"/>
    <w:rsid w:val="00C452AE"/>
    <w:rsid w:val="00C4534C"/>
    <w:rsid w:val="00C45840"/>
    <w:rsid w:val="00C458E9"/>
    <w:rsid w:val="00C45BE0"/>
    <w:rsid w:val="00C45BFE"/>
    <w:rsid w:val="00C45D78"/>
    <w:rsid w:val="00C45F15"/>
    <w:rsid w:val="00C463B8"/>
    <w:rsid w:val="00C464A9"/>
    <w:rsid w:val="00C4668F"/>
    <w:rsid w:val="00C4686B"/>
    <w:rsid w:val="00C4690E"/>
    <w:rsid w:val="00C4697D"/>
    <w:rsid w:val="00C470FC"/>
    <w:rsid w:val="00C47383"/>
    <w:rsid w:val="00C4792C"/>
    <w:rsid w:val="00C47D28"/>
    <w:rsid w:val="00C47E6C"/>
    <w:rsid w:val="00C501AF"/>
    <w:rsid w:val="00C507DC"/>
    <w:rsid w:val="00C50B3B"/>
    <w:rsid w:val="00C50C1F"/>
    <w:rsid w:val="00C50E34"/>
    <w:rsid w:val="00C50E44"/>
    <w:rsid w:val="00C510D0"/>
    <w:rsid w:val="00C512FC"/>
    <w:rsid w:val="00C516BB"/>
    <w:rsid w:val="00C517CD"/>
    <w:rsid w:val="00C51AC9"/>
    <w:rsid w:val="00C51EF5"/>
    <w:rsid w:val="00C51F5F"/>
    <w:rsid w:val="00C520CF"/>
    <w:rsid w:val="00C521BE"/>
    <w:rsid w:val="00C522CF"/>
    <w:rsid w:val="00C52698"/>
    <w:rsid w:val="00C5281E"/>
    <w:rsid w:val="00C528A7"/>
    <w:rsid w:val="00C52D3A"/>
    <w:rsid w:val="00C52DEC"/>
    <w:rsid w:val="00C52FA6"/>
    <w:rsid w:val="00C535AA"/>
    <w:rsid w:val="00C538F1"/>
    <w:rsid w:val="00C53963"/>
    <w:rsid w:val="00C53AB8"/>
    <w:rsid w:val="00C53E40"/>
    <w:rsid w:val="00C53E56"/>
    <w:rsid w:val="00C53EA0"/>
    <w:rsid w:val="00C53EF0"/>
    <w:rsid w:val="00C5435B"/>
    <w:rsid w:val="00C54415"/>
    <w:rsid w:val="00C54431"/>
    <w:rsid w:val="00C544E3"/>
    <w:rsid w:val="00C54513"/>
    <w:rsid w:val="00C54614"/>
    <w:rsid w:val="00C55116"/>
    <w:rsid w:val="00C5547F"/>
    <w:rsid w:val="00C555BC"/>
    <w:rsid w:val="00C556F2"/>
    <w:rsid w:val="00C55C30"/>
    <w:rsid w:val="00C55CD4"/>
    <w:rsid w:val="00C5616D"/>
    <w:rsid w:val="00C5657C"/>
    <w:rsid w:val="00C56A28"/>
    <w:rsid w:val="00C56C18"/>
    <w:rsid w:val="00C56DA9"/>
    <w:rsid w:val="00C570CC"/>
    <w:rsid w:val="00C573AB"/>
    <w:rsid w:val="00C57470"/>
    <w:rsid w:val="00C575DF"/>
    <w:rsid w:val="00C576AA"/>
    <w:rsid w:val="00C57778"/>
    <w:rsid w:val="00C579E7"/>
    <w:rsid w:val="00C57DD1"/>
    <w:rsid w:val="00C57FE9"/>
    <w:rsid w:val="00C601E6"/>
    <w:rsid w:val="00C605FF"/>
    <w:rsid w:val="00C6072E"/>
    <w:rsid w:val="00C609AD"/>
    <w:rsid w:val="00C60AA9"/>
    <w:rsid w:val="00C61182"/>
    <w:rsid w:val="00C6135B"/>
    <w:rsid w:val="00C62A79"/>
    <w:rsid w:val="00C62A8E"/>
    <w:rsid w:val="00C62D55"/>
    <w:rsid w:val="00C63010"/>
    <w:rsid w:val="00C638B9"/>
    <w:rsid w:val="00C63A8A"/>
    <w:rsid w:val="00C63B4C"/>
    <w:rsid w:val="00C63DD9"/>
    <w:rsid w:val="00C640F0"/>
    <w:rsid w:val="00C640F7"/>
    <w:rsid w:val="00C6476F"/>
    <w:rsid w:val="00C64890"/>
    <w:rsid w:val="00C649CE"/>
    <w:rsid w:val="00C64A82"/>
    <w:rsid w:val="00C64B10"/>
    <w:rsid w:val="00C64B3D"/>
    <w:rsid w:val="00C64CB9"/>
    <w:rsid w:val="00C64DE8"/>
    <w:rsid w:val="00C64E2A"/>
    <w:rsid w:val="00C64E45"/>
    <w:rsid w:val="00C64F04"/>
    <w:rsid w:val="00C6527C"/>
    <w:rsid w:val="00C6539F"/>
    <w:rsid w:val="00C65949"/>
    <w:rsid w:val="00C65A92"/>
    <w:rsid w:val="00C65A9A"/>
    <w:rsid w:val="00C65C06"/>
    <w:rsid w:val="00C6617E"/>
    <w:rsid w:val="00C66234"/>
    <w:rsid w:val="00C66346"/>
    <w:rsid w:val="00C6673B"/>
    <w:rsid w:val="00C66BE3"/>
    <w:rsid w:val="00C66C02"/>
    <w:rsid w:val="00C66CED"/>
    <w:rsid w:val="00C66FB1"/>
    <w:rsid w:val="00C67069"/>
    <w:rsid w:val="00C6712A"/>
    <w:rsid w:val="00C67A29"/>
    <w:rsid w:val="00C67A7C"/>
    <w:rsid w:val="00C67AA9"/>
    <w:rsid w:val="00C67D92"/>
    <w:rsid w:val="00C67F73"/>
    <w:rsid w:val="00C7007A"/>
    <w:rsid w:val="00C7008E"/>
    <w:rsid w:val="00C70240"/>
    <w:rsid w:val="00C706CF"/>
    <w:rsid w:val="00C70EC4"/>
    <w:rsid w:val="00C710C3"/>
    <w:rsid w:val="00C71106"/>
    <w:rsid w:val="00C714F8"/>
    <w:rsid w:val="00C716F3"/>
    <w:rsid w:val="00C71728"/>
    <w:rsid w:val="00C71C14"/>
    <w:rsid w:val="00C71CFA"/>
    <w:rsid w:val="00C71EEA"/>
    <w:rsid w:val="00C7200F"/>
    <w:rsid w:val="00C722AD"/>
    <w:rsid w:val="00C723E9"/>
    <w:rsid w:val="00C7276D"/>
    <w:rsid w:val="00C727CE"/>
    <w:rsid w:val="00C728B9"/>
    <w:rsid w:val="00C72C4C"/>
    <w:rsid w:val="00C72D5A"/>
    <w:rsid w:val="00C72D8A"/>
    <w:rsid w:val="00C72E2D"/>
    <w:rsid w:val="00C72FEE"/>
    <w:rsid w:val="00C73115"/>
    <w:rsid w:val="00C73259"/>
    <w:rsid w:val="00C732B6"/>
    <w:rsid w:val="00C73506"/>
    <w:rsid w:val="00C73524"/>
    <w:rsid w:val="00C735C0"/>
    <w:rsid w:val="00C738BD"/>
    <w:rsid w:val="00C73C51"/>
    <w:rsid w:val="00C73D0F"/>
    <w:rsid w:val="00C73FFF"/>
    <w:rsid w:val="00C74228"/>
    <w:rsid w:val="00C74319"/>
    <w:rsid w:val="00C7433D"/>
    <w:rsid w:val="00C74AE4"/>
    <w:rsid w:val="00C74D05"/>
    <w:rsid w:val="00C74D68"/>
    <w:rsid w:val="00C74E98"/>
    <w:rsid w:val="00C74F93"/>
    <w:rsid w:val="00C74FB7"/>
    <w:rsid w:val="00C7547B"/>
    <w:rsid w:val="00C75708"/>
    <w:rsid w:val="00C759CB"/>
    <w:rsid w:val="00C759F9"/>
    <w:rsid w:val="00C75B0F"/>
    <w:rsid w:val="00C75C8A"/>
    <w:rsid w:val="00C7683E"/>
    <w:rsid w:val="00C7684C"/>
    <w:rsid w:val="00C7699C"/>
    <w:rsid w:val="00C777C8"/>
    <w:rsid w:val="00C778A0"/>
    <w:rsid w:val="00C77B04"/>
    <w:rsid w:val="00C77DBD"/>
    <w:rsid w:val="00C80163"/>
    <w:rsid w:val="00C80237"/>
    <w:rsid w:val="00C802BB"/>
    <w:rsid w:val="00C802FC"/>
    <w:rsid w:val="00C80379"/>
    <w:rsid w:val="00C80D27"/>
    <w:rsid w:val="00C80D5E"/>
    <w:rsid w:val="00C80E4E"/>
    <w:rsid w:val="00C80FA2"/>
    <w:rsid w:val="00C810E0"/>
    <w:rsid w:val="00C81105"/>
    <w:rsid w:val="00C81755"/>
    <w:rsid w:val="00C81B26"/>
    <w:rsid w:val="00C81BD2"/>
    <w:rsid w:val="00C81F51"/>
    <w:rsid w:val="00C823EC"/>
    <w:rsid w:val="00C82614"/>
    <w:rsid w:val="00C827C5"/>
    <w:rsid w:val="00C82A3F"/>
    <w:rsid w:val="00C82A78"/>
    <w:rsid w:val="00C82ADE"/>
    <w:rsid w:val="00C82DAB"/>
    <w:rsid w:val="00C82DEF"/>
    <w:rsid w:val="00C82E38"/>
    <w:rsid w:val="00C82F72"/>
    <w:rsid w:val="00C83383"/>
    <w:rsid w:val="00C834B3"/>
    <w:rsid w:val="00C83528"/>
    <w:rsid w:val="00C8374B"/>
    <w:rsid w:val="00C83832"/>
    <w:rsid w:val="00C83BA8"/>
    <w:rsid w:val="00C83E6C"/>
    <w:rsid w:val="00C83FE6"/>
    <w:rsid w:val="00C84112"/>
    <w:rsid w:val="00C841EC"/>
    <w:rsid w:val="00C84205"/>
    <w:rsid w:val="00C843C1"/>
    <w:rsid w:val="00C8444D"/>
    <w:rsid w:val="00C84D81"/>
    <w:rsid w:val="00C84FF0"/>
    <w:rsid w:val="00C85277"/>
    <w:rsid w:val="00C860C0"/>
    <w:rsid w:val="00C86128"/>
    <w:rsid w:val="00C86283"/>
    <w:rsid w:val="00C86485"/>
    <w:rsid w:val="00C8649F"/>
    <w:rsid w:val="00C865EA"/>
    <w:rsid w:val="00C8666F"/>
    <w:rsid w:val="00C868FE"/>
    <w:rsid w:val="00C8692E"/>
    <w:rsid w:val="00C86989"/>
    <w:rsid w:val="00C86C5C"/>
    <w:rsid w:val="00C86C93"/>
    <w:rsid w:val="00C86CB2"/>
    <w:rsid w:val="00C86D22"/>
    <w:rsid w:val="00C86E80"/>
    <w:rsid w:val="00C86EC6"/>
    <w:rsid w:val="00C871F9"/>
    <w:rsid w:val="00C87385"/>
    <w:rsid w:val="00C873CF"/>
    <w:rsid w:val="00C8744E"/>
    <w:rsid w:val="00C87666"/>
    <w:rsid w:val="00C87670"/>
    <w:rsid w:val="00C87990"/>
    <w:rsid w:val="00C87AA3"/>
    <w:rsid w:val="00C87B2F"/>
    <w:rsid w:val="00C87C90"/>
    <w:rsid w:val="00C87CCF"/>
    <w:rsid w:val="00C87DD5"/>
    <w:rsid w:val="00C87EAF"/>
    <w:rsid w:val="00C87F42"/>
    <w:rsid w:val="00C90050"/>
    <w:rsid w:val="00C90160"/>
    <w:rsid w:val="00C90199"/>
    <w:rsid w:val="00C90C08"/>
    <w:rsid w:val="00C90CB6"/>
    <w:rsid w:val="00C90EC6"/>
    <w:rsid w:val="00C910A3"/>
    <w:rsid w:val="00C9149F"/>
    <w:rsid w:val="00C914AC"/>
    <w:rsid w:val="00C914B6"/>
    <w:rsid w:val="00C91625"/>
    <w:rsid w:val="00C916B1"/>
    <w:rsid w:val="00C91742"/>
    <w:rsid w:val="00C91770"/>
    <w:rsid w:val="00C918F7"/>
    <w:rsid w:val="00C91921"/>
    <w:rsid w:val="00C91BD9"/>
    <w:rsid w:val="00C91D51"/>
    <w:rsid w:val="00C91EB0"/>
    <w:rsid w:val="00C91ECA"/>
    <w:rsid w:val="00C920D2"/>
    <w:rsid w:val="00C923F8"/>
    <w:rsid w:val="00C92A41"/>
    <w:rsid w:val="00C92BA8"/>
    <w:rsid w:val="00C92D1E"/>
    <w:rsid w:val="00C92FEE"/>
    <w:rsid w:val="00C9305C"/>
    <w:rsid w:val="00C93803"/>
    <w:rsid w:val="00C93B1A"/>
    <w:rsid w:val="00C93BDB"/>
    <w:rsid w:val="00C93C42"/>
    <w:rsid w:val="00C93FB3"/>
    <w:rsid w:val="00C940E5"/>
    <w:rsid w:val="00C942DD"/>
    <w:rsid w:val="00C9448E"/>
    <w:rsid w:val="00C94522"/>
    <w:rsid w:val="00C94545"/>
    <w:rsid w:val="00C948B1"/>
    <w:rsid w:val="00C94DD5"/>
    <w:rsid w:val="00C950E7"/>
    <w:rsid w:val="00C951BB"/>
    <w:rsid w:val="00C95245"/>
    <w:rsid w:val="00C954F1"/>
    <w:rsid w:val="00C9565B"/>
    <w:rsid w:val="00C957AE"/>
    <w:rsid w:val="00C95B38"/>
    <w:rsid w:val="00C9607E"/>
    <w:rsid w:val="00C9623F"/>
    <w:rsid w:val="00C962B0"/>
    <w:rsid w:val="00C9645A"/>
    <w:rsid w:val="00C9655D"/>
    <w:rsid w:val="00C968E9"/>
    <w:rsid w:val="00C96B9C"/>
    <w:rsid w:val="00C96CF5"/>
    <w:rsid w:val="00C976D0"/>
    <w:rsid w:val="00C977E6"/>
    <w:rsid w:val="00C978F9"/>
    <w:rsid w:val="00C97B25"/>
    <w:rsid w:val="00C97E55"/>
    <w:rsid w:val="00C97F16"/>
    <w:rsid w:val="00CA02A1"/>
    <w:rsid w:val="00CA0346"/>
    <w:rsid w:val="00CA055D"/>
    <w:rsid w:val="00CA06FE"/>
    <w:rsid w:val="00CA08BE"/>
    <w:rsid w:val="00CA0C04"/>
    <w:rsid w:val="00CA0EF2"/>
    <w:rsid w:val="00CA1016"/>
    <w:rsid w:val="00CA101A"/>
    <w:rsid w:val="00CA118F"/>
    <w:rsid w:val="00CA1395"/>
    <w:rsid w:val="00CA1895"/>
    <w:rsid w:val="00CA1AEE"/>
    <w:rsid w:val="00CA1AEF"/>
    <w:rsid w:val="00CA1B97"/>
    <w:rsid w:val="00CA1BCC"/>
    <w:rsid w:val="00CA1C60"/>
    <w:rsid w:val="00CA1D58"/>
    <w:rsid w:val="00CA1EA2"/>
    <w:rsid w:val="00CA202C"/>
    <w:rsid w:val="00CA2161"/>
    <w:rsid w:val="00CA25BF"/>
    <w:rsid w:val="00CA2617"/>
    <w:rsid w:val="00CA26AA"/>
    <w:rsid w:val="00CA27DC"/>
    <w:rsid w:val="00CA2944"/>
    <w:rsid w:val="00CA33ED"/>
    <w:rsid w:val="00CA35CA"/>
    <w:rsid w:val="00CA361C"/>
    <w:rsid w:val="00CA3623"/>
    <w:rsid w:val="00CA3A0C"/>
    <w:rsid w:val="00CA3ABF"/>
    <w:rsid w:val="00CA3D58"/>
    <w:rsid w:val="00CA3F7E"/>
    <w:rsid w:val="00CA43F0"/>
    <w:rsid w:val="00CA446C"/>
    <w:rsid w:val="00CA46A3"/>
    <w:rsid w:val="00CA46B9"/>
    <w:rsid w:val="00CA46BD"/>
    <w:rsid w:val="00CA46DA"/>
    <w:rsid w:val="00CA5254"/>
    <w:rsid w:val="00CA52DB"/>
    <w:rsid w:val="00CA52FB"/>
    <w:rsid w:val="00CA58AF"/>
    <w:rsid w:val="00CA6276"/>
    <w:rsid w:val="00CA631D"/>
    <w:rsid w:val="00CA632E"/>
    <w:rsid w:val="00CA6502"/>
    <w:rsid w:val="00CA6700"/>
    <w:rsid w:val="00CA69EC"/>
    <w:rsid w:val="00CA6DB2"/>
    <w:rsid w:val="00CA6F6D"/>
    <w:rsid w:val="00CA6FA8"/>
    <w:rsid w:val="00CA7167"/>
    <w:rsid w:val="00CA7229"/>
    <w:rsid w:val="00CA7247"/>
    <w:rsid w:val="00CA7339"/>
    <w:rsid w:val="00CA74B3"/>
    <w:rsid w:val="00CA79AB"/>
    <w:rsid w:val="00CA79BC"/>
    <w:rsid w:val="00CA7A5A"/>
    <w:rsid w:val="00CA7CCC"/>
    <w:rsid w:val="00CA7CFE"/>
    <w:rsid w:val="00CB0041"/>
    <w:rsid w:val="00CB0059"/>
    <w:rsid w:val="00CB02C2"/>
    <w:rsid w:val="00CB09B5"/>
    <w:rsid w:val="00CB0A1B"/>
    <w:rsid w:val="00CB0C1C"/>
    <w:rsid w:val="00CB0C9A"/>
    <w:rsid w:val="00CB0D0F"/>
    <w:rsid w:val="00CB0FE5"/>
    <w:rsid w:val="00CB10DC"/>
    <w:rsid w:val="00CB14DB"/>
    <w:rsid w:val="00CB15DA"/>
    <w:rsid w:val="00CB173D"/>
    <w:rsid w:val="00CB1788"/>
    <w:rsid w:val="00CB1928"/>
    <w:rsid w:val="00CB1E6B"/>
    <w:rsid w:val="00CB1F9E"/>
    <w:rsid w:val="00CB2003"/>
    <w:rsid w:val="00CB21CA"/>
    <w:rsid w:val="00CB22AD"/>
    <w:rsid w:val="00CB27B6"/>
    <w:rsid w:val="00CB31D9"/>
    <w:rsid w:val="00CB348C"/>
    <w:rsid w:val="00CB34CB"/>
    <w:rsid w:val="00CB352B"/>
    <w:rsid w:val="00CB360E"/>
    <w:rsid w:val="00CB37C1"/>
    <w:rsid w:val="00CB3840"/>
    <w:rsid w:val="00CB3F58"/>
    <w:rsid w:val="00CB42CD"/>
    <w:rsid w:val="00CB42CF"/>
    <w:rsid w:val="00CB4A4F"/>
    <w:rsid w:val="00CB4D18"/>
    <w:rsid w:val="00CB5371"/>
    <w:rsid w:val="00CB544F"/>
    <w:rsid w:val="00CB54B4"/>
    <w:rsid w:val="00CB5676"/>
    <w:rsid w:val="00CB570C"/>
    <w:rsid w:val="00CB5983"/>
    <w:rsid w:val="00CB5FFF"/>
    <w:rsid w:val="00CB628C"/>
    <w:rsid w:val="00CB66DA"/>
    <w:rsid w:val="00CB6B4D"/>
    <w:rsid w:val="00CB6B7D"/>
    <w:rsid w:val="00CB6D9F"/>
    <w:rsid w:val="00CB6DF3"/>
    <w:rsid w:val="00CB6EFD"/>
    <w:rsid w:val="00CB6F00"/>
    <w:rsid w:val="00CB7033"/>
    <w:rsid w:val="00CB71FB"/>
    <w:rsid w:val="00CB772B"/>
    <w:rsid w:val="00CB7BF6"/>
    <w:rsid w:val="00CB7CEA"/>
    <w:rsid w:val="00CB7EB1"/>
    <w:rsid w:val="00CB7F47"/>
    <w:rsid w:val="00CC03E5"/>
    <w:rsid w:val="00CC0653"/>
    <w:rsid w:val="00CC06DF"/>
    <w:rsid w:val="00CC07CA"/>
    <w:rsid w:val="00CC0892"/>
    <w:rsid w:val="00CC08E8"/>
    <w:rsid w:val="00CC0BED"/>
    <w:rsid w:val="00CC0D78"/>
    <w:rsid w:val="00CC0E04"/>
    <w:rsid w:val="00CC0F13"/>
    <w:rsid w:val="00CC0F4C"/>
    <w:rsid w:val="00CC0FCD"/>
    <w:rsid w:val="00CC1161"/>
    <w:rsid w:val="00CC11EA"/>
    <w:rsid w:val="00CC1475"/>
    <w:rsid w:val="00CC1494"/>
    <w:rsid w:val="00CC1500"/>
    <w:rsid w:val="00CC1506"/>
    <w:rsid w:val="00CC15DC"/>
    <w:rsid w:val="00CC1629"/>
    <w:rsid w:val="00CC17C0"/>
    <w:rsid w:val="00CC183D"/>
    <w:rsid w:val="00CC193F"/>
    <w:rsid w:val="00CC1A5B"/>
    <w:rsid w:val="00CC1C4D"/>
    <w:rsid w:val="00CC1D12"/>
    <w:rsid w:val="00CC1DD6"/>
    <w:rsid w:val="00CC1E1D"/>
    <w:rsid w:val="00CC1EB1"/>
    <w:rsid w:val="00CC2179"/>
    <w:rsid w:val="00CC22FB"/>
    <w:rsid w:val="00CC242B"/>
    <w:rsid w:val="00CC247E"/>
    <w:rsid w:val="00CC24CF"/>
    <w:rsid w:val="00CC252B"/>
    <w:rsid w:val="00CC2841"/>
    <w:rsid w:val="00CC2883"/>
    <w:rsid w:val="00CC2BDF"/>
    <w:rsid w:val="00CC2D13"/>
    <w:rsid w:val="00CC2EC2"/>
    <w:rsid w:val="00CC310A"/>
    <w:rsid w:val="00CC3211"/>
    <w:rsid w:val="00CC34BC"/>
    <w:rsid w:val="00CC36E7"/>
    <w:rsid w:val="00CC3B3C"/>
    <w:rsid w:val="00CC3D38"/>
    <w:rsid w:val="00CC3F83"/>
    <w:rsid w:val="00CC411F"/>
    <w:rsid w:val="00CC4320"/>
    <w:rsid w:val="00CC4693"/>
    <w:rsid w:val="00CC46A2"/>
    <w:rsid w:val="00CC47BB"/>
    <w:rsid w:val="00CC481E"/>
    <w:rsid w:val="00CC4DCC"/>
    <w:rsid w:val="00CC51BA"/>
    <w:rsid w:val="00CC5581"/>
    <w:rsid w:val="00CC598C"/>
    <w:rsid w:val="00CC5AF4"/>
    <w:rsid w:val="00CC5B25"/>
    <w:rsid w:val="00CC5C47"/>
    <w:rsid w:val="00CC5F85"/>
    <w:rsid w:val="00CC639F"/>
    <w:rsid w:val="00CC6435"/>
    <w:rsid w:val="00CC6626"/>
    <w:rsid w:val="00CC6662"/>
    <w:rsid w:val="00CC6950"/>
    <w:rsid w:val="00CC6CE1"/>
    <w:rsid w:val="00CC7065"/>
    <w:rsid w:val="00CC73E5"/>
    <w:rsid w:val="00CC7442"/>
    <w:rsid w:val="00CC7464"/>
    <w:rsid w:val="00CC764D"/>
    <w:rsid w:val="00CC7829"/>
    <w:rsid w:val="00CC7886"/>
    <w:rsid w:val="00CD00FA"/>
    <w:rsid w:val="00CD035B"/>
    <w:rsid w:val="00CD04F4"/>
    <w:rsid w:val="00CD050C"/>
    <w:rsid w:val="00CD06C5"/>
    <w:rsid w:val="00CD0888"/>
    <w:rsid w:val="00CD0DC4"/>
    <w:rsid w:val="00CD0E59"/>
    <w:rsid w:val="00CD11D2"/>
    <w:rsid w:val="00CD1223"/>
    <w:rsid w:val="00CD1545"/>
    <w:rsid w:val="00CD175F"/>
    <w:rsid w:val="00CD1998"/>
    <w:rsid w:val="00CD1B83"/>
    <w:rsid w:val="00CD1F26"/>
    <w:rsid w:val="00CD2060"/>
    <w:rsid w:val="00CD2073"/>
    <w:rsid w:val="00CD210B"/>
    <w:rsid w:val="00CD237B"/>
    <w:rsid w:val="00CD2656"/>
    <w:rsid w:val="00CD2810"/>
    <w:rsid w:val="00CD2999"/>
    <w:rsid w:val="00CD2B84"/>
    <w:rsid w:val="00CD2D0E"/>
    <w:rsid w:val="00CD2FD3"/>
    <w:rsid w:val="00CD3007"/>
    <w:rsid w:val="00CD3358"/>
    <w:rsid w:val="00CD3360"/>
    <w:rsid w:val="00CD3546"/>
    <w:rsid w:val="00CD36E1"/>
    <w:rsid w:val="00CD38A2"/>
    <w:rsid w:val="00CD38A8"/>
    <w:rsid w:val="00CD393E"/>
    <w:rsid w:val="00CD3AFF"/>
    <w:rsid w:val="00CD3BB0"/>
    <w:rsid w:val="00CD3D00"/>
    <w:rsid w:val="00CD4029"/>
    <w:rsid w:val="00CD4140"/>
    <w:rsid w:val="00CD41E1"/>
    <w:rsid w:val="00CD424F"/>
    <w:rsid w:val="00CD42A8"/>
    <w:rsid w:val="00CD49F7"/>
    <w:rsid w:val="00CD4BCA"/>
    <w:rsid w:val="00CD4E56"/>
    <w:rsid w:val="00CD4E6B"/>
    <w:rsid w:val="00CD53EF"/>
    <w:rsid w:val="00CD56A2"/>
    <w:rsid w:val="00CD589B"/>
    <w:rsid w:val="00CD58BE"/>
    <w:rsid w:val="00CD5AA8"/>
    <w:rsid w:val="00CD5B03"/>
    <w:rsid w:val="00CD5B46"/>
    <w:rsid w:val="00CD64B7"/>
    <w:rsid w:val="00CD6652"/>
    <w:rsid w:val="00CD6760"/>
    <w:rsid w:val="00CD69D1"/>
    <w:rsid w:val="00CD6BA9"/>
    <w:rsid w:val="00CD6C54"/>
    <w:rsid w:val="00CD6E9A"/>
    <w:rsid w:val="00CD703F"/>
    <w:rsid w:val="00CD7121"/>
    <w:rsid w:val="00CD7160"/>
    <w:rsid w:val="00CD7474"/>
    <w:rsid w:val="00CD783C"/>
    <w:rsid w:val="00CD7B10"/>
    <w:rsid w:val="00CD7E1A"/>
    <w:rsid w:val="00CD7E98"/>
    <w:rsid w:val="00CE006E"/>
    <w:rsid w:val="00CE00E3"/>
    <w:rsid w:val="00CE02D7"/>
    <w:rsid w:val="00CE0523"/>
    <w:rsid w:val="00CE0832"/>
    <w:rsid w:val="00CE091B"/>
    <w:rsid w:val="00CE0975"/>
    <w:rsid w:val="00CE0C74"/>
    <w:rsid w:val="00CE0F5C"/>
    <w:rsid w:val="00CE127B"/>
    <w:rsid w:val="00CE1646"/>
    <w:rsid w:val="00CE1870"/>
    <w:rsid w:val="00CE19C1"/>
    <w:rsid w:val="00CE1EA2"/>
    <w:rsid w:val="00CE23F8"/>
    <w:rsid w:val="00CE278C"/>
    <w:rsid w:val="00CE2B01"/>
    <w:rsid w:val="00CE2B69"/>
    <w:rsid w:val="00CE2DE4"/>
    <w:rsid w:val="00CE2EC8"/>
    <w:rsid w:val="00CE2F43"/>
    <w:rsid w:val="00CE32C2"/>
    <w:rsid w:val="00CE335A"/>
    <w:rsid w:val="00CE3711"/>
    <w:rsid w:val="00CE376B"/>
    <w:rsid w:val="00CE389D"/>
    <w:rsid w:val="00CE3AAD"/>
    <w:rsid w:val="00CE3C6B"/>
    <w:rsid w:val="00CE408D"/>
    <w:rsid w:val="00CE4144"/>
    <w:rsid w:val="00CE4173"/>
    <w:rsid w:val="00CE42B9"/>
    <w:rsid w:val="00CE42D0"/>
    <w:rsid w:val="00CE4407"/>
    <w:rsid w:val="00CE45EE"/>
    <w:rsid w:val="00CE4C68"/>
    <w:rsid w:val="00CE4E5F"/>
    <w:rsid w:val="00CE4E87"/>
    <w:rsid w:val="00CE5406"/>
    <w:rsid w:val="00CE55EA"/>
    <w:rsid w:val="00CE5A2E"/>
    <w:rsid w:val="00CE5AE5"/>
    <w:rsid w:val="00CE5B24"/>
    <w:rsid w:val="00CE5DE8"/>
    <w:rsid w:val="00CE5DEE"/>
    <w:rsid w:val="00CE5F09"/>
    <w:rsid w:val="00CE604C"/>
    <w:rsid w:val="00CE6B92"/>
    <w:rsid w:val="00CE6C39"/>
    <w:rsid w:val="00CE6EC7"/>
    <w:rsid w:val="00CE6FB5"/>
    <w:rsid w:val="00CE7282"/>
    <w:rsid w:val="00CE7838"/>
    <w:rsid w:val="00CE7FBF"/>
    <w:rsid w:val="00CF011B"/>
    <w:rsid w:val="00CF01B0"/>
    <w:rsid w:val="00CF03E4"/>
    <w:rsid w:val="00CF0805"/>
    <w:rsid w:val="00CF084D"/>
    <w:rsid w:val="00CF0A55"/>
    <w:rsid w:val="00CF12C7"/>
    <w:rsid w:val="00CF19E1"/>
    <w:rsid w:val="00CF1AFC"/>
    <w:rsid w:val="00CF1C07"/>
    <w:rsid w:val="00CF1D18"/>
    <w:rsid w:val="00CF1E28"/>
    <w:rsid w:val="00CF1EA8"/>
    <w:rsid w:val="00CF1FA2"/>
    <w:rsid w:val="00CF201F"/>
    <w:rsid w:val="00CF208C"/>
    <w:rsid w:val="00CF2485"/>
    <w:rsid w:val="00CF2501"/>
    <w:rsid w:val="00CF2852"/>
    <w:rsid w:val="00CF285C"/>
    <w:rsid w:val="00CF29DD"/>
    <w:rsid w:val="00CF2E49"/>
    <w:rsid w:val="00CF2F74"/>
    <w:rsid w:val="00CF317C"/>
    <w:rsid w:val="00CF330B"/>
    <w:rsid w:val="00CF3354"/>
    <w:rsid w:val="00CF3FAE"/>
    <w:rsid w:val="00CF43B6"/>
    <w:rsid w:val="00CF4786"/>
    <w:rsid w:val="00CF4801"/>
    <w:rsid w:val="00CF49EB"/>
    <w:rsid w:val="00CF4C91"/>
    <w:rsid w:val="00CF4CEC"/>
    <w:rsid w:val="00CF4DD4"/>
    <w:rsid w:val="00CF4F24"/>
    <w:rsid w:val="00CF4F3B"/>
    <w:rsid w:val="00CF5170"/>
    <w:rsid w:val="00CF51E9"/>
    <w:rsid w:val="00CF52AA"/>
    <w:rsid w:val="00CF5308"/>
    <w:rsid w:val="00CF56CE"/>
    <w:rsid w:val="00CF58A9"/>
    <w:rsid w:val="00CF58FD"/>
    <w:rsid w:val="00CF60AB"/>
    <w:rsid w:val="00CF6243"/>
    <w:rsid w:val="00CF644F"/>
    <w:rsid w:val="00CF64F2"/>
    <w:rsid w:val="00CF6633"/>
    <w:rsid w:val="00CF69FC"/>
    <w:rsid w:val="00CF6B48"/>
    <w:rsid w:val="00CF6B57"/>
    <w:rsid w:val="00CF6D7F"/>
    <w:rsid w:val="00CF6F87"/>
    <w:rsid w:val="00CF6FC2"/>
    <w:rsid w:val="00CF71F7"/>
    <w:rsid w:val="00CF73B6"/>
    <w:rsid w:val="00CF75CD"/>
    <w:rsid w:val="00CF7663"/>
    <w:rsid w:val="00CF7C17"/>
    <w:rsid w:val="00CF7C70"/>
    <w:rsid w:val="00CF7E21"/>
    <w:rsid w:val="00CF7F6E"/>
    <w:rsid w:val="00D00042"/>
    <w:rsid w:val="00D0005E"/>
    <w:rsid w:val="00D0011E"/>
    <w:rsid w:val="00D0035D"/>
    <w:rsid w:val="00D008C6"/>
    <w:rsid w:val="00D00B9C"/>
    <w:rsid w:val="00D00BE2"/>
    <w:rsid w:val="00D00C17"/>
    <w:rsid w:val="00D00EB6"/>
    <w:rsid w:val="00D00F84"/>
    <w:rsid w:val="00D0110A"/>
    <w:rsid w:val="00D011B6"/>
    <w:rsid w:val="00D012B8"/>
    <w:rsid w:val="00D01673"/>
    <w:rsid w:val="00D016D4"/>
    <w:rsid w:val="00D01742"/>
    <w:rsid w:val="00D0194E"/>
    <w:rsid w:val="00D01A49"/>
    <w:rsid w:val="00D01F23"/>
    <w:rsid w:val="00D025ED"/>
    <w:rsid w:val="00D02819"/>
    <w:rsid w:val="00D02BB9"/>
    <w:rsid w:val="00D034BB"/>
    <w:rsid w:val="00D0358A"/>
    <w:rsid w:val="00D035DA"/>
    <w:rsid w:val="00D036E1"/>
    <w:rsid w:val="00D0370F"/>
    <w:rsid w:val="00D037CF"/>
    <w:rsid w:val="00D03C1B"/>
    <w:rsid w:val="00D03EC7"/>
    <w:rsid w:val="00D03F81"/>
    <w:rsid w:val="00D040FC"/>
    <w:rsid w:val="00D0419D"/>
    <w:rsid w:val="00D043F0"/>
    <w:rsid w:val="00D04657"/>
    <w:rsid w:val="00D0480F"/>
    <w:rsid w:val="00D04851"/>
    <w:rsid w:val="00D04AF0"/>
    <w:rsid w:val="00D04F52"/>
    <w:rsid w:val="00D04FE8"/>
    <w:rsid w:val="00D05051"/>
    <w:rsid w:val="00D05262"/>
    <w:rsid w:val="00D053E8"/>
    <w:rsid w:val="00D05952"/>
    <w:rsid w:val="00D0598C"/>
    <w:rsid w:val="00D059DD"/>
    <w:rsid w:val="00D05C80"/>
    <w:rsid w:val="00D05E1A"/>
    <w:rsid w:val="00D0692D"/>
    <w:rsid w:val="00D06B41"/>
    <w:rsid w:val="00D06E07"/>
    <w:rsid w:val="00D06EAB"/>
    <w:rsid w:val="00D06FDF"/>
    <w:rsid w:val="00D073E6"/>
    <w:rsid w:val="00D07662"/>
    <w:rsid w:val="00D07859"/>
    <w:rsid w:val="00D078A1"/>
    <w:rsid w:val="00D07963"/>
    <w:rsid w:val="00D07BC6"/>
    <w:rsid w:val="00D07CBB"/>
    <w:rsid w:val="00D10022"/>
    <w:rsid w:val="00D10538"/>
    <w:rsid w:val="00D1086F"/>
    <w:rsid w:val="00D10973"/>
    <w:rsid w:val="00D11033"/>
    <w:rsid w:val="00D11064"/>
    <w:rsid w:val="00D11245"/>
    <w:rsid w:val="00D11860"/>
    <w:rsid w:val="00D11920"/>
    <w:rsid w:val="00D11A2E"/>
    <w:rsid w:val="00D1212D"/>
    <w:rsid w:val="00D12144"/>
    <w:rsid w:val="00D1238A"/>
    <w:rsid w:val="00D1297B"/>
    <w:rsid w:val="00D12A92"/>
    <w:rsid w:val="00D12FA2"/>
    <w:rsid w:val="00D131C9"/>
    <w:rsid w:val="00D131E1"/>
    <w:rsid w:val="00D13255"/>
    <w:rsid w:val="00D1330E"/>
    <w:rsid w:val="00D133F3"/>
    <w:rsid w:val="00D13668"/>
    <w:rsid w:val="00D13988"/>
    <w:rsid w:val="00D13EF4"/>
    <w:rsid w:val="00D142C1"/>
    <w:rsid w:val="00D1433F"/>
    <w:rsid w:val="00D144AA"/>
    <w:rsid w:val="00D145BE"/>
    <w:rsid w:val="00D14622"/>
    <w:rsid w:val="00D14A86"/>
    <w:rsid w:val="00D14C57"/>
    <w:rsid w:val="00D15051"/>
    <w:rsid w:val="00D15112"/>
    <w:rsid w:val="00D15214"/>
    <w:rsid w:val="00D1539F"/>
    <w:rsid w:val="00D1564B"/>
    <w:rsid w:val="00D15771"/>
    <w:rsid w:val="00D1578B"/>
    <w:rsid w:val="00D15B7E"/>
    <w:rsid w:val="00D15D21"/>
    <w:rsid w:val="00D15EDC"/>
    <w:rsid w:val="00D1609B"/>
    <w:rsid w:val="00D160DE"/>
    <w:rsid w:val="00D166B7"/>
    <w:rsid w:val="00D16738"/>
    <w:rsid w:val="00D17009"/>
    <w:rsid w:val="00D17877"/>
    <w:rsid w:val="00D1787C"/>
    <w:rsid w:val="00D17B6E"/>
    <w:rsid w:val="00D17D9C"/>
    <w:rsid w:val="00D20177"/>
    <w:rsid w:val="00D20373"/>
    <w:rsid w:val="00D206CD"/>
    <w:rsid w:val="00D20868"/>
    <w:rsid w:val="00D20886"/>
    <w:rsid w:val="00D208AD"/>
    <w:rsid w:val="00D2098C"/>
    <w:rsid w:val="00D20A71"/>
    <w:rsid w:val="00D20A85"/>
    <w:rsid w:val="00D20B24"/>
    <w:rsid w:val="00D20B76"/>
    <w:rsid w:val="00D211F6"/>
    <w:rsid w:val="00D211F7"/>
    <w:rsid w:val="00D21265"/>
    <w:rsid w:val="00D213F9"/>
    <w:rsid w:val="00D2188A"/>
    <w:rsid w:val="00D21A0E"/>
    <w:rsid w:val="00D21B81"/>
    <w:rsid w:val="00D21C0E"/>
    <w:rsid w:val="00D21C74"/>
    <w:rsid w:val="00D21CA4"/>
    <w:rsid w:val="00D21DBF"/>
    <w:rsid w:val="00D2202D"/>
    <w:rsid w:val="00D22418"/>
    <w:rsid w:val="00D226B8"/>
    <w:rsid w:val="00D22712"/>
    <w:rsid w:val="00D22890"/>
    <w:rsid w:val="00D22ADE"/>
    <w:rsid w:val="00D22C67"/>
    <w:rsid w:val="00D22D5B"/>
    <w:rsid w:val="00D22E4B"/>
    <w:rsid w:val="00D23144"/>
    <w:rsid w:val="00D23218"/>
    <w:rsid w:val="00D23264"/>
    <w:rsid w:val="00D236BB"/>
    <w:rsid w:val="00D23E0A"/>
    <w:rsid w:val="00D23EDE"/>
    <w:rsid w:val="00D23FA3"/>
    <w:rsid w:val="00D23FC2"/>
    <w:rsid w:val="00D24370"/>
    <w:rsid w:val="00D243FC"/>
    <w:rsid w:val="00D24413"/>
    <w:rsid w:val="00D2471E"/>
    <w:rsid w:val="00D24879"/>
    <w:rsid w:val="00D24897"/>
    <w:rsid w:val="00D24B72"/>
    <w:rsid w:val="00D24C77"/>
    <w:rsid w:val="00D2531A"/>
    <w:rsid w:val="00D25459"/>
    <w:rsid w:val="00D25C77"/>
    <w:rsid w:val="00D25DB5"/>
    <w:rsid w:val="00D25DCD"/>
    <w:rsid w:val="00D262D2"/>
    <w:rsid w:val="00D262FB"/>
    <w:rsid w:val="00D26DCE"/>
    <w:rsid w:val="00D26E6D"/>
    <w:rsid w:val="00D26EC6"/>
    <w:rsid w:val="00D26F82"/>
    <w:rsid w:val="00D26FCB"/>
    <w:rsid w:val="00D272C4"/>
    <w:rsid w:val="00D2737C"/>
    <w:rsid w:val="00D2746E"/>
    <w:rsid w:val="00D27483"/>
    <w:rsid w:val="00D278D7"/>
    <w:rsid w:val="00D2793C"/>
    <w:rsid w:val="00D27BEE"/>
    <w:rsid w:val="00D301B4"/>
    <w:rsid w:val="00D30233"/>
    <w:rsid w:val="00D3042B"/>
    <w:rsid w:val="00D30B77"/>
    <w:rsid w:val="00D30BC4"/>
    <w:rsid w:val="00D30C9E"/>
    <w:rsid w:val="00D30F47"/>
    <w:rsid w:val="00D31269"/>
    <w:rsid w:val="00D312EE"/>
    <w:rsid w:val="00D314CD"/>
    <w:rsid w:val="00D31B44"/>
    <w:rsid w:val="00D31B68"/>
    <w:rsid w:val="00D31C12"/>
    <w:rsid w:val="00D3238D"/>
    <w:rsid w:val="00D3272D"/>
    <w:rsid w:val="00D327F1"/>
    <w:rsid w:val="00D3290F"/>
    <w:rsid w:val="00D32B7E"/>
    <w:rsid w:val="00D32E42"/>
    <w:rsid w:val="00D3300F"/>
    <w:rsid w:val="00D3328D"/>
    <w:rsid w:val="00D333A2"/>
    <w:rsid w:val="00D33440"/>
    <w:rsid w:val="00D336C8"/>
    <w:rsid w:val="00D33742"/>
    <w:rsid w:val="00D337D5"/>
    <w:rsid w:val="00D3386C"/>
    <w:rsid w:val="00D338B6"/>
    <w:rsid w:val="00D339BE"/>
    <w:rsid w:val="00D33A0C"/>
    <w:rsid w:val="00D33A1E"/>
    <w:rsid w:val="00D33BBE"/>
    <w:rsid w:val="00D33CD7"/>
    <w:rsid w:val="00D33DE9"/>
    <w:rsid w:val="00D34082"/>
    <w:rsid w:val="00D3418F"/>
    <w:rsid w:val="00D342C3"/>
    <w:rsid w:val="00D343BC"/>
    <w:rsid w:val="00D348A5"/>
    <w:rsid w:val="00D34DDF"/>
    <w:rsid w:val="00D352F9"/>
    <w:rsid w:val="00D3531C"/>
    <w:rsid w:val="00D35684"/>
    <w:rsid w:val="00D3578D"/>
    <w:rsid w:val="00D357EC"/>
    <w:rsid w:val="00D35981"/>
    <w:rsid w:val="00D35989"/>
    <w:rsid w:val="00D359E4"/>
    <w:rsid w:val="00D35CA0"/>
    <w:rsid w:val="00D35FDE"/>
    <w:rsid w:val="00D36064"/>
    <w:rsid w:val="00D36328"/>
    <w:rsid w:val="00D364C5"/>
    <w:rsid w:val="00D36863"/>
    <w:rsid w:val="00D3688E"/>
    <w:rsid w:val="00D37772"/>
    <w:rsid w:val="00D37898"/>
    <w:rsid w:val="00D378BC"/>
    <w:rsid w:val="00D378C5"/>
    <w:rsid w:val="00D37929"/>
    <w:rsid w:val="00D400CA"/>
    <w:rsid w:val="00D4057D"/>
    <w:rsid w:val="00D409AC"/>
    <w:rsid w:val="00D40E8C"/>
    <w:rsid w:val="00D40F75"/>
    <w:rsid w:val="00D40F9B"/>
    <w:rsid w:val="00D4121A"/>
    <w:rsid w:val="00D41398"/>
    <w:rsid w:val="00D417F1"/>
    <w:rsid w:val="00D41A9B"/>
    <w:rsid w:val="00D41E4B"/>
    <w:rsid w:val="00D42138"/>
    <w:rsid w:val="00D42244"/>
    <w:rsid w:val="00D422DF"/>
    <w:rsid w:val="00D4247A"/>
    <w:rsid w:val="00D4257C"/>
    <w:rsid w:val="00D42597"/>
    <w:rsid w:val="00D425E9"/>
    <w:rsid w:val="00D4260D"/>
    <w:rsid w:val="00D4291D"/>
    <w:rsid w:val="00D42CE0"/>
    <w:rsid w:val="00D4304C"/>
    <w:rsid w:val="00D43162"/>
    <w:rsid w:val="00D4320A"/>
    <w:rsid w:val="00D4321B"/>
    <w:rsid w:val="00D43334"/>
    <w:rsid w:val="00D43367"/>
    <w:rsid w:val="00D43449"/>
    <w:rsid w:val="00D435F2"/>
    <w:rsid w:val="00D435F7"/>
    <w:rsid w:val="00D4362C"/>
    <w:rsid w:val="00D43712"/>
    <w:rsid w:val="00D4377C"/>
    <w:rsid w:val="00D437AD"/>
    <w:rsid w:val="00D43BB4"/>
    <w:rsid w:val="00D440D9"/>
    <w:rsid w:val="00D443C1"/>
    <w:rsid w:val="00D445D6"/>
    <w:rsid w:val="00D44BCE"/>
    <w:rsid w:val="00D44D53"/>
    <w:rsid w:val="00D44E15"/>
    <w:rsid w:val="00D4529E"/>
    <w:rsid w:val="00D45620"/>
    <w:rsid w:val="00D458C6"/>
    <w:rsid w:val="00D46007"/>
    <w:rsid w:val="00D46012"/>
    <w:rsid w:val="00D46116"/>
    <w:rsid w:val="00D461F3"/>
    <w:rsid w:val="00D4635D"/>
    <w:rsid w:val="00D466E4"/>
    <w:rsid w:val="00D46739"/>
    <w:rsid w:val="00D46993"/>
    <w:rsid w:val="00D46C41"/>
    <w:rsid w:val="00D46D51"/>
    <w:rsid w:val="00D46E81"/>
    <w:rsid w:val="00D46F77"/>
    <w:rsid w:val="00D4724A"/>
    <w:rsid w:val="00D47658"/>
    <w:rsid w:val="00D47B15"/>
    <w:rsid w:val="00D47E66"/>
    <w:rsid w:val="00D47E8E"/>
    <w:rsid w:val="00D47EF7"/>
    <w:rsid w:val="00D47EF9"/>
    <w:rsid w:val="00D503B2"/>
    <w:rsid w:val="00D5067A"/>
    <w:rsid w:val="00D509F6"/>
    <w:rsid w:val="00D50D51"/>
    <w:rsid w:val="00D50D61"/>
    <w:rsid w:val="00D5113B"/>
    <w:rsid w:val="00D51257"/>
    <w:rsid w:val="00D515DF"/>
    <w:rsid w:val="00D517CD"/>
    <w:rsid w:val="00D51933"/>
    <w:rsid w:val="00D51E29"/>
    <w:rsid w:val="00D51F88"/>
    <w:rsid w:val="00D51F89"/>
    <w:rsid w:val="00D523AA"/>
    <w:rsid w:val="00D52456"/>
    <w:rsid w:val="00D524CF"/>
    <w:rsid w:val="00D5269F"/>
    <w:rsid w:val="00D52B06"/>
    <w:rsid w:val="00D52B16"/>
    <w:rsid w:val="00D52FF4"/>
    <w:rsid w:val="00D5366C"/>
    <w:rsid w:val="00D538DB"/>
    <w:rsid w:val="00D53CED"/>
    <w:rsid w:val="00D53D41"/>
    <w:rsid w:val="00D53DE2"/>
    <w:rsid w:val="00D53FB3"/>
    <w:rsid w:val="00D54090"/>
    <w:rsid w:val="00D54147"/>
    <w:rsid w:val="00D5417C"/>
    <w:rsid w:val="00D54460"/>
    <w:rsid w:val="00D5474B"/>
    <w:rsid w:val="00D547A0"/>
    <w:rsid w:val="00D54A4C"/>
    <w:rsid w:val="00D5540F"/>
    <w:rsid w:val="00D55447"/>
    <w:rsid w:val="00D5574C"/>
    <w:rsid w:val="00D557D5"/>
    <w:rsid w:val="00D55955"/>
    <w:rsid w:val="00D55A34"/>
    <w:rsid w:val="00D55AE0"/>
    <w:rsid w:val="00D563AA"/>
    <w:rsid w:val="00D56445"/>
    <w:rsid w:val="00D56821"/>
    <w:rsid w:val="00D56867"/>
    <w:rsid w:val="00D56C8F"/>
    <w:rsid w:val="00D56D48"/>
    <w:rsid w:val="00D571C8"/>
    <w:rsid w:val="00D57639"/>
    <w:rsid w:val="00D5771B"/>
    <w:rsid w:val="00D5775A"/>
    <w:rsid w:val="00D57E69"/>
    <w:rsid w:val="00D57EDB"/>
    <w:rsid w:val="00D6004F"/>
    <w:rsid w:val="00D60132"/>
    <w:rsid w:val="00D60137"/>
    <w:rsid w:val="00D603AA"/>
    <w:rsid w:val="00D6071F"/>
    <w:rsid w:val="00D607D3"/>
    <w:rsid w:val="00D60C20"/>
    <w:rsid w:val="00D60DD9"/>
    <w:rsid w:val="00D612E3"/>
    <w:rsid w:val="00D613E0"/>
    <w:rsid w:val="00D61574"/>
    <w:rsid w:val="00D615C2"/>
    <w:rsid w:val="00D61666"/>
    <w:rsid w:val="00D616DB"/>
    <w:rsid w:val="00D61763"/>
    <w:rsid w:val="00D61892"/>
    <w:rsid w:val="00D61C09"/>
    <w:rsid w:val="00D61C99"/>
    <w:rsid w:val="00D61DF2"/>
    <w:rsid w:val="00D61E03"/>
    <w:rsid w:val="00D620C0"/>
    <w:rsid w:val="00D62105"/>
    <w:rsid w:val="00D62178"/>
    <w:rsid w:val="00D622D5"/>
    <w:rsid w:val="00D62313"/>
    <w:rsid w:val="00D6299E"/>
    <w:rsid w:val="00D629A9"/>
    <w:rsid w:val="00D62AE7"/>
    <w:rsid w:val="00D62C45"/>
    <w:rsid w:val="00D62F8B"/>
    <w:rsid w:val="00D6303F"/>
    <w:rsid w:val="00D635A3"/>
    <w:rsid w:val="00D638D2"/>
    <w:rsid w:val="00D63C4F"/>
    <w:rsid w:val="00D63D58"/>
    <w:rsid w:val="00D63F09"/>
    <w:rsid w:val="00D63FF2"/>
    <w:rsid w:val="00D64257"/>
    <w:rsid w:val="00D64475"/>
    <w:rsid w:val="00D645A6"/>
    <w:rsid w:val="00D645B9"/>
    <w:rsid w:val="00D646C8"/>
    <w:rsid w:val="00D64724"/>
    <w:rsid w:val="00D64811"/>
    <w:rsid w:val="00D648A0"/>
    <w:rsid w:val="00D64DA2"/>
    <w:rsid w:val="00D65088"/>
    <w:rsid w:val="00D65098"/>
    <w:rsid w:val="00D652C1"/>
    <w:rsid w:val="00D652E8"/>
    <w:rsid w:val="00D65499"/>
    <w:rsid w:val="00D6550D"/>
    <w:rsid w:val="00D65547"/>
    <w:rsid w:val="00D65914"/>
    <w:rsid w:val="00D659F5"/>
    <w:rsid w:val="00D65D0E"/>
    <w:rsid w:val="00D66303"/>
    <w:rsid w:val="00D6646A"/>
    <w:rsid w:val="00D6650A"/>
    <w:rsid w:val="00D6658B"/>
    <w:rsid w:val="00D666C2"/>
    <w:rsid w:val="00D668FB"/>
    <w:rsid w:val="00D66D01"/>
    <w:rsid w:val="00D66F78"/>
    <w:rsid w:val="00D67614"/>
    <w:rsid w:val="00D67616"/>
    <w:rsid w:val="00D677CA"/>
    <w:rsid w:val="00D679A6"/>
    <w:rsid w:val="00D67A7A"/>
    <w:rsid w:val="00D67F7C"/>
    <w:rsid w:val="00D7006E"/>
    <w:rsid w:val="00D706E8"/>
    <w:rsid w:val="00D71055"/>
    <w:rsid w:val="00D710A8"/>
    <w:rsid w:val="00D713B5"/>
    <w:rsid w:val="00D715F4"/>
    <w:rsid w:val="00D71CC8"/>
    <w:rsid w:val="00D71F34"/>
    <w:rsid w:val="00D7206F"/>
    <w:rsid w:val="00D721AD"/>
    <w:rsid w:val="00D721DB"/>
    <w:rsid w:val="00D721F2"/>
    <w:rsid w:val="00D72238"/>
    <w:rsid w:val="00D7229E"/>
    <w:rsid w:val="00D7263E"/>
    <w:rsid w:val="00D7291A"/>
    <w:rsid w:val="00D72974"/>
    <w:rsid w:val="00D72A35"/>
    <w:rsid w:val="00D72BFF"/>
    <w:rsid w:val="00D72DD9"/>
    <w:rsid w:val="00D73084"/>
    <w:rsid w:val="00D732B9"/>
    <w:rsid w:val="00D7332C"/>
    <w:rsid w:val="00D73911"/>
    <w:rsid w:val="00D73CA1"/>
    <w:rsid w:val="00D73CE7"/>
    <w:rsid w:val="00D73D24"/>
    <w:rsid w:val="00D73E2C"/>
    <w:rsid w:val="00D73E91"/>
    <w:rsid w:val="00D73FD8"/>
    <w:rsid w:val="00D74733"/>
    <w:rsid w:val="00D749EF"/>
    <w:rsid w:val="00D74C05"/>
    <w:rsid w:val="00D74DA7"/>
    <w:rsid w:val="00D74F28"/>
    <w:rsid w:val="00D74FE6"/>
    <w:rsid w:val="00D750AA"/>
    <w:rsid w:val="00D752C4"/>
    <w:rsid w:val="00D752D4"/>
    <w:rsid w:val="00D7552C"/>
    <w:rsid w:val="00D755EC"/>
    <w:rsid w:val="00D75934"/>
    <w:rsid w:val="00D75B14"/>
    <w:rsid w:val="00D75B1D"/>
    <w:rsid w:val="00D76003"/>
    <w:rsid w:val="00D763FB"/>
    <w:rsid w:val="00D7640C"/>
    <w:rsid w:val="00D764FC"/>
    <w:rsid w:val="00D768F1"/>
    <w:rsid w:val="00D76BA1"/>
    <w:rsid w:val="00D76D8C"/>
    <w:rsid w:val="00D76E3B"/>
    <w:rsid w:val="00D76FF7"/>
    <w:rsid w:val="00D7780E"/>
    <w:rsid w:val="00D77942"/>
    <w:rsid w:val="00D77A00"/>
    <w:rsid w:val="00D77A6D"/>
    <w:rsid w:val="00D77AC1"/>
    <w:rsid w:val="00D77B4F"/>
    <w:rsid w:val="00D77E41"/>
    <w:rsid w:val="00D77EBB"/>
    <w:rsid w:val="00D800FA"/>
    <w:rsid w:val="00D80585"/>
    <w:rsid w:val="00D80623"/>
    <w:rsid w:val="00D809FC"/>
    <w:rsid w:val="00D80A9E"/>
    <w:rsid w:val="00D80CA2"/>
    <w:rsid w:val="00D80E33"/>
    <w:rsid w:val="00D810D0"/>
    <w:rsid w:val="00D8118E"/>
    <w:rsid w:val="00D811D8"/>
    <w:rsid w:val="00D8124E"/>
    <w:rsid w:val="00D813D6"/>
    <w:rsid w:val="00D815D3"/>
    <w:rsid w:val="00D8181B"/>
    <w:rsid w:val="00D819BF"/>
    <w:rsid w:val="00D819C4"/>
    <w:rsid w:val="00D81B3C"/>
    <w:rsid w:val="00D82167"/>
    <w:rsid w:val="00D8247C"/>
    <w:rsid w:val="00D82640"/>
    <w:rsid w:val="00D827C9"/>
    <w:rsid w:val="00D82859"/>
    <w:rsid w:val="00D82935"/>
    <w:rsid w:val="00D82C39"/>
    <w:rsid w:val="00D82E51"/>
    <w:rsid w:val="00D82F02"/>
    <w:rsid w:val="00D830A2"/>
    <w:rsid w:val="00D835CC"/>
    <w:rsid w:val="00D83774"/>
    <w:rsid w:val="00D8378D"/>
    <w:rsid w:val="00D83B27"/>
    <w:rsid w:val="00D83EAA"/>
    <w:rsid w:val="00D83F56"/>
    <w:rsid w:val="00D83FF5"/>
    <w:rsid w:val="00D84066"/>
    <w:rsid w:val="00D8414C"/>
    <w:rsid w:val="00D841B7"/>
    <w:rsid w:val="00D84236"/>
    <w:rsid w:val="00D84244"/>
    <w:rsid w:val="00D843DF"/>
    <w:rsid w:val="00D843FE"/>
    <w:rsid w:val="00D84624"/>
    <w:rsid w:val="00D846E7"/>
    <w:rsid w:val="00D84F6C"/>
    <w:rsid w:val="00D85D20"/>
    <w:rsid w:val="00D8611E"/>
    <w:rsid w:val="00D86271"/>
    <w:rsid w:val="00D862AC"/>
    <w:rsid w:val="00D8637D"/>
    <w:rsid w:val="00D867F2"/>
    <w:rsid w:val="00D8690A"/>
    <w:rsid w:val="00D8695C"/>
    <w:rsid w:val="00D86963"/>
    <w:rsid w:val="00D86AE9"/>
    <w:rsid w:val="00D86DFE"/>
    <w:rsid w:val="00D86EC0"/>
    <w:rsid w:val="00D8703C"/>
    <w:rsid w:val="00D873E1"/>
    <w:rsid w:val="00D87452"/>
    <w:rsid w:val="00D878B6"/>
    <w:rsid w:val="00D87AE8"/>
    <w:rsid w:val="00D87D66"/>
    <w:rsid w:val="00D87EB2"/>
    <w:rsid w:val="00D87FD0"/>
    <w:rsid w:val="00D90529"/>
    <w:rsid w:val="00D90563"/>
    <w:rsid w:val="00D90681"/>
    <w:rsid w:val="00D90CD6"/>
    <w:rsid w:val="00D90EF2"/>
    <w:rsid w:val="00D90F9A"/>
    <w:rsid w:val="00D916D6"/>
    <w:rsid w:val="00D91752"/>
    <w:rsid w:val="00D9189F"/>
    <w:rsid w:val="00D91985"/>
    <w:rsid w:val="00D9207F"/>
    <w:rsid w:val="00D920F1"/>
    <w:rsid w:val="00D92310"/>
    <w:rsid w:val="00D924BF"/>
    <w:rsid w:val="00D925A3"/>
    <w:rsid w:val="00D92A87"/>
    <w:rsid w:val="00D92B26"/>
    <w:rsid w:val="00D92B4B"/>
    <w:rsid w:val="00D92CD8"/>
    <w:rsid w:val="00D92CE7"/>
    <w:rsid w:val="00D938A2"/>
    <w:rsid w:val="00D93C49"/>
    <w:rsid w:val="00D93DAD"/>
    <w:rsid w:val="00D94149"/>
    <w:rsid w:val="00D9418D"/>
    <w:rsid w:val="00D9439D"/>
    <w:rsid w:val="00D944BB"/>
    <w:rsid w:val="00D9470F"/>
    <w:rsid w:val="00D94ADE"/>
    <w:rsid w:val="00D94AED"/>
    <w:rsid w:val="00D94BF8"/>
    <w:rsid w:val="00D94C41"/>
    <w:rsid w:val="00D94ED9"/>
    <w:rsid w:val="00D950AB"/>
    <w:rsid w:val="00D95215"/>
    <w:rsid w:val="00D95235"/>
    <w:rsid w:val="00D95C92"/>
    <w:rsid w:val="00D962F6"/>
    <w:rsid w:val="00D9640F"/>
    <w:rsid w:val="00D96630"/>
    <w:rsid w:val="00D9685A"/>
    <w:rsid w:val="00D96A61"/>
    <w:rsid w:val="00D96FE7"/>
    <w:rsid w:val="00D96FF7"/>
    <w:rsid w:val="00D97655"/>
    <w:rsid w:val="00D97E96"/>
    <w:rsid w:val="00DA013B"/>
    <w:rsid w:val="00DA02BA"/>
    <w:rsid w:val="00DA0405"/>
    <w:rsid w:val="00DA049F"/>
    <w:rsid w:val="00DA04AB"/>
    <w:rsid w:val="00DA04D4"/>
    <w:rsid w:val="00DA0509"/>
    <w:rsid w:val="00DA0A36"/>
    <w:rsid w:val="00DA0C6E"/>
    <w:rsid w:val="00DA0CE7"/>
    <w:rsid w:val="00DA0DDC"/>
    <w:rsid w:val="00DA13EB"/>
    <w:rsid w:val="00DA1657"/>
    <w:rsid w:val="00DA1743"/>
    <w:rsid w:val="00DA1EAD"/>
    <w:rsid w:val="00DA20CD"/>
    <w:rsid w:val="00DA2376"/>
    <w:rsid w:val="00DA23A7"/>
    <w:rsid w:val="00DA27F4"/>
    <w:rsid w:val="00DA28C8"/>
    <w:rsid w:val="00DA295E"/>
    <w:rsid w:val="00DA2965"/>
    <w:rsid w:val="00DA2D92"/>
    <w:rsid w:val="00DA3196"/>
    <w:rsid w:val="00DA349A"/>
    <w:rsid w:val="00DA39AC"/>
    <w:rsid w:val="00DA3D3C"/>
    <w:rsid w:val="00DA3D99"/>
    <w:rsid w:val="00DA3EBF"/>
    <w:rsid w:val="00DA3F7D"/>
    <w:rsid w:val="00DA3FF9"/>
    <w:rsid w:val="00DA4281"/>
    <w:rsid w:val="00DA4294"/>
    <w:rsid w:val="00DA45D0"/>
    <w:rsid w:val="00DA4754"/>
    <w:rsid w:val="00DA49A7"/>
    <w:rsid w:val="00DA4A6A"/>
    <w:rsid w:val="00DA4C48"/>
    <w:rsid w:val="00DA507B"/>
    <w:rsid w:val="00DA518A"/>
    <w:rsid w:val="00DA53CD"/>
    <w:rsid w:val="00DA54FC"/>
    <w:rsid w:val="00DA5B0B"/>
    <w:rsid w:val="00DA5C71"/>
    <w:rsid w:val="00DA5DBE"/>
    <w:rsid w:val="00DA5EFF"/>
    <w:rsid w:val="00DA5F95"/>
    <w:rsid w:val="00DA60F8"/>
    <w:rsid w:val="00DA644D"/>
    <w:rsid w:val="00DA648F"/>
    <w:rsid w:val="00DA6CFE"/>
    <w:rsid w:val="00DA6FD0"/>
    <w:rsid w:val="00DA7040"/>
    <w:rsid w:val="00DA7178"/>
    <w:rsid w:val="00DA736B"/>
    <w:rsid w:val="00DA736F"/>
    <w:rsid w:val="00DA7858"/>
    <w:rsid w:val="00DA79F4"/>
    <w:rsid w:val="00DA7DD5"/>
    <w:rsid w:val="00DB0292"/>
    <w:rsid w:val="00DB02C4"/>
    <w:rsid w:val="00DB034A"/>
    <w:rsid w:val="00DB050C"/>
    <w:rsid w:val="00DB0767"/>
    <w:rsid w:val="00DB0993"/>
    <w:rsid w:val="00DB0C6C"/>
    <w:rsid w:val="00DB0D5E"/>
    <w:rsid w:val="00DB0E7E"/>
    <w:rsid w:val="00DB10BB"/>
    <w:rsid w:val="00DB1174"/>
    <w:rsid w:val="00DB11C8"/>
    <w:rsid w:val="00DB1A11"/>
    <w:rsid w:val="00DB1AC6"/>
    <w:rsid w:val="00DB1E5A"/>
    <w:rsid w:val="00DB1E5E"/>
    <w:rsid w:val="00DB1FC1"/>
    <w:rsid w:val="00DB244D"/>
    <w:rsid w:val="00DB251B"/>
    <w:rsid w:val="00DB2612"/>
    <w:rsid w:val="00DB2A13"/>
    <w:rsid w:val="00DB2D90"/>
    <w:rsid w:val="00DB2E10"/>
    <w:rsid w:val="00DB2E72"/>
    <w:rsid w:val="00DB2FD8"/>
    <w:rsid w:val="00DB3167"/>
    <w:rsid w:val="00DB33C9"/>
    <w:rsid w:val="00DB3499"/>
    <w:rsid w:val="00DB34A1"/>
    <w:rsid w:val="00DB3557"/>
    <w:rsid w:val="00DB382B"/>
    <w:rsid w:val="00DB3D1F"/>
    <w:rsid w:val="00DB4273"/>
    <w:rsid w:val="00DB4274"/>
    <w:rsid w:val="00DB46E8"/>
    <w:rsid w:val="00DB4C4B"/>
    <w:rsid w:val="00DB4DE9"/>
    <w:rsid w:val="00DB4E5C"/>
    <w:rsid w:val="00DB561D"/>
    <w:rsid w:val="00DB59DB"/>
    <w:rsid w:val="00DB5ADE"/>
    <w:rsid w:val="00DB5B98"/>
    <w:rsid w:val="00DB6065"/>
    <w:rsid w:val="00DB6107"/>
    <w:rsid w:val="00DB6166"/>
    <w:rsid w:val="00DB6DA1"/>
    <w:rsid w:val="00DB7231"/>
    <w:rsid w:val="00DB74C0"/>
    <w:rsid w:val="00DB7762"/>
    <w:rsid w:val="00DB77E6"/>
    <w:rsid w:val="00DB7862"/>
    <w:rsid w:val="00DB79A1"/>
    <w:rsid w:val="00DC00D9"/>
    <w:rsid w:val="00DC0106"/>
    <w:rsid w:val="00DC019D"/>
    <w:rsid w:val="00DC0263"/>
    <w:rsid w:val="00DC02DB"/>
    <w:rsid w:val="00DC07DB"/>
    <w:rsid w:val="00DC0C51"/>
    <w:rsid w:val="00DC0E9E"/>
    <w:rsid w:val="00DC1603"/>
    <w:rsid w:val="00DC1757"/>
    <w:rsid w:val="00DC1A2A"/>
    <w:rsid w:val="00DC1BCB"/>
    <w:rsid w:val="00DC1C41"/>
    <w:rsid w:val="00DC1DE6"/>
    <w:rsid w:val="00DC2436"/>
    <w:rsid w:val="00DC2687"/>
    <w:rsid w:val="00DC2AEA"/>
    <w:rsid w:val="00DC2D9E"/>
    <w:rsid w:val="00DC3110"/>
    <w:rsid w:val="00DC315D"/>
    <w:rsid w:val="00DC3511"/>
    <w:rsid w:val="00DC36B5"/>
    <w:rsid w:val="00DC3705"/>
    <w:rsid w:val="00DC37A9"/>
    <w:rsid w:val="00DC37F6"/>
    <w:rsid w:val="00DC386F"/>
    <w:rsid w:val="00DC3A10"/>
    <w:rsid w:val="00DC3E9F"/>
    <w:rsid w:val="00DC3EE1"/>
    <w:rsid w:val="00DC3FF8"/>
    <w:rsid w:val="00DC4246"/>
    <w:rsid w:val="00DC4449"/>
    <w:rsid w:val="00DC44EA"/>
    <w:rsid w:val="00DC4586"/>
    <w:rsid w:val="00DC4671"/>
    <w:rsid w:val="00DC4930"/>
    <w:rsid w:val="00DC49CC"/>
    <w:rsid w:val="00DC4A59"/>
    <w:rsid w:val="00DC4C45"/>
    <w:rsid w:val="00DC4DD2"/>
    <w:rsid w:val="00DC503E"/>
    <w:rsid w:val="00DC519F"/>
    <w:rsid w:val="00DC551A"/>
    <w:rsid w:val="00DC5596"/>
    <w:rsid w:val="00DC5675"/>
    <w:rsid w:val="00DC58CF"/>
    <w:rsid w:val="00DC59DB"/>
    <w:rsid w:val="00DC59DF"/>
    <w:rsid w:val="00DC5A9F"/>
    <w:rsid w:val="00DC6123"/>
    <w:rsid w:val="00DC625D"/>
    <w:rsid w:val="00DC64A8"/>
    <w:rsid w:val="00DC6742"/>
    <w:rsid w:val="00DC68A1"/>
    <w:rsid w:val="00DC6CFE"/>
    <w:rsid w:val="00DC6F24"/>
    <w:rsid w:val="00DC6FC2"/>
    <w:rsid w:val="00DC6FD0"/>
    <w:rsid w:val="00DC70B6"/>
    <w:rsid w:val="00DC7447"/>
    <w:rsid w:val="00DC751F"/>
    <w:rsid w:val="00DC7561"/>
    <w:rsid w:val="00DC77B9"/>
    <w:rsid w:val="00DC786F"/>
    <w:rsid w:val="00DC78D5"/>
    <w:rsid w:val="00DC78F0"/>
    <w:rsid w:val="00DC7DDA"/>
    <w:rsid w:val="00DC7E34"/>
    <w:rsid w:val="00DC7F73"/>
    <w:rsid w:val="00DD0086"/>
    <w:rsid w:val="00DD03D7"/>
    <w:rsid w:val="00DD044E"/>
    <w:rsid w:val="00DD0462"/>
    <w:rsid w:val="00DD0555"/>
    <w:rsid w:val="00DD060E"/>
    <w:rsid w:val="00DD06E6"/>
    <w:rsid w:val="00DD0F27"/>
    <w:rsid w:val="00DD1083"/>
    <w:rsid w:val="00DD137F"/>
    <w:rsid w:val="00DD1914"/>
    <w:rsid w:val="00DD2976"/>
    <w:rsid w:val="00DD29C7"/>
    <w:rsid w:val="00DD2A37"/>
    <w:rsid w:val="00DD2DF9"/>
    <w:rsid w:val="00DD2FB7"/>
    <w:rsid w:val="00DD3B30"/>
    <w:rsid w:val="00DD3FD5"/>
    <w:rsid w:val="00DD3FE5"/>
    <w:rsid w:val="00DD4311"/>
    <w:rsid w:val="00DD43F0"/>
    <w:rsid w:val="00DD4402"/>
    <w:rsid w:val="00DD4532"/>
    <w:rsid w:val="00DD4726"/>
    <w:rsid w:val="00DD499C"/>
    <w:rsid w:val="00DD4B30"/>
    <w:rsid w:val="00DD5153"/>
    <w:rsid w:val="00DD5163"/>
    <w:rsid w:val="00DD51FA"/>
    <w:rsid w:val="00DD5289"/>
    <w:rsid w:val="00DD534A"/>
    <w:rsid w:val="00DD54AB"/>
    <w:rsid w:val="00DD556E"/>
    <w:rsid w:val="00DD5634"/>
    <w:rsid w:val="00DD58D1"/>
    <w:rsid w:val="00DD5B77"/>
    <w:rsid w:val="00DD5BDC"/>
    <w:rsid w:val="00DD6022"/>
    <w:rsid w:val="00DD6597"/>
    <w:rsid w:val="00DD665D"/>
    <w:rsid w:val="00DD7201"/>
    <w:rsid w:val="00DD7328"/>
    <w:rsid w:val="00DD7633"/>
    <w:rsid w:val="00DD7B2B"/>
    <w:rsid w:val="00DD7E03"/>
    <w:rsid w:val="00DE0141"/>
    <w:rsid w:val="00DE01FE"/>
    <w:rsid w:val="00DE02ED"/>
    <w:rsid w:val="00DE05CE"/>
    <w:rsid w:val="00DE0907"/>
    <w:rsid w:val="00DE0BB0"/>
    <w:rsid w:val="00DE0DDF"/>
    <w:rsid w:val="00DE10EB"/>
    <w:rsid w:val="00DE1128"/>
    <w:rsid w:val="00DE14DA"/>
    <w:rsid w:val="00DE1638"/>
    <w:rsid w:val="00DE1EB1"/>
    <w:rsid w:val="00DE207D"/>
    <w:rsid w:val="00DE2225"/>
    <w:rsid w:val="00DE228E"/>
    <w:rsid w:val="00DE238A"/>
    <w:rsid w:val="00DE2411"/>
    <w:rsid w:val="00DE2492"/>
    <w:rsid w:val="00DE25D5"/>
    <w:rsid w:val="00DE261D"/>
    <w:rsid w:val="00DE2653"/>
    <w:rsid w:val="00DE2BED"/>
    <w:rsid w:val="00DE2D0F"/>
    <w:rsid w:val="00DE3466"/>
    <w:rsid w:val="00DE378F"/>
    <w:rsid w:val="00DE4078"/>
    <w:rsid w:val="00DE46B6"/>
    <w:rsid w:val="00DE4768"/>
    <w:rsid w:val="00DE48FB"/>
    <w:rsid w:val="00DE4AB5"/>
    <w:rsid w:val="00DE4ADB"/>
    <w:rsid w:val="00DE4B5D"/>
    <w:rsid w:val="00DE4F91"/>
    <w:rsid w:val="00DE512D"/>
    <w:rsid w:val="00DE52B8"/>
    <w:rsid w:val="00DE5487"/>
    <w:rsid w:val="00DE54E4"/>
    <w:rsid w:val="00DE5849"/>
    <w:rsid w:val="00DE59F1"/>
    <w:rsid w:val="00DE60BE"/>
    <w:rsid w:val="00DE61C0"/>
    <w:rsid w:val="00DE62BB"/>
    <w:rsid w:val="00DE6334"/>
    <w:rsid w:val="00DE6548"/>
    <w:rsid w:val="00DE6958"/>
    <w:rsid w:val="00DE6C28"/>
    <w:rsid w:val="00DE6EB5"/>
    <w:rsid w:val="00DE70CF"/>
    <w:rsid w:val="00DE70FC"/>
    <w:rsid w:val="00DE712D"/>
    <w:rsid w:val="00DE71BA"/>
    <w:rsid w:val="00DE7327"/>
    <w:rsid w:val="00DE7367"/>
    <w:rsid w:val="00DE7502"/>
    <w:rsid w:val="00DE755B"/>
    <w:rsid w:val="00DE7768"/>
    <w:rsid w:val="00DE799D"/>
    <w:rsid w:val="00DE7E1E"/>
    <w:rsid w:val="00DE7FDF"/>
    <w:rsid w:val="00DF03A6"/>
    <w:rsid w:val="00DF0518"/>
    <w:rsid w:val="00DF05FD"/>
    <w:rsid w:val="00DF066A"/>
    <w:rsid w:val="00DF0832"/>
    <w:rsid w:val="00DF0A11"/>
    <w:rsid w:val="00DF1924"/>
    <w:rsid w:val="00DF1A5B"/>
    <w:rsid w:val="00DF1B73"/>
    <w:rsid w:val="00DF1E3B"/>
    <w:rsid w:val="00DF1E5A"/>
    <w:rsid w:val="00DF208F"/>
    <w:rsid w:val="00DF2323"/>
    <w:rsid w:val="00DF233D"/>
    <w:rsid w:val="00DF2466"/>
    <w:rsid w:val="00DF2657"/>
    <w:rsid w:val="00DF2EBA"/>
    <w:rsid w:val="00DF3009"/>
    <w:rsid w:val="00DF3441"/>
    <w:rsid w:val="00DF37F0"/>
    <w:rsid w:val="00DF3881"/>
    <w:rsid w:val="00DF3E6F"/>
    <w:rsid w:val="00DF409E"/>
    <w:rsid w:val="00DF4307"/>
    <w:rsid w:val="00DF43C8"/>
    <w:rsid w:val="00DF44F4"/>
    <w:rsid w:val="00DF45CA"/>
    <w:rsid w:val="00DF4672"/>
    <w:rsid w:val="00DF46AD"/>
    <w:rsid w:val="00DF492B"/>
    <w:rsid w:val="00DF4D9B"/>
    <w:rsid w:val="00DF4ED7"/>
    <w:rsid w:val="00DF4EFA"/>
    <w:rsid w:val="00DF5058"/>
    <w:rsid w:val="00DF542B"/>
    <w:rsid w:val="00DF5680"/>
    <w:rsid w:val="00DF5762"/>
    <w:rsid w:val="00DF590A"/>
    <w:rsid w:val="00DF5978"/>
    <w:rsid w:val="00DF598B"/>
    <w:rsid w:val="00DF5CA3"/>
    <w:rsid w:val="00DF5E0E"/>
    <w:rsid w:val="00DF604D"/>
    <w:rsid w:val="00DF6658"/>
    <w:rsid w:val="00DF6E4B"/>
    <w:rsid w:val="00DF6EEF"/>
    <w:rsid w:val="00DF6F2F"/>
    <w:rsid w:val="00DF72EA"/>
    <w:rsid w:val="00DF762F"/>
    <w:rsid w:val="00DF7727"/>
    <w:rsid w:val="00DF774A"/>
    <w:rsid w:val="00DF77CD"/>
    <w:rsid w:val="00DF7C8F"/>
    <w:rsid w:val="00DF7E49"/>
    <w:rsid w:val="00E00036"/>
    <w:rsid w:val="00E0008D"/>
    <w:rsid w:val="00E00099"/>
    <w:rsid w:val="00E0015B"/>
    <w:rsid w:val="00E001A7"/>
    <w:rsid w:val="00E00370"/>
    <w:rsid w:val="00E00400"/>
    <w:rsid w:val="00E00576"/>
    <w:rsid w:val="00E0060E"/>
    <w:rsid w:val="00E00AD3"/>
    <w:rsid w:val="00E00C95"/>
    <w:rsid w:val="00E00EAB"/>
    <w:rsid w:val="00E01361"/>
    <w:rsid w:val="00E01535"/>
    <w:rsid w:val="00E01738"/>
    <w:rsid w:val="00E01769"/>
    <w:rsid w:val="00E01B18"/>
    <w:rsid w:val="00E01DC9"/>
    <w:rsid w:val="00E01F0B"/>
    <w:rsid w:val="00E02657"/>
    <w:rsid w:val="00E026BA"/>
    <w:rsid w:val="00E02AF4"/>
    <w:rsid w:val="00E02BE2"/>
    <w:rsid w:val="00E02F35"/>
    <w:rsid w:val="00E02FE2"/>
    <w:rsid w:val="00E032FC"/>
    <w:rsid w:val="00E03381"/>
    <w:rsid w:val="00E036F5"/>
    <w:rsid w:val="00E039EB"/>
    <w:rsid w:val="00E03AB5"/>
    <w:rsid w:val="00E03E44"/>
    <w:rsid w:val="00E04397"/>
    <w:rsid w:val="00E043F2"/>
    <w:rsid w:val="00E049EF"/>
    <w:rsid w:val="00E04E75"/>
    <w:rsid w:val="00E04F75"/>
    <w:rsid w:val="00E051E6"/>
    <w:rsid w:val="00E05253"/>
    <w:rsid w:val="00E054D5"/>
    <w:rsid w:val="00E055B7"/>
    <w:rsid w:val="00E05897"/>
    <w:rsid w:val="00E059E6"/>
    <w:rsid w:val="00E05B26"/>
    <w:rsid w:val="00E05CCD"/>
    <w:rsid w:val="00E05F8B"/>
    <w:rsid w:val="00E06534"/>
    <w:rsid w:val="00E0683B"/>
    <w:rsid w:val="00E0693A"/>
    <w:rsid w:val="00E06DFC"/>
    <w:rsid w:val="00E0701E"/>
    <w:rsid w:val="00E07179"/>
    <w:rsid w:val="00E0745F"/>
    <w:rsid w:val="00E0774C"/>
    <w:rsid w:val="00E07A6B"/>
    <w:rsid w:val="00E07B02"/>
    <w:rsid w:val="00E07CBC"/>
    <w:rsid w:val="00E07D19"/>
    <w:rsid w:val="00E07E25"/>
    <w:rsid w:val="00E100DC"/>
    <w:rsid w:val="00E10143"/>
    <w:rsid w:val="00E1022C"/>
    <w:rsid w:val="00E10983"/>
    <w:rsid w:val="00E10A2D"/>
    <w:rsid w:val="00E10B96"/>
    <w:rsid w:val="00E11241"/>
    <w:rsid w:val="00E116D5"/>
    <w:rsid w:val="00E117DD"/>
    <w:rsid w:val="00E118CB"/>
    <w:rsid w:val="00E11A15"/>
    <w:rsid w:val="00E11CF2"/>
    <w:rsid w:val="00E11DFC"/>
    <w:rsid w:val="00E11FFC"/>
    <w:rsid w:val="00E1240F"/>
    <w:rsid w:val="00E12BD8"/>
    <w:rsid w:val="00E12DFB"/>
    <w:rsid w:val="00E12FA7"/>
    <w:rsid w:val="00E12FD3"/>
    <w:rsid w:val="00E12FF4"/>
    <w:rsid w:val="00E130B6"/>
    <w:rsid w:val="00E132F0"/>
    <w:rsid w:val="00E1336E"/>
    <w:rsid w:val="00E13373"/>
    <w:rsid w:val="00E133A8"/>
    <w:rsid w:val="00E13476"/>
    <w:rsid w:val="00E13654"/>
    <w:rsid w:val="00E138D2"/>
    <w:rsid w:val="00E13CD9"/>
    <w:rsid w:val="00E13CF0"/>
    <w:rsid w:val="00E13DB3"/>
    <w:rsid w:val="00E13EAA"/>
    <w:rsid w:val="00E13F21"/>
    <w:rsid w:val="00E141E9"/>
    <w:rsid w:val="00E147E7"/>
    <w:rsid w:val="00E147F9"/>
    <w:rsid w:val="00E14A52"/>
    <w:rsid w:val="00E15024"/>
    <w:rsid w:val="00E15299"/>
    <w:rsid w:val="00E1532C"/>
    <w:rsid w:val="00E154AE"/>
    <w:rsid w:val="00E154C5"/>
    <w:rsid w:val="00E15C61"/>
    <w:rsid w:val="00E15CF4"/>
    <w:rsid w:val="00E15EBC"/>
    <w:rsid w:val="00E15F9B"/>
    <w:rsid w:val="00E16027"/>
    <w:rsid w:val="00E16054"/>
    <w:rsid w:val="00E16519"/>
    <w:rsid w:val="00E167E6"/>
    <w:rsid w:val="00E16845"/>
    <w:rsid w:val="00E16C04"/>
    <w:rsid w:val="00E16C29"/>
    <w:rsid w:val="00E16DF0"/>
    <w:rsid w:val="00E16FA5"/>
    <w:rsid w:val="00E17304"/>
    <w:rsid w:val="00E17427"/>
    <w:rsid w:val="00E17932"/>
    <w:rsid w:val="00E179D3"/>
    <w:rsid w:val="00E17A7B"/>
    <w:rsid w:val="00E17AD3"/>
    <w:rsid w:val="00E17C31"/>
    <w:rsid w:val="00E2004E"/>
    <w:rsid w:val="00E200EF"/>
    <w:rsid w:val="00E20123"/>
    <w:rsid w:val="00E202B1"/>
    <w:rsid w:val="00E20517"/>
    <w:rsid w:val="00E205EC"/>
    <w:rsid w:val="00E20CBA"/>
    <w:rsid w:val="00E2132D"/>
    <w:rsid w:val="00E2135D"/>
    <w:rsid w:val="00E217B0"/>
    <w:rsid w:val="00E2191B"/>
    <w:rsid w:val="00E219D8"/>
    <w:rsid w:val="00E21BC5"/>
    <w:rsid w:val="00E21D32"/>
    <w:rsid w:val="00E21ED2"/>
    <w:rsid w:val="00E226E1"/>
    <w:rsid w:val="00E228D4"/>
    <w:rsid w:val="00E2295F"/>
    <w:rsid w:val="00E22C3D"/>
    <w:rsid w:val="00E22ECD"/>
    <w:rsid w:val="00E230A0"/>
    <w:rsid w:val="00E23166"/>
    <w:rsid w:val="00E23385"/>
    <w:rsid w:val="00E2368E"/>
    <w:rsid w:val="00E23710"/>
    <w:rsid w:val="00E239E5"/>
    <w:rsid w:val="00E23A5B"/>
    <w:rsid w:val="00E23A8E"/>
    <w:rsid w:val="00E23B5E"/>
    <w:rsid w:val="00E23B67"/>
    <w:rsid w:val="00E23C3D"/>
    <w:rsid w:val="00E23FA4"/>
    <w:rsid w:val="00E242D1"/>
    <w:rsid w:val="00E24B91"/>
    <w:rsid w:val="00E24C79"/>
    <w:rsid w:val="00E2512A"/>
    <w:rsid w:val="00E2532D"/>
    <w:rsid w:val="00E25371"/>
    <w:rsid w:val="00E254B3"/>
    <w:rsid w:val="00E256D5"/>
    <w:rsid w:val="00E25C2C"/>
    <w:rsid w:val="00E25C3C"/>
    <w:rsid w:val="00E2615F"/>
    <w:rsid w:val="00E26580"/>
    <w:rsid w:val="00E26684"/>
    <w:rsid w:val="00E266BB"/>
    <w:rsid w:val="00E26766"/>
    <w:rsid w:val="00E26ADF"/>
    <w:rsid w:val="00E26B01"/>
    <w:rsid w:val="00E26B37"/>
    <w:rsid w:val="00E26C8A"/>
    <w:rsid w:val="00E26CB5"/>
    <w:rsid w:val="00E27163"/>
    <w:rsid w:val="00E272F6"/>
    <w:rsid w:val="00E27575"/>
    <w:rsid w:val="00E278F2"/>
    <w:rsid w:val="00E27D4D"/>
    <w:rsid w:val="00E27D88"/>
    <w:rsid w:val="00E30036"/>
    <w:rsid w:val="00E30447"/>
    <w:rsid w:val="00E30515"/>
    <w:rsid w:val="00E30683"/>
    <w:rsid w:val="00E3094C"/>
    <w:rsid w:val="00E30AA6"/>
    <w:rsid w:val="00E30B64"/>
    <w:rsid w:val="00E30E15"/>
    <w:rsid w:val="00E312AF"/>
    <w:rsid w:val="00E31337"/>
    <w:rsid w:val="00E315F3"/>
    <w:rsid w:val="00E31AA2"/>
    <w:rsid w:val="00E31B97"/>
    <w:rsid w:val="00E31C3C"/>
    <w:rsid w:val="00E31F01"/>
    <w:rsid w:val="00E32112"/>
    <w:rsid w:val="00E32266"/>
    <w:rsid w:val="00E3254F"/>
    <w:rsid w:val="00E32728"/>
    <w:rsid w:val="00E32929"/>
    <w:rsid w:val="00E32EBB"/>
    <w:rsid w:val="00E32FEF"/>
    <w:rsid w:val="00E3348C"/>
    <w:rsid w:val="00E33562"/>
    <w:rsid w:val="00E3385D"/>
    <w:rsid w:val="00E338F8"/>
    <w:rsid w:val="00E33BA8"/>
    <w:rsid w:val="00E33C08"/>
    <w:rsid w:val="00E33CC5"/>
    <w:rsid w:val="00E33F9B"/>
    <w:rsid w:val="00E33FF5"/>
    <w:rsid w:val="00E341D2"/>
    <w:rsid w:val="00E34419"/>
    <w:rsid w:val="00E344C1"/>
    <w:rsid w:val="00E345B7"/>
    <w:rsid w:val="00E345DF"/>
    <w:rsid w:val="00E346A2"/>
    <w:rsid w:val="00E348B1"/>
    <w:rsid w:val="00E34AAD"/>
    <w:rsid w:val="00E34BBA"/>
    <w:rsid w:val="00E34D52"/>
    <w:rsid w:val="00E3504C"/>
    <w:rsid w:val="00E351D2"/>
    <w:rsid w:val="00E353B5"/>
    <w:rsid w:val="00E35500"/>
    <w:rsid w:val="00E35C5A"/>
    <w:rsid w:val="00E35C86"/>
    <w:rsid w:val="00E363C7"/>
    <w:rsid w:val="00E36445"/>
    <w:rsid w:val="00E3653B"/>
    <w:rsid w:val="00E367EF"/>
    <w:rsid w:val="00E36C5F"/>
    <w:rsid w:val="00E36D66"/>
    <w:rsid w:val="00E36E34"/>
    <w:rsid w:val="00E37138"/>
    <w:rsid w:val="00E3717E"/>
    <w:rsid w:val="00E3742A"/>
    <w:rsid w:val="00E37691"/>
    <w:rsid w:val="00E37845"/>
    <w:rsid w:val="00E37A10"/>
    <w:rsid w:val="00E37AC1"/>
    <w:rsid w:val="00E37CFE"/>
    <w:rsid w:val="00E37E5A"/>
    <w:rsid w:val="00E37EA5"/>
    <w:rsid w:val="00E37FAA"/>
    <w:rsid w:val="00E40203"/>
    <w:rsid w:val="00E402A3"/>
    <w:rsid w:val="00E40405"/>
    <w:rsid w:val="00E40547"/>
    <w:rsid w:val="00E4083F"/>
    <w:rsid w:val="00E409EB"/>
    <w:rsid w:val="00E40A23"/>
    <w:rsid w:val="00E40A2A"/>
    <w:rsid w:val="00E40DFB"/>
    <w:rsid w:val="00E40FCD"/>
    <w:rsid w:val="00E41235"/>
    <w:rsid w:val="00E413B8"/>
    <w:rsid w:val="00E41517"/>
    <w:rsid w:val="00E41616"/>
    <w:rsid w:val="00E4184A"/>
    <w:rsid w:val="00E418DC"/>
    <w:rsid w:val="00E419A6"/>
    <w:rsid w:val="00E419DA"/>
    <w:rsid w:val="00E41B9C"/>
    <w:rsid w:val="00E41BBC"/>
    <w:rsid w:val="00E41D12"/>
    <w:rsid w:val="00E41DE3"/>
    <w:rsid w:val="00E41DE7"/>
    <w:rsid w:val="00E41F67"/>
    <w:rsid w:val="00E42159"/>
    <w:rsid w:val="00E4221D"/>
    <w:rsid w:val="00E422B3"/>
    <w:rsid w:val="00E4237B"/>
    <w:rsid w:val="00E4247E"/>
    <w:rsid w:val="00E427E7"/>
    <w:rsid w:val="00E427F7"/>
    <w:rsid w:val="00E428F9"/>
    <w:rsid w:val="00E42CFE"/>
    <w:rsid w:val="00E42D1B"/>
    <w:rsid w:val="00E43038"/>
    <w:rsid w:val="00E430E1"/>
    <w:rsid w:val="00E4318B"/>
    <w:rsid w:val="00E43711"/>
    <w:rsid w:val="00E43B04"/>
    <w:rsid w:val="00E43E76"/>
    <w:rsid w:val="00E4404F"/>
    <w:rsid w:val="00E441ED"/>
    <w:rsid w:val="00E444F8"/>
    <w:rsid w:val="00E446EF"/>
    <w:rsid w:val="00E44746"/>
    <w:rsid w:val="00E44752"/>
    <w:rsid w:val="00E44AED"/>
    <w:rsid w:val="00E44DFE"/>
    <w:rsid w:val="00E44E60"/>
    <w:rsid w:val="00E44EC1"/>
    <w:rsid w:val="00E44F30"/>
    <w:rsid w:val="00E45322"/>
    <w:rsid w:val="00E455CB"/>
    <w:rsid w:val="00E45795"/>
    <w:rsid w:val="00E45A3F"/>
    <w:rsid w:val="00E45CEF"/>
    <w:rsid w:val="00E45D7E"/>
    <w:rsid w:val="00E45DDB"/>
    <w:rsid w:val="00E45E5F"/>
    <w:rsid w:val="00E45E90"/>
    <w:rsid w:val="00E45EDA"/>
    <w:rsid w:val="00E461D8"/>
    <w:rsid w:val="00E462BD"/>
    <w:rsid w:val="00E46815"/>
    <w:rsid w:val="00E468E5"/>
    <w:rsid w:val="00E46AB3"/>
    <w:rsid w:val="00E46CBD"/>
    <w:rsid w:val="00E47059"/>
    <w:rsid w:val="00E470B4"/>
    <w:rsid w:val="00E474C2"/>
    <w:rsid w:val="00E479B2"/>
    <w:rsid w:val="00E47A30"/>
    <w:rsid w:val="00E47B55"/>
    <w:rsid w:val="00E47DFE"/>
    <w:rsid w:val="00E47EBF"/>
    <w:rsid w:val="00E47F57"/>
    <w:rsid w:val="00E50216"/>
    <w:rsid w:val="00E50651"/>
    <w:rsid w:val="00E50684"/>
    <w:rsid w:val="00E506B2"/>
    <w:rsid w:val="00E506B6"/>
    <w:rsid w:val="00E5086C"/>
    <w:rsid w:val="00E50D19"/>
    <w:rsid w:val="00E51122"/>
    <w:rsid w:val="00E511D8"/>
    <w:rsid w:val="00E5153F"/>
    <w:rsid w:val="00E5251E"/>
    <w:rsid w:val="00E5259E"/>
    <w:rsid w:val="00E525B8"/>
    <w:rsid w:val="00E529F7"/>
    <w:rsid w:val="00E52A98"/>
    <w:rsid w:val="00E52D45"/>
    <w:rsid w:val="00E52F0F"/>
    <w:rsid w:val="00E52F5E"/>
    <w:rsid w:val="00E5300C"/>
    <w:rsid w:val="00E5322A"/>
    <w:rsid w:val="00E5329D"/>
    <w:rsid w:val="00E535F2"/>
    <w:rsid w:val="00E536BF"/>
    <w:rsid w:val="00E53757"/>
    <w:rsid w:val="00E53ADB"/>
    <w:rsid w:val="00E5419F"/>
    <w:rsid w:val="00E54281"/>
    <w:rsid w:val="00E54376"/>
    <w:rsid w:val="00E544BE"/>
    <w:rsid w:val="00E54A5E"/>
    <w:rsid w:val="00E54D23"/>
    <w:rsid w:val="00E54EFF"/>
    <w:rsid w:val="00E550BA"/>
    <w:rsid w:val="00E55184"/>
    <w:rsid w:val="00E55512"/>
    <w:rsid w:val="00E55614"/>
    <w:rsid w:val="00E559F9"/>
    <w:rsid w:val="00E55C00"/>
    <w:rsid w:val="00E55D4D"/>
    <w:rsid w:val="00E56462"/>
    <w:rsid w:val="00E56A40"/>
    <w:rsid w:val="00E5703B"/>
    <w:rsid w:val="00E570E9"/>
    <w:rsid w:val="00E571FB"/>
    <w:rsid w:val="00E57331"/>
    <w:rsid w:val="00E5755B"/>
    <w:rsid w:val="00E57965"/>
    <w:rsid w:val="00E57AFC"/>
    <w:rsid w:val="00E57B66"/>
    <w:rsid w:val="00E57DE4"/>
    <w:rsid w:val="00E57ED7"/>
    <w:rsid w:val="00E6062B"/>
    <w:rsid w:val="00E606FE"/>
    <w:rsid w:val="00E60ADA"/>
    <w:rsid w:val="00E60B5F"/>
    <w:rsid w:val="00E60FFC"/>
    <w:rsid w:val="00E61113"/>
    <w:rsid w:val="00E61187"/>
    <w:rsid w:val="00E61239"/>
    <w:rsid w:val="00E6129F"/>
    <w:rsid w:val="00E61394"/>
    <w:rsid w:val="00E613E4"/>
    <w:rsid w:val="00E6143C"/>
    <w:rsid w:val="00E617D8"/>
    <w:rsid w:val="00E61C12"/>
    <w:rsid w:val="00E61C34"/>
    <w:rsid w:val="00E61CCB"/>
    <w:rsid w:val="00E61FA7"/>
    <w:rsid w:val="00E624FC"/>
    <w:rsid w:val="00E62554"/>
    <w:rsid w:val="00E6287D"/>
    <w:rsid w:val="00E62B84"/>
    <w:rsid w:val="00E62EF0"/>
    <w:rsid w:val="00E63584"/>
    <w:rsid w:val="00E635D4"/>
    <w:rsid w:val="00E63785"/>
    <w:rsid w:val="00E637A2"/>
    <w:rsid w:val="00E63841"/>
    <w:rsid w:val="00E6385E"/>
    <w:rsid w:val="00E639F3"/>
    <w:rsid w:val="00E63A88"/>
    <w:rsid w:val="00E63D3B"/>
    <w:rsid w:val="00E63FAA"/>
    <w:rsid w:val="00E64A01"/>
    <w:rsid w:val="00E64C27"/>
    <w:rsid w:val="00E64EBC"/>
    <w:rsid w:val="00E64ECA"/>
    <w:rsid w:val="00E64F53"/>
    <w:rsid w:val="00E6518E"/>
    <w:rsid w:val="00E652A9"/>
    <w:rsid w:val="00E65429"/>
    <w:rsid w:val="00E65487"/>
    <w:rsid w:val="00E65540"/>
    <w:rsid w:val="00E65727"/>
    <w:rsid w:val="00E65855"/>
    <w:rsid w:val="00E65A9C"/>
    <w:rsid w:val="00E65EC2"/>
    <w:rsid w:val="00E6621E"/>
    <w:rsid w:val="00E665E1"/>
    <w:rsid w:val="00E666FB"/>
    <w:rsid w:val="00E66A4B"/>
    <w:rsid w:val="00E66C1F"/>
    <w:rsid w:val="00E66DF5"/>
    <w:rsid w:val="00E66F1B"/>
    <w:rsid w:val="00E6733E"/>
    <w:rsid w:val="00E67377"/>
    <w:rsid w:val="00E67726"/>
    <w:rsid w:val="00E677CD"/>
    <w:rsid w:val="00E6796E"/>
    <w:rsid w:val="00E679D6"/>
    <w:rsid w:val="00E705EE"/>
    <w:rsid w:val="00E707AC"/>
    <w:rsid w:val="00E707B7"/>
    <w:rsid w:val="00E709F0"/>
    <w:rsid w:val="00E70B7A"/>
    <w:rsid w:val="00E70BAD"/>
    <w:rsid w:val="00E70BE1"/>
    <w:rsid w:val="00E710AB"/>
    <w:rsid w:val="00E712F9"/>
    <w:rsid w:val="00E7133E"/>
    <w:rsid w:val="00E7145B"/>
    <w:rsid w:val="00E71537"/>
    <w:rsid w:val="00E716CA"/>
    <w:rsid w:val="00E7172C"/>
    <w:rsid w:val="00E71F32"/>
    <w:rsid w:val="00E71F79"/>
    <w:rsid w:val="00E72040"/>
    <w:rsid w:val="00E720A6"/>
    <w:rsid w:val="00E72116"/>
    <w:rsid w:val="00E72347"/>
    <w:rsid w:val="00E723DC"/>
    <w:rsid w:val="00E7241B"/>
    <w:rsid w:val="00E72513"/>
    <w:rsid w:val="00E725D0"/>
    <w:rsid w:val="00E72676"/>
    <w:rsid w:val="00E72A47"/>
    <w:rsid w:val="00E72AA1"/>
    <w:rsid w:val="00E72C6A"/>
    <w:rsid w:val="00E72C94"/>
    <w:rsid w:val="00E72EE4"/>
    <w:rsid w:val="00E72F74"/>
    <w:rsid w:val="00E730F7"/>
    <w:rsid w:val="00E7328F"/>
    <w:rsid w:val="00E7342D"/>
    <w:rsid w:val="00E73440"/>
    <w:rsid w:val="00E73662"/>
    <w:rsid w:val="00E73767"/>
    <w:rsid w:val="00E73BCD"/>
    <w:rsid w:val="00E73DAB"/>
    <w:rsid w:val="00E73FDC"/>
    <w:rsid w:val="00E7404C"/>
    <w:rsid w:val="00E7405B"/>
    <w:rsid w:val="00E745B4"/>
    <w:rsid w:val="00E745E6"/>
    <w:rsid w:val="00E74766"/>
    <w:rsid w:val="00E747F2"/>
    <w:rsid w:val="00E7483F"/>
    <w:rsid w:val="00E749EE"/>
    <w:rsid w:val="00E74E9E"/>
    <w:rsid w:val="00E74EC2"/>
    <w:rsid w:val="00E750FD"/>
    <w:rsid w:val="00E75275"/>
    <w:rsid w:val="00E7528C"/>
    <w:rsid w:val="00E7529E"/>
    <w:rsid w:val="00E754EB"/>
    <w:rsid w:val="00E75A2A"/>
    <w:rsid w:val="00E75D7D"/>
    <w:rsid w:val="00E75F5D"/>
    <w:rsid w:val="00E766B4"/>
    <w:rsid w:val="00E76733"/>
    <w:rsid w:val="00E76952"/>
    <w:rsid w:val="00E769EA"/>
    <w:rsid w:val="00E76E7C"/>
    <w:rsid w:val="00E76EFD"/>
    <w:rsid w:val="00E76F1A"/>
    <w:rsid w:val="00E770CF"/>
    <w:rsid w:val="00E770E9"/>
    <w:rsid w:val="00E770FE"/>
    <w:rsid w:val="00E77272"/>
    <w:rsid w:val="00E777A5"/>
    <w:rsid w:val="00E77E1B"/>
    <w:rsid w:val="00E77EF2"/>
    <w:rsid w:val="00E80716"/>
    <w:rsid w:val="00E8071F"/>
    <w:rsid w:val="00E8096B"/>
    <w:rsid w:val="00E80A4B"/>
    <w:rsid w:val="00E80BAB"/>
    <w:rsid w:val="00E80F7A"/>
    <w:rsid w:val="00E813AE"/>
    <w:rsid w:val="00E813B0"/>
    <w:rsid w:val="00E814AD"/>
    <w:rsid w:val="00E81512"/>
    <w:rsid w:val="00E81556"/>
    <w:rsid w:val="00E81612"/>
    <w:rsid w:val="00E81752"/>
    <w:rsid w:val="00E81977"/>
    <w:rsid w:val="00E81E11"/>
    <w:rsid w:val="00E81EBC"/>
    <w:rsid w:val="00E82144"/>
    <w:rsid w:val="00E82307"/>
    <w:rsid w:val="00E8250E"/>
    <w:rsid w:val="00E82534"/>
    <w:rsid w:val="00E8298B"/>
    <w:rsid w:val="00E82E76"/>
    <w:rsid w:val="00E82FC6"/>
    <w:rsid w:val="00E832A2"/>
    <w:rsid w:val="00E835C1"/>
    <w:rsid w:val="00E835E3"/>
    <w:rsid w:val="00E83B56"/>
    <w:rsid w:val="00E83E68"/>
    <w:rsid w:val="00E83EA3"/>
    <w:rsid w:val="00E83F7C"/>
    <w:rsid w:val="00E83FCD"/>
    <w:rsid w:val="00E840F6"/>
    <w:rsid w:val="00E8442B"/>
    <w:rsid w:val="00E8484D"/>
    <w:rsid w:val="00E849CD"/>
    <w:rsid w:val="00E84CAD"/>
    <w:rsid w:val="00E85105"/>
    <w:rsid w:val="00E8529B"/>
    <w:rsid w:val="00E8529D"/>
    <w:rsid w:val="00E854CB"/>
    <w:rsid w:val="00E85676"/>
    <w:rsid w:val="00E8569D"/>
    <w:rsid w:val="00E85A2E"/>
    <w:rsid w:val="00E85D53"/>
    <w:rsid w:val="00E85FC7"/>
    <w:rsid w:val="00E861D3"/>
    <w:rsid w:val="00E8629A"/>
    <w:rsid w:val="00E8629B"/>
    <w:rsid w:val="00E86581"/>
    <w:rsid w:val="00E865F7"/>
    <w:rsid w:val="00E86827"/>
    <w:rsid w:val="00E86BAE"/>
    <w:rsid w:val="00E86E26"/>
    <w:rsid w:val="00E8701B"/>
    <w:rsid w:val="00E872EA"/>
    <w:rsid w:val="00E8736D"/>
    <w:rsid w:val="00E87714"/>
    <w:rsid w:val="00E87F6F"/>
    <w:rsid w:val="00E90194"/>
    <w:rsid w:val="00E9050E"/>
    <w:rsid w:val="00E90897"/>
    <w:rsid w:val="00E908A1"/>
    <w:rsid w:val="00E90923"/>
    <w:rsid w:val="00E90938"/>
    <w:rsid w:val="00E90975"/>
    <w:rsid w:val="00E90E25"/>
    <w:rsid w:val="00E90FA9"/>
    <w:rsid w:val="00E914F1"/>
    <w:rsid w:val="00E91505"/>
    <w:rsid w:val="00E91765"/>
    <w:rsid w:val="00E91BA5"/>
    <w:rsid w:val="00E91CD2"/>
    <w:rsid w:val="00E91F7E"/>
    <w:rsid w:val="00E92116"/>
    <w:rsid w:val="00E92161"/>
    <w:rsid w:val="00E92318"/>
    <w:rsid w:val="00E9240D"/>
    <w:rsid w:val="00E925B4"/>
    <w:rsid w:val="00E9267F"/>
    <w:rsid w:val="00E9269C"/>
    <w:rsid w:val="00E92ADD"/>
    <w:rsid w:val="00E92B4F"/>
    <w:rsid w:val="00E92BD3"/>
    <w:rsid w:val="00E92CD7"/>
    <w:rsid w:val="00E92CEA"/>
    <w:rsid w:val="00E9319A"/>
    <w:rsid w:val="00E932AB"/>
    <w:rsid w:val="00E932C2"/>
    <w:rsid w:val="00E933D2"/>
    <w:rsid w:val="00E93796"/>
    <w:rsid w:val="00E93840"/>
    <w:rsid w:val="00E93D1F"/>
    <w:rsid w:val="00E93D34"/>
    <w:rsid w:val="00E93F22"/>
    <w:rsid w:val="00E94298"/>
    <w:rsid w:val="00E94457"/>
    <w:rsid w:val="00E9465A"/>
    <w:rsid w:val="00E946E4"/>
    <w:rsid w:val="00E948F7"/>
    <w:rsid w:val="00E94C03"/>
    <w:rsid w:val="00E94DEC"/>
    <w:rsid w:val="00E956C9"/>
    <w:rsid w:val="00E9576E"/>
    <w:rsid w:val="00E9581A"/>
    <w:rsid w:val="00E95AF9"/>
    <w:rsid w:val="00E95D2A"/>
    <w:rsid w:val="00E95DD2"/>
    <w:rsid w:val="00E95F38"/>
    <w:rsid w:val="00E96213"/>
    <w:rsid w:val="00E966B5"/>
    <w:rsid w:val="00E96762"/>
    <w:rsid w:val="00E9680E"/>
    <w:rsid w:val="00E968B5"/>
    <w:rsid w:val="00E9695E"/>
    <w:rsid w:val="00E969F4"/>
    <w:rsid w:val="00E96CFA"/>
    <w:rsid w:val="00E972E2"/>
    <w:rsid w:val="00E973B9"/>
    <w:rsid w:val="00E97482"/>
    <w:rsid w:val="00E976A7"/>
    <w:rsid w:val="00E97C17"/>
    <w:rsid w:val="00E97F1A"/>
    <w:rsid w:val="00EA01D6"/>
    <w:rsid w:val="00EA04E1"/>
    <w:rsid w:val="00EA07CE"/>
    <w:rsid w:val="00EA0890"/>
    <w:rsid w:val="00EA098C"/>
    <w:rsid w:val="00EA09B6"/>
    <w:rsid w:val="00EA0BB0"/>
    <w:rsid w:val="00EA119E"/>
    <w:rsid w:val="00EA1552"/>
    <w:rsid w:val="00EA15F6"/>
    <w:rsid w:val="00EA1715"/>
    <w:rsid w:val="00EA1772"/>
    <w:rsid w:val="00EA1B33"/>
    <w:rsid w:val="00EA1C9A"/>
    <w:rsid w:val="00EA1D8C"/>
    <w:rsid w:val="00EA1DD8"/>
    <w:rsid w:val="00EA1FCB"/>
    <w:rsid w:val="00EA20E1"/>
    <w:rsid w:val="00EA24A5"/>
    <w:rsid w:val="00EA2AA1"/>
    <w:rsid w:val="00EA2F2E"/>
    <w:rsid w:val="00EA2F84"/>
    <w:rsid w:val="00EA3160"/>
    <w:rsid w:val="00EA3224"/>
    <w:rsid w:val="00EA32E7"/>
    <w:rsid w:val="00EA33BB"/>
    <w:rsid w:val="00EA3480"/>
    <w:rsid w:val="00EA3B95"/>
    <w:rsid w:val="00EA3C86"/>
    <w:rsid w:val="00EA3CCE"/>
    <w:rsid w:val="00EA3F34"/>
    <w:rsid w:val="00EA41CD"/>
    <w:rsid w:val="00EA4230"/>
    <w:rsid w:val="00EA4328"/>
    <w:rsid w:val="00EA43F0"/>
    <w:rsid w:val="00EA4A71"/>
    <w:rsid w:val="00EA4B35"/>
    <w:rsid w:val="00EA4D1A"/>
    <w:rsid w:val="00EA4DC8"/>
    <w:rsid w:val="00EA4FB3"/>
    <w:rsid w:val="00EA4FC8"/>
    <w:rsid w:val="00EA4FF8"/>
    <w:rsid w:val="00EA50A9"/>
    <w:rsid w:val="00EA5202"/>
    <w:rsid w:val="00EA5223"/>
    <w:rsid w:val="00EA542C"/>
    <w:rsid w:val="00EA54B0"/>
    <w:rsid w:val="00EA54FA"/>
    <w:rsid w:val="00EA5A29"/>
    <w:rsid w:val="00EA5C90"/>
    <w:rsid w:val="00EA5CCD"/>
    <w:rsid w:val="00EA5E84"/>
    <w:rsid w:val="00EA6168"/>
    <w:rsid w:val="00EA6571"/>
    <w:rsid w:val="00EA6689"/>
    <w:rsid w:val="00EA6927"/>
    <w:rsid w:val="00EA6BB7"/>
    <w:rsid w:val="00EA6E46"/>
    <w:rsid w:val="00EA6EA8"/>
    <w:rsid w:val="00EA6FD5"/>
    <w:rsid w:val="00EA7509"/>
    <w:rsid w:val="00EA76FF"/>
    <w:rsid w:val="00EA7803"/>
    <w:rsid w:val="00EB018A"/>
    <w:rsid w:val="00EB03FB"/>
    <w:rsid w:val="00EB0923"/>
    <w:rsid w:val="00EB0A2F"/>
    <w:rsid w:val="00EB0ADD"/>
    <w:rsid w:val="00EB0BAD"/>
    <w:rsid w:val="00EB0D61"/>
    <w:rsid w:val="00EB126A"/>
    <w:rsid w:val="00EB1344"/>
    <w:rsid w:val="00EB141B"/>
    <w:rsid w:val="00EB168D"/>
    <w:rsid w:val="00EB16F1"/>
    <w:rsid w:val="00EB17C5"/>
    <w:rsid w:val="00EB18A4"/>
    <w:rsid w:val="00EB18F2"/>
    <w:rsid w:val="00EB1A3A"/>
    <w:rsid w:val="00EB1BB8"/>
    <w:rsid w:val="00EB1BC2"/>
    <w:rsid w:val="00EB2241"/>
    <w:rsid w:val="00EB2270"/>
    <w:rsid w:val="00EB2581"/>
    <w:rsid w:val="00EB2680"/>
    <w:rsid w:val="00EB29CF"/>
    <w:rsid w:val="00EB2BD5"/>
    <w:rsid w:val="00EB340B"/>
    <w:rsid w:val="00EB344B"/>
    <w:rsid w:val="00EB3576"/>
    <w:rsid w:val="00EB36EC"/>
    <w:rsid w:val="00EB37D1"/>
    <w:rsid w:val="00EB3977"/>
    <w:rsid w:val="00EB39DC"/>
    <w:rsid w:val="00EB3BC2"/>
    <w:rsid w:val="00EB3EEA"/>
    <w:rsid w:val="00EB3FE1"/>
    <w:rsid w:val="00EB404D"/>
    <w:rsid w:val="00EB4288"/>
    <w:rsid w:val="00EB4369"/>
    <w:rsid w:val="00EB486A"/>
    <w:rsid w:val="00EB48AF"/>
    <w:rsid w:val="00EB49F1"/>
    <w:rsid w:val="00EB4CBB"/>
    <w:rsid w:val="00EB50F0"/>
    <w:rsid w:val="00EB5171"/>
    <w:rsid w:val="00EB5313"/>
    <w:rsid w:val="00EB547C"/>
    <w:rsid w:val="00EB55A8"/>
    <w:rsid w:val="00EB55D9"/>
    <w:rsid w:val="00EB5645"/>
    <w:rsid w:val="00EB5688"/>
    <w:rsid w:val="00EB5A66"/>
    <w:rsid w:val="00EB5D21"/>
    <w:rsid w:val="00EB5E40"/>
    <w:rsid w:val="00EB619C"/>
    <w:rsid w:val="00EB623D"/>
    <w:rsid w:val="00EB62E0"/>
    <w:rsid w:val="00EB638B"/>
    <w:rsid w:val="00EB67E4"/>
    <w:rsid w:val="00EB67F0"/>
    <w:rsid w:val="00EB6964"/>
    <w:rsid w:val="00EB6A8E"/>
    <w:rsid w:val="00EB6C6C"/>
    <w:rsid w:val="00EB6D00"/>
    <w:rsid w:val="00EB7185"/>
    <w:rsid w:val="00EB71D1"/>
    <w:rsid w:val="00EB7391"/>
    <w:rsid w:val="00EB7758"/>
    <w:rsid w:val="00EB7830"/>
    <w:rsid w:val="00EB7862"/>
    <w:rsid w:val="00EB78B5"/>
    <w:rsid w:val="00EB7947"/>
    <w:rsid w:val="00EB7AF5"/>
    <w:rsid w:val="00EB7B34"/>
    <w:rsid w:val="00EB7C6B"/>
    <w:rsid w:val="00EB7D4D"/>
    <w:rsid w:val="00EB7FF4"/>
    <w:rsid w:val="00EC0393"/>
    <w:rsid w:val="00EC04DB"/>
    <w:rsid w:val="00EC06C2"/>
    <w:rsid w:val="00EC079E"/>
    <w:rsid w:val="00EC082C"/>
    <w:rsid w:val="00EC0AE9"/>
    <w:rsid w:val="00EC0BF7"/>
    <w:rsid w:val="00EC0E0D"/>
    <w:rsid w:val="00EC0E4F"/>
    <w:rsid w:val="00EC0ECD"/>
    <w:rsid w:val="00EC1511"/>
    <w:rsid w:val="00EC15AA"/>
    <w:rsid w:val="00EC15B1"/>
    <w:rsid w:val="00EC1928"/>
    <w:rsid w:val="00EC199C"/>
    <w:rsid w:val="00EC2473"/>
    <w:rsid w:val="00EC2578"/>
    <w:rsid w:val="00EC2654"/>
    <w:rsid w:val="00EC2827"/>
    <w:rsid w:val="00EC291A"/>
    <w:rsid w:val="00EC2B4F"/>
    <w:rsid w:val="00EC2C58"/>
    <w:rsid w:val="00EC2CF4"/>
    <w:rsid w:val="00EC3085"/>
    <w:rsid w:val="00EC30B4"/>
    <w:rsid w:val="00EC317F"/>
    <w:rsid w:val="00EC31E1"/>
    <w:rsid w:val="00EC32A9"/>
    <w:rsid w:val="00EC37AD"/>
    <w:rsid w:val="00EC3CB4"/>
    <w:rsid w:val="00EC3D2E"/>
    <w:rsid w:val="00EC3E87"/>
    <w:rsid w:val="00EC412C"/>
    <w:rsid w:val="00EC41E0"/>
    <w:rsid w:val="00EC422C"/>
    <w:rsid w:val="00EC46EC"/>
    <w:rsid w:val="00EC4700"/>
    <w:rsid w:val="00EC476F"/>
    <w:rsid w:val="00EC4826"/>
    <w:rsid w:val="00EC48FB"/>
    <w:rsid w:val="00EC4BE5"/>
    <w:rsid w:val="00EC4CD3"/>
    <w:rsid w:val="00EC4D23"/>
    <w:rsid w:val="00EC4FE0"/>
    <w:rsid w:val="00EC5436"/>
    <w:rsid w:val="00EC5443"/>
    <w:rsid w:val="00EC54A8"/>
    <w:rsid w:val="00EC5516"/>
    <w:rsid w:val="00EC5589"/>
    <w:rsid w:val="00EC5884"/>
    <w:rsid w:val="00EC5EA4"/>
    <w:rsid w:val="00EC6240"/>
    <w:rsid w:val="00EC62D6"/>
    <w:rsid w:val="00EC63B6"/>
    <w:rsid w:val="00EC68CB"/>
    <w:rsid w:val="00EC6C33"/>
    <w:rsid w:val="00EC6C3B"/>
    <w:rsid w:val="00EC6EEE"/>
    <w:rsid w:val="00EC7211"/>
    <w:rsid w:val="00EC7315"/>
    <w:rsid w:val="00EC75A0"/>
    <w:rsid w:val="00EC78E5"/>
    <w:rsid w:val="00EC795F"/>
    <w:rsid w:val="00EC7F4D"/>
    <w:rsid w:val="00ED0102"/>
    <w:rsid w:val="00ED02DA"/>
    <w:rsid w:val="00ED06E6"/>
    <w:rsid w:val="00ED0A2A"/>
    <w:rsid w:val="00ED0B4B"/>
    <w:rsid w:val="00ED0C4F"/>
    <w:rsid w:val="00ED0D0A"/>
    <w:rsid w:val="00ED1032"/>
    <w:rsid w:val="00ED10A3"/>
    <w:rsid w:val="00ED16AE"/>
    <w:rsid w:val="00ED1707"/>
    <w:rsid w:val="00ED18F6"/>
    <w:rsid w:val="00ED1955"/>
    <w:rsid w:val="00ED2F76"/>
    <w:rsid w:val="00ED2FC3"/>
    <w:rsid w:val="00ED347C"/>
    <w:rsid w:val="00ED3718"/>
    <w:rsid w:val="00ED3BEF"/>
    <w:rsid w:val="00ED3EDE"/>
    <w:rsid w:val="00ED3F0F"/>
    <w:rsid w:val="00ED42F6"/>
    <w:rsid w:val="00ED4390"/>
    <w:rsid w:val="00ED43BB"/>
    <w:rsid w:val="00ED4BF8"/>
    <w:rsid w:val="00ED4CBE"/>
    <w:rsid w:val="00ED4FEF"/>
    <w:rsid w:val="00ED5248"/>
    <w:rsid w:val="00ED52EC"/>
    <w:rsid w:val="00ED5806"/>
    <w:rsid w:val="00ED584F"/>
    <w:rsid w:val="00ED5880"/>
    <w:rsid w:val="00ED59D7"/>
    <w:rsid w:val="00ED5CA8"/>
    <w:rsid w:val="00ED5D6A"/>
    <w:rsid w:val="00ED5DF5"/>
    <w:rsid w:val="00ED5E54"/>
    <w:rsid w:val="00ED5F43"/>
    <w:rsid w:val="00ED65B0"/>
    <w:rsid w:val="00ED680B"/>
    <w:rsid w:val="00ED697E"/>
    <w:rsid w:val="00ED6C63"/>
    <w:rsid w:val="00ED6C7F"/>
    <w:rsid w:val="00ED6DFD"/>
    <w:rsid w:val="00ED6E40"/>
    <w:rsid w:val="00ED79FE"/>
    <w:rsid w:val="00ED7B50"/>
    <w:rsid w:val="00EE00DE"/>
    <w:rsid w:val="00EE07C3"/>
    <w:rsid w:val="00EE099C"/>
    <w:rsid w:val="00EE0BF0"/>
    <w:rsid w:val="00EE0FDB"/>
    <w:rsid w:val="00EE1103"/>
    <w:rsid w:val="00EE11F1"/>
    <w:rsid w:val="00EE160B"/>
    <w:rsid w:val="00EE17AB"/>
    <w:rsid w:val="00EE1C49"/>
    <w:rsid w:val="00EE1ED6"/>
    <w:rsid w:val="00EE255A"/>
    <w:rsid w:val="00EE25DD"/>
    <w:rsid w:val="00EE2A69"/>
    <w:rsid w:val="00EE2A6E"/>
    <w:rsid w:val="00EE2FA8"/>
    <w:rsid w:val="00EE3565"/>
    <w:rsid w:val="00EE3822"/>
    <w:rsid w:val="00EE386E"/>
    <w:rsid w:val="00EE3D5B"/>
    <w:rsid w:val="00EE42CB"/>
    <w:rsid w:val="00EE4766"/>
    <w:rsid w:val="00EE47DF"/>
    <w:rsid w:val="00EE4C73"/>
    <w:rsid w:val="00EE4D3F"/>
    <w:rsid w:val="00EE555B"/>
    <w:rsid w:val="00EE58BB"/>
    <w:rsid w:val="00EE5AFB"/>
    <w:rsid w:val="00EE5E0C"/>
    <w:rsid w:val="00EE6AAB"/>
    <w:rsid w:val="00EE6D37"/>
    <w:rsid w:val="00EE6D67"/>
    <w:rsid w:val="00EE7342"/>
    <w:rsid w:val="00EE7455"/>
    <w:rsid w:val="00EE7473"/>
    <w:rsid w:val="00EE7502"/>
    <w:rsid w:val="00EE751B"/>
    <w:rsid w:val="00EE75B0"/>
    <w:rsid w:val="00EE7717"/>
    <w:rsid w:val="00EE7744"/>
    <w:rsid w:val="00EE7AAC"/>
    <w:rsid w:val="00EE7AFC"/>
    <w:rsid w:val="00EE7C8D"/>
    <w:rsid w:val="00EE7D96"/>
    <w:rsid w:val="00EF01D4"/>
    <w:rsid w:val="00EF0527"/>
    <w:rsid w:val="00EF0541"/>
    <w:rsid w:val="00EF0900"/>
    <w:rsid w:val="00EF0993"/>
    <w:rsid w:val="00EF0DE1"/>
    <w:rsid w:val="00EF125C"/>
    <w:rsid w:val="00EF1391"/>
    <w:rsid w:val="00EF160D"/>
    <w:rsid w:val="00EF181C"/>
    <w:rsid w:val="00EF1918"/>
    <w:rsid w:val="00EF197F"/>
    <w:rsid w:val="00EF198B"/>
    <w:rsid w:val="00EF1A3D"/>
    <w:rsid w:val="00EF25DF"/>
    <w:rsid w:val="00EF29C5"/>
    <w:rsid w:val="00EF2C36"/>
    <w:rsid w:val="00EF2E93"/>
    <w:rsid w:val="00EF31E2"/>
    <w:rsid w:val="00EF3A49"/>
    <w:rsid w:val="00EF3C58"/>
    <w:rsid w:val="00EF3CFC"/>
    <w:rsid w:val="00EF3D26"/>
    <w:rsid w:val="00EF4055"/>
    <w:rsid w:val="00EF4317"/>
    <w:rsid w:val="00EF43CD"/>
    <w:rsid w:val="00EF4431"/>
    <w:rsid w:val="00EF4697"/>
    <w:rsid w:val="00EF4A18"/>
    <w:rsid w:val="00EF4AC1"/>
    <w:rsid w:val="00EF4B43"/>
    <w:rsid w:val="00EF4FDD"/>
    <w:rsid w:val="00EF513E"/>
    <w:rsid w:val="00EF5388"/>
    <w:rsid w:val="00EF53C1"/>
    <w:rsid w:val="00EF56F2"/>
    <w:rsid w:val="00EF57B4"/>
    <w:rsid w:val="00EF5848"/>
    <w:rsid w:val="00EF5928"/>
    <w:rsid w:val="00EF596D"/>
    <w:rsid w:val="00EF5A09"/>
    <w:rsid w:val="00EF607A"/>
    <w:rsid w:val="00EF607C"/>
    <w:rsid w:val="00EF61F3"/>
    <w:rsid w:val="00EF62F8"/>
    <w:rsid w:val="00EF6424"/>
    <w:rsid w:val="00EF64F5"/>
    <w:rsid w:val="00EF6592"/>
    <w:rsid w:val="00EF66BA"/>
    <w:rsid w:val="00EF6714"/>
    <w:rsid w:val="00EF6BBC"/>
    <w:rsid w:val="00EF6D21"/>
    <w:rsid w:val="00EF715E"/>
    <w:rsid w:val="00EF74F0"/>
    <w:rsid w:val="00EF78DE"/>
    <w:rsid w:val="00EF7AF2"/>
    <w:rsid w:val="00EF7D88"/>
    <w:rsid w:val="00EF7F1B"/>
    <w:rsid w:val="00F002A2"/>
    <w:rsid w:val="00F00769"/>
    <w:rsid w:val="00F008E4"/>
    <w:rsid w:val="00F00A7C"/>
    <w:rsid w:val="00F00C1A"/>
    <w:rsid w:val="00F00CFB"/>
    <w:rsid w:val="00F00E0C"/>
    <w:rsid w:val="00F00F3F"/>
    <w:rsid w:val="00F0118E"/>
    <w:rsid w:val="00F015DF"/>
    <w:rsid w:val="00F017E6"/>
    <w:rsid w:val="00F01B1C"/>
    <w:rsid w:val="00F01D48"/>
    <w:rsid w:val="00F02249"/>
    <w:rsid w:val="00F0242C"/>
    <w:rsid w:val="00F02967"/>
    <w:rsid w:val="00F03435"/>
    <w:rsid w:val="00F0372D"/>
    <w:rsid w:val="00F0380A"/>
    <w:rsid w:val="00F03E40"/>
    <w:rsid w:val="00F0422F"/>
    <w:rsid w:val="00F04563"/>
    <w:rsid w:val="00F04916"/>
    <w:rsid w:val="00F04957"/>
    <w:rsid w:val="00F04B3C"/>
    <w:rsid w:val="00F04EC4"/>
    <w:rsid w:val="00F04F5A"/>
    <w:rsid w:val="00F051AB"/>
    <w:rsid w:val="00F052A2"/>
    <w:rsid w:val="00F05500"/>
    <w:rsid w:val="00F055B0"/>
    <w:rsid w:val="00F05690"/>
    <w:rsid w:val="00F059AE"/>
    <w:rsid w:val="00F059D2"/>
    <w:rsid w:val="00F05A6E"/>
    <w:rsid w:val="00F06405"/>
    <w:rsid w:val="00F0644A"/>
    <w:rsid w:val="00F06662"/>
    <w:rsid w:val="00F06958"/>
    <w:rsid w:val="00F06BF5"/>
    <w:rsid w:val="00F06C19"/>
    <w:rsid w:val="00F06EDE"/>
    <w:rsid w:val="00F070B5"/>
    <w:rsid w:val="00F07A12"/>
    <w:rsid w:val="00F10338"/>
    <w:rsid w:val="00F10662"/>
    <w:rsid w:val="00F10678"/>
    <w:rsid w:val="00F10764"/>
    <w:rsid w:val="00F1079E"/>
    <w:rsid w:val="00F10860"/>
    <w:rsid w:val="00F10F88"/>
    <w:rsid w:val="00F11039"/>
    <w:rsid w:val="00F1109B"/>
    <w:rsid w:val="00F1109C"/>
    <w:rsid w:val="00F111AF"/>
    <w:rsid w:val="00F11583"/>
    <w:rsid w:val="00F11AAF"/>
    <w:rsid w:val="00F11AD5"/>
    <w:rsid w:val="00F11CAC"/>
    <w:rsid w:val="00F11D03"/>
    <w:rsid w:val="00F11D14"/>
    <w:rsid w:val="00F121A0"/>
    <w:rsid w:val="00F1272C"/>
    <w:rsid w:val="00F12D2B"/>
    <w:rsid w:val="00F13074"/>
    <w:rsid w:val="00F131DB"/>
    <w:rsid w:val="00F13388"/>
    <w:rsid w:val="00F13591"/>
    <w:rsid w:val="00F135A8"/>
    <w:rsid w:val="00F136AC"/>
    <w:rsid w:val="00F137C3"/>
    <w:rsid w:val="00F13982"/>
    <w:rsid w:val="00F13C23"/>
    <w:rsid w:val="00F13ECE"/>
    <w:rsid w:val="00F141BA"/>
    <w:rsid w:val="00F148D4"/>
    <w:rsid w:val="00F149C6"/>
    <w:rsid w:val="00F14C15"/>
    <w:rsid w:val="00F14CB3"/>
    <w:rsid w:val="00F14DDF"/>
    <w:rsid w:val="00F15154"/>
    <w:rsid w:val="00F151B4"/>
    <w:rsid w:val="00F154BE"/>
    <w:rsid w:val="00F15699"/>
    <w:rsid w:val="00F157EB"/>
    <w:rsid w:val="00F157F5"/>
    <w:rsid w:val="00F15989"/>
    <w:rsid w:val="00F15A21"/>
    <w:rsid w:val="00F15D5E"/>
    <w:rsid w:val="00F15FFD"/>
    <w:rsid w:val="00F161C3"/>
    <w:rsid w:val="00F1646F"/>
    <w:rsid w:val="00F164E6"/>
    <w:rsid w:val="00F1651E"/>
    <w:rsid w:val="00F16837"/>
    <w:rsid w:val="00F169B5"/>
    <w:rsid w:val="00F16B56"/>
    <w:rsid w:val="00F16D4E"/>
    <w:rsid w:val="00F16FE2"/>
    <w:rsid w:val="00F174BB"/>
    <w:rsid w:val="00F17A38"/>
    <w:rsid w:val="00F17B99"/>
    <w:rsid w:val="00F17DE3"/>
    <w:rsid w:val="00F17DF9"/>
    <w:rsid w:val="00F17F3A"/>
    <w:rsid w:val="00F20066"/>
    <w:rsid w:val="00F20080"/>
    <w:rsid w:val="00F200F3"/>
    <w:rsid w:val="00F2030D"/>
    <w:rsid w:val="00F2049D"/>
    <w:rsid w:val="00F206A8"/>
    <w:rsid w:val="00F20B10"/>
    <w:rsid w:val="00F20DC6"/>
    <w:rsid w:val="00F21449"/>
    <w:rsid w:val="00F2170A"/>
    <w:rsid w:val="00F21F3A"/>
    <w:rsid w:val="00F21F62"/>
    <w:rsid w:val="00F2207F"/>
    <w:rsid w:val="00F220C8"/>
    <w:rsid w:val="00F22130"/>
    <w:rsid w:val="00F22181"/>
    <w:rsid w:val="00F22226"/>
    <w:rsid w:val="00F225B5"/>
    <w:rsid w:val="00F226B0"/>
    <w:rsid w:val="00F226F3"/>
    <w:rsid w:val="00F227AE"/>
    <w:rsid w:val="00F227D4"/>
    <w:rsid w:val="00F22FAA"/>
    <w:rsid w:val="00F244B5"/>
    <w:rsid w:val="00F2456E"/>
    <w:rsid w:val="00F24725"/>
    <w:rsid w:val="00F248A4"/>
    <w:rsid w:val="00F248C9"/>
    <w:rsid w:val="00F249D8"/>
    <w:rsid w:val="00F24A3D"/>
    <w:rsid w:val="00F24B93"/>
    <w:rsid w:val="00F24EE2"/>
    <w:rsid w:val="00F25246"/>
    <w:rsid w:val="00F255F3"/>
    <w:rsid w:val="00F258A9"/>
    <w:rsid w:val="00F25BBC"/>
    <w:rsid w:val="00F25EB1"/>
    <w:rsid w:val="00F25F17"/>
    <w:rsid w:val="00F25F1A"/>
    <w:rsid w:val="00F263D7"/>
    <w:rsid w:val="00F265D8"/>
    <w:rsid w:val="00F266A8"/>
    <w:rsid w:val="00F26BC8"/>
    <w:rsid w:val="00F26D6E"/>
    <w:rsid w:val="00F270DB"/>
    <w:rsid w:val="00F273B5"/>
    <w:rsid w:val="00F27CA4"/>
    <w:rsid w:val="00F27D9C"/>
    <w:rsid w:val="00F30173"/>
    <w:rsid w:val="00F30779"/>
    <w:rsid w:val="00F3098C"/>
    <w:rsid w:val="00F30B64"/>
    <w:rsid w:val="00F30BA8"/>
    <w:rsid w:val="00F3117A"/>
    <w:rsid w:val="00F313AB"/>
    <w:rsid w:val="00F31478"/>
    <w:rsid w:val="00F31812"/>
    <w:rsid w:val="00F31E71"/>
    <w:rsid w:val="00F31EE8"/>
    <w:rsid w:val="00F3200D"/>
    <w:rsid w:val="00F3208A"/>
    <w:rsid w:val="00F320E2"/>
    <w:rsid w:val="00F322A6"/>
    <w:rsid w:val="00F324E6"/>
    <w:rsid w:val="00F324FB"/>
    <w:rsid w:val="00F32659"/>
    <w:rsid w:val="00F32687"/>
    <w:rsid w:val="00F329CF"/>
    <w:rsid w:val="00F32C26"/>
    <w:rsid w:val="00F3303C"/>
    <w:rsid w:val="00F33089"/>
    <w:rsid w:val="00F330CC"/>
    <w:rsid w:val="00F33262"/>
    <w:rsid w:val="00F332D0"/>
    <w:rsid w:val="00F3344A"/>
    <w:rsid w:val="00F33458"/>
    <w:rsid w:val="00F33485"/>
    <w:rsid w:val="00F334AB"/>
    <w:rsid w:val="00F337FE"/>
    <w:rsid w:val="00F33B27"/>
    <w:rsid w:val="00F33C08"/>
    <w:rsid w:val="00F33EF1"/>
    <w:rsid w:val="00F33F35"/>
    <w:rsid w:val="00F33F60"/>
    <w:rsid w:val="00F34401"/>
    <w:rsid w:val="00F34557"/>
    <w:rsid w:val="00F34975"/>
    <w:rsid w:val="00F34E8B"/>
    <w:rsid w:val="00F350D2"/>
    <w:rsid w:val="00F35115"/>
    <w:rsid w:val="00F351D6"/>
    <w:rsid w:val="00F35366"/>
    <w:rsid w:val="00F359D3"/>
    <w:rsid w:val="00F35CFC"/>
    <w:rsid w:val="00F35E5C"/>
    <w:rsid w:val="00F36071"/>
    <w:rsid w:val="00F361DB"/>
    <w:rsid w:val="00F3631A"/>
    <w:rsid w:val="00F36638"/>
    <w:rsid w:val="00F3664D"/>
    <w:rsid w:val="00F366C8"/>
    <w:rsid w:val="00F368C1"/>
    <w:rsid w:val="00F36BA8"/>
    <w:rsid w:val="00F36DC8"/>
    <w:rsid w:val="00F36E5C"/>
    <w:rsid w:val="00F36E63"/>
    <w:rsid w:val="00F36F4F"/>
    <w:rsid w:val="00F3713C"/>
    <w:rsid w:val="00F371C7"/>
    <w:rsid w:val="00F3723E"/>
    <w:rsid w:val="00F372C7"/>
    <w:rsid w:val="00F374F2"/>
    <w:rsid w:val="00F375D9"/>
    <w:rsid w:val="00F37951"/>
    <w:rsid w:val="00F379C2"/>
    <w:rsid w:val="00F37A1A"/>
    <w:rsid w:val="00F37A22"/>
    <w:rsid w:val="00F37B96"/>
    <w:rsid w:val="00F40122"/>
    <w:rsid w:val="00F4012B"/>
    <w:rsid w:val="00F401E3"/>
    <w:rsid w:val="00F40406"/>
    <w:rsid w:val="00F407AD"/>
    <w:rsid w:val="00F4086F"/>
    <w:rsid w:val="00F40B16"/>
    <w:rsid w:val="00F40C44"/>
    <w:rsid w:val="00F41408"/>
    <w:rsid w:val="00F4161A"/>
    <w:rsid w:val="00F4178E"/>
    <w:rsid w:val="00F41840"/>
    <w:rsid w:val="00F41943"/>
    <w:rsid w:val="00F41BA9"/>
    <w:rsid w:val="00F41CCC"/>
    <w:rsid w:val="00F42077"/>
    <w:rsid w:val="00F4254B"/>
    <w:rsid w:val="00F425FD"/>
    <w:rsid w:val="00F42DAC"/>
    <w:rsid w:val="00F42F4E"/>
    <w:rsid w:val="00F430C9"/>
    <w:rsid w:val="00F4315B"/>
    <w:rsid w:val="00F434A7"/>
    <w:rsid w:val="00F434F4"/>
    <w:rsid w:val="00F438FC"/>
    <w:rsid w:val="00F43936"/>
    <w:rsid w:val="00F43BE1"/>
    <w:rsid w:val="00F43CAB"/>
    <w:rsid w:val="00F43F9B"/>
    <w:rsid w:val="00F44226"/>
    <w:rsid w:val="00F44397"/>
    <w:rsid w:val="00F4486B"/>
    <w:rsid w:val="00F44B2B"/>
    <w:rsid w:val="00F44B4E"/>
    <w:rsid w:val="00F44C3F"/>
    <w:rsid w:val="00F450FA"/>
    <w:rsid w:val="00F45604"/>
    <w:rsid w:val="00F45703"/>
    <w:rsid w:val="00F45741"/>
    <w:rsid w:val="00F45B0B"/>
    <w:rsid w:val="00F45D0A"/>
    <w:rsid w:val="00F45D83"/>
    <w:rsid w:val="00F46136"/>
    <w:rsid w:val="00F46142"/>
    <w:rsid w:val="00F46251"/>
    <w:rsid w:val="00F46393"/>
    <w:rsid w:val="00F46894"/>
    <w:rsid w:val="00F468AF"/>
    <w:rsid w:val="00F46B3D"/>
    <w:rsid w:val="00F473FE"/>
    <w:rsid w:val="00F47673"/>
    <w:rsid w:val="00F47776"/>
    <w:rsid w:val="00F4784C"/>
    <w:rsid w:val="00F47AC4"/>
    <w:rsid w:val="00F47C1C"/>
    <w:rsid w:val="00F47CF0"/>
    <w:rsid w:val="00F47EDD"/>
    <w:rsid w:val="00F50061"/>
    <w:rsid w:val="00F5023C"/>
    <w:rsid w:val="00F503DB"/>
    <w:rsid w:val="00F50F9B"/>
    <w:rsid w:val="00F5107A"/>
    <w:rsid w:val="00F515E5"/>
    <w:rsid w:val="00F51606"/>
    <w:rsid w:val="00F516EA"/>
    <w:rsid w:val="00F517CB"/>
    <w:rsid w:val="00F518B6"/>
    <w:rsid w:val="00F51917"/>
    <w:rsid w:val="00F519EF"/>
    <w:rsid w:val="00F51B88"/>
    <w:rsid w:val="00F51B8F"/>
    <w:rsid w:val="00F51E77"/>
    <w:rsid w:val="00F522A7"/>
    <w:rsid w:val="00F5287A"/>
    <w:rsid w:val="00F529A2"/>
    <w:rsid w:val="00F52B1C"/>
    <w:rsid w:val="00F52E80"/>
    <w:rsid w:val="00F52FE3"/>
    <w:rsid w:val="00F53328"/>
    <w:rsid w:val="00F53DF1"/>
    <w:rsid w:val="00F53F0C"/>
    <w:rsid w:val="00F54058"/>
    <w:rsid w:val="00F5415E"/>
    <w:rsid w:val="00F541AA"/>
    <w:rsid w:val="00F541DF"/>
    <w:rsid w:val="00F548BF"/>
    <w:rsid w:val="00F54999"/>
    <w:rsid w:val="00F54B87"/>
    <w:rsid w:val="00F550B5"/>
    <w:rsid w:val="00F5535F"/>
    <w:rsid w:val="00F55508"/>
    <w:rsid w:val="00F5550D"/>
    <w:rsid w:val="00F559EB"/>
    <w:rsid w:val="00F55F0D"/>
    <w:rsid w:val="00F56148"/>
    <w:rsid w:val="00F561CA"/>
    <w:rsid w:val="00F56268"/>
    <w:rsid w:val="00F5645D"/>
    <w:rsid w:val="00F566EB"/>
    <w:rsid w:val="00F56974"/>
    <w:rsid w:val="00F56C7D"/>
    <w:rsid w:val="00F57185"/>
    <w:rsid w:val="00F574D9"/>
    <w:rsid w:val="00F5765B"/>
    <w:rsid w:val="00F57713"/>
    <w:rsid w:val="00F578E7"/>
    <w:rsid w:val="00F57ABE"/>
    <w:rsid w:val="00F57C2E"/>
    <w:rsid w:val="00F57F36"/>
    <w:rsid w:val="00F57F56"/>
    <w:rsid w:val="00F6005D"/>
    <w:rsid w:val="00F600BE"/>
    <w:rsid w:val="00F60297"/>
    <w:rsid w:val="00F604B2"/>
    <w:rsid w:val="00F60A23"/>
    <w:rsid w:val="00F60A63"/>
    <w:rsid w:val="00F60B24"/>
    <w:rsid w:val="00F61155"/>
    <w:rsid w:val="00F611CE"/>
    <w:rsid w:val="00F61353"/>
    <w:rsid w:val="00F615D8"/>
    <w:rsid w:val="00F61892"/>
    <w:rsid w:val="00F61D1C"/>
    <w:rsid w:val="00F61D38"/>
    <w:rsid w:val="00F6224D"/>
    <w:rsid w:val="00F6234D"/>
    <w:rsid w:val="00F62410"/>
    <w:rsid w:val="00F62428"/>
    <w:rsid w:val="00F6267F"/>
    <w:rsid w:val="00F629B6"/>
    <w:rsid w:val="00F62BA8"/>
    <w:rsid w:val="00F6309D"/>
    <w:rsid w:val="00F632AB"/>
    <w:rsid w:val="00F6354F"/>
    <w:rsid w:val="00F63779"/>
    <w:rsid w:val="00F63B56"/>
    <w:rsid w:val="00F63BF2"/>
    <w:rsid w:val="00F63C46"/>
    <w:rsid w:val="00F64133"/>
    <w:rsid w:val="00F641B1"/>
    <w:rsid w:val="00F64266"/>
    <w:rsid w:val="00F64269"/>
    <w:rsid w:val="00F646AF"/>
    <w:rsid w:val="00F64708"/>
    <w:rsid w:val="00F6476D"/>
    <w:rsid w:val="00F64A74"/>
    <w:rsid w:val="00F650BA"/>
    <w:rsid w:val="00F655E0"/>
    <w:rsid w:val="00F6588F"/>
    <w:rsid w:val="00F658A7"/>
    <w:rsid w:val="00F659B1"/>
    <w:rsid w:val="00F65F0D"/>
    <w:rsid w:val="00F662CE"/>
    <w:rsid w:val="00F668B9"/>
    <w:rsid w:val="00F66F64"/>
    <w:rsid w:val="00F67184"/>
    <w:rsid w:val="00F6728D"/>
    <w:rsid w:val="00F67311"/>
    <w:rsid w:val="00F67404"/>
    <w:rsid w:val="00F6744E"/>
    <w:rsid w:val="00F67A88"/>
    <w:rsid w:val="00F67CEA"/>
    <w:rsid w:val="00F67ED0"/>
    <w:rsid w:val="00F70486"/>
    <w:rsid w:val="00F70A4F"/>
    <w:rsid w:val="00F70A76"/>
    <w:rsid w:val="00F70C4F"/>
    <w:rsid w:val="00F70D1D"/>
    <w:rsid w:val="00F70D39"/>
    <w:rsid w:val="00F70E7D"/>
    <w:rsid w:val="00F70ECF"/>
    <w:rsid w:val="00F714F3"/>
    <w:rsid w:val="00F7164B"/>
    <w:rsid w:val="00F716D9"/>
    <w:rsid w:val="00F7198D"/>
    <w:rsid w:val="00F719F2"/>
    <w:rsid w:val="00F71A53"/>
    <w:rsid w:val="00F71A9D"/>
    <w:rsid w:val="00F71FDC"/>
    <w:rsid w:val="00F726EA"/>
    <w:rsid w:val="00F7285C"/>
    <w:rsid w:val="00F72BF4"/>
    <w:rsid w:val="00F73080"/>
    <w:rsid w:val="00F7318D"/>
    <w:rsid w:val="00F731A5"/>
    <w:rsid w:val="00F73209"/>
    <w:rsid w:val="00F7324A"/>
    <w:rsid w:val="00F732E4"/>
    <w:rsid w:val="00F73C05"/>
    <w:rsid w:val="00F73ED0"/>
    <w:rsid w:val="00F73FA9"/>
    <w:rsid w:val="00F740AD"/>
    <w:rsid w:val="00F74198"/>
    <w:rsid w:val="00F744E1"/>
    <w:rsid w:val="00F744F2"/>
    <w:rsid w:val="00F7451B"/>
    <w:rsid w:val="00F745AC"/>
    <w:rsid w:val="00F74916"/>
    <w:rsid w:val="00F74CC8"/>
    <w:rsid w:val="00F74EE7"/>
    <w:rsid w:val="00F74FF0"/>
    <w:rsid w:val="00F7541C"/>
    <w:rsid w:val="00F75485"/>
    <w:rsid w:val="00F75532"/>
    <w:rsid w:val="00F75598"/>
    <w:rsid w:val="00F7594C"/>
    <w:rsid w:val="00F75CCE"/>
    <w:rsid w:val="00F760FA"/>
    <w:rsid w:val="00F762B1"/>
    <w:rsid w:val="00F764A2"/>
    <w:rsid w:val="00F764FC"/>
    <w:rsid w:val="00F769FF"/>
    <w:rsid w:val="00F76C92"/>
    <w:rsid w:val="00F76EC8"/>
    <w:rsid w:val="00F7734F"/>
    <w:rsid w:val="00F773E5"/>
    <w:rsid w:val="00F77A1F"/>
    <w:rsid w:val="00F77C41"/>
    <w:rsid w:val="00F77D9E"/>
    <w:rsid w:val="00F80134"/>
    <w:rsid w:val="00F80437"/>
    <w:rsid w:val="00F80583"/>
    <w:rsid w:val="00F80720"/>
    <w:rsid w:val="00F807BE"/>
    <w:rsid w:val="00F80A5B"/>
    <w:rsid w:val="00F80C8A"/>
    <w:rsid w:val="00F80C92"/>
    <w:rsid w:val="00F80E11"/>
    <w:rsid w:val="00F80ED0"/>
    <w:rsid w:val="00F81229"/>
    <w:rsid w:val="00F813BC"/>
    <w:rsid w:val="00F8141A"/>
    <w:rsid w:val="00F81853"/>
    <w:rsid w:val="00F81CC4"/>
    <w:rsid w:val="00F8227C"/>
    <w:rsid w:val="00F823CF"/>
    <w:rsid w:val="00F82421"/>
    <w:rsid w:val="00F8258D"/>
    <w:rsid w:val="00F82722"/>
    <w:rsid w:val="00F8287A"/>
    <w:rsid w:val="00F828D2"/>
    <w:rsid w:val="00F82B19"/>
    <w:rsid w:val="00F831D7"/>
    <w:rsid w:val="00F8321B"/>
    <w:rsid w:val="00F837D4"/>
    <w:rsid w:val="00F83A9B"/>
    <w:rsid w:val="00F83B19"/>
    <w:rsid w:val="00F83D79"/>
    <w:rsid w:val="00F84A88"/>
    <w:rsid w:val="00F84AA0"/>
    <w:rsid w:val="00F852BC"/>
    <w:rsid w:val="00F85D1A"/>
    <w:rsid w:val="00F85DB3"/>
    <w:rsid w:val="00F85E49"/>
    <w:rsid w:val="00F85E52"/>
    <w:rsid w:val="00F8604A"/>
    <w:rsid w:val="00F8604C"/>
    <w:rsid w:val="00F86517"/>
    <w:rsid w:val="00F865A5"/>
    <w:rsid w:val="00F86667"/>
    <w:rsid w:val="00F866C0"/>
    <w:rsid w:val="00F867C2"/>
    <w:rsid w:val="00F869C3"/>
    <w:rsid w:val="00F86A4D"/>
    <w:rsid w:val="00F86DA3"/>
    <w:rsid w:val="00F86F50"/>
    <w:rsid w:val="00F87093"/>
    <w:rsid w:val="00F877E0"/>
    <w:rsid w:val="00F877E2"/>
    <w:rsid w:val="00F87878"/>
    <w:rsid w:val="00F87A8A"/>
    <w:rsid w:val="00F87BB6"/>
    <w:rsid w:val="00F87BEC"/>
    <w:rsid w:val="00F87C25"/>
    <w:rsid w:val="00F87EED"/>
    <w:rsid w:val="00F905DA"/>
    <w:rsid w:val="00F90E67"/>
    <w:rsid w:val="00F910F5"/>
    <w:rsid w:val="00F910F6"/>
    <w:rsid w:val="00F9120E"/>
    <w:rsid w:val="00F914DD"/>
    <w:rsid w:val="00F9198C"/>
    <w:rsid w:val="00F919ED"/>
    <w:rsid w:val="00F9204C"/>
    <w:rsid w:val="00F922AA"/>
    <w:rsid w:val="00F928F0"/>
    <w:rsid w:val="00F92A66"/>
    <w:rsid w:val="00F92B0A"/>
    <w:rsid w:val="00F92C9C"/>
    <w:rsid w:val="00F92CE8"/>
    <w:rsid w:val="00F930CC"/>
    <w:rsid w:val="00F93412"/>
    <w:rsid w:val="00F935BF"/>
    <w:rsid w:val="00F9368F"/>
    <w:rsid w:val="00F93878"/>
    <w:rsid w:val="00F938FA"/>
    <w:rsid w:val="00F939A2"/>
    <w:rsid w:val="00F93C43"/>
    <w:rsid w:val="00F93D8C"/>
    <w:rsid w:val="00F93D9B"/>
    <w:rsid w:val="00F93F78"/>
    <w:rsid w:val="00F94319"/>
    <w:rsid w:val="00F943B6"/>
    <w:rsid w:val="00F94523"/>
    <w:rsid w:val="00F9453B"/>
    <w:rsid w:val="00F948D3"/>
    <w:rsid w:val="00F949CE"/>
    <w:rsid w:val="00F94E37"/>
    <w:rsid w:val="00F94F57"/>
    <w:rsid w:val="00F95864"/>
    <w:rsid w:val="00F95A79"/>
    <w:rsid w:val="00F95B43"/>
    <w:rsid w:val="00F95C25"/>
    <w:rsid w:val="00F95C46"/>
    <w:rsid w:val="00F9610C"/>
    <w:rsid w:val="00F961FD"/>
    <w:rsid w:val="00F96282"/>
    <w:rsid w:val="00F964FD"/>
    <w:rsid w:val="00F96CCC"/>
    <w:rsid w:val="00F97038"/>
    <w:rsid w:val="00F970AD"/>
    <w:rsid w:val="00F97679"/>
    <w:rsid w:val="00F97838"/>
    <w:rsid w:val="00F9792F"/>
    <w:rsid w:val="00F97B50"/>
    <w:rsid w:val="00F97CC4"/>
    <w:rsid w:val="00F97FC7"/>
    <w:rsid w:val="00FA017D"/>
    <w:rsid w:val="00FA060C"/>
    <w:rsid w:val="00FA0834"/>
    <w:rsid w:val="00FA084C"/>
    <w:rsid w:val="00FA0B3F"/>
    <w:rsid w:val="00FA0BD1"/>
    <w:rsid w:val="00FA0FDD"/>
    <w:rsid w:val="00FA1125"/>
    <w:rsid w:val="00FA13D5"/>
    <w:rsid w:val="00FA16DB"/>
    <w:rsid w:val="00FA17A4"/>
    <w:rsid w:val="00FA1820"/>
    <w:rsid w:val="00FA1943"/>
    <w:rsid w:val="00FA23B2"/>
    <w:rsid w:val="00FA2449"/>
    <w:rsid w:val="00FA2533"/>
    <w:rsid w:val="00FA2613"/>
    <w:rsid w:val="00FA26EE"/>
    <w:rsid w:val="00FA28D7"/>
    <w:rsid w:val="00FA2A29"/>
    <w:rsid w:val="00FA2ACF"/>
    <w:rsid w:val="00FA2AFE"/>
    <w:rsid w:val="00FA2DC9"/>
    <w:rsid w:val="00FA2E4C"/>
    <w:rsid w:val="00FA30D1"/>
    <w:rsid w:val="00FA31DD"/>
    <w:rsid w:val="00FA3606"/>
    <w:rsid w:val="00FA3A31"/>
    <w:rsid w:val="00FA3DAD"/>
    <w:rsid w:val="00FA4231"/>
    <w:rsid w:val="00FA4316"/>
    <w:rsid w:val="00FA4379"/>
    <w:rsid w:val="00FA4786"/>
    <w:rsid w:val="00FA4A27"/>
    <w:rsid w:val="00FA4DA0"/>
    <w:rsid w:val="00FA561A"/>
    <w:rsid w:val="00FA5BC0"/>
    <w:rsid w:val="00FA5D66"/>
    <w:rsid w:val="00FA5EF4"/>
    <w:rsid w:val="00FA5F4C"/>
    <w:rsid w:val="00FA6048"/>
    <w:rsid w:val="00FA61A6"/>
    <w:rsid w:val="00FA63F2"/>
    <w:rsid w:val="00FA6615"/>
    <w:rsid w:val="00FA6B4A"/>
    <w:rsid w:val="00FA6B75"/>
    <w:rsid w:val="00FA71CB"/>
    <w:rsid w:val="00FA7231"/>
    <w:rsid w:val="00FA72BD"/>
    <w:rsid w:val="00FA7389"/>
    <w:rsid w:val="00FA7548"/>
    <w:rsid w:val="00FA754E"/>
    <w:rsid w:val="00FA76E2"/>
    <w:rsid w:val="00FA76F8"/>
    <w:rsid w:val="00FA7B32"/>
    <w:rsid w:val="00FA7ED8"/>
    <w:rsid w:val="00FA7EF8"/>
    <w:rsid w:val="00FA7F72"/>
    <w:rsid w:val="00FB01B7"/>
    <w:rsid w:val="00FB0646"/>
    <w:rsid w:val="00FB132B"/>
    <w:rsid w:val="00FB148C"/>
    <w:rsid w:val="00FB1D09"/>
    <w:rsid w:val="00FB1E50"/>
    <w:rsid w:val="00FB20C1"/>
    <w:rsid w:val="00FB212D"/>
    <w:rsid w:val="00FB216A"/>
    <w:rsid w:val="00FB21C4"/>
    <w:rsid w:val="00FB227C"/>
    <w:rsid w:val="00FB2390"/>
    <w:rsid w:val="00FB26D0"/>
    <w:rsid w:val="00FB2843"/>
    <w:rsid w:val="00FB2CA1"/>
    <w:rsid w:val="00FB2F10"/>
    <w:rsid w:val="00FB308C"/>
    <w:rsid w:val="00FB3101"/>
    <w:rsid w:val="00FB326C"/>
    <w:rsid w:val="00FB34B0"/>
    <w:rsid w:val="00FB383C"/>
    <w:rsid w:val="00FB3AD8"/>
    <w:rsid w:val="00FB3F93"/>
    <w:rsid w:val="00FB47CD"/>
    <w:rsid w:val="00FB4CB2"/>
    <w:rsid w:val="00FB4D42"/>
    <w:rsid w:val="00FB5097"/>
    <w:rsid w:val="00FB517E"/>
    <w:rsid w:val="00FB531F"/>
    <w:rsid w:val="00FB54EE"/>
    <w:rsid w:val="00FB5A12"/>
    <w:rsid w:val="00FB5DF0"/>
    <w:rsid w:val="00FB5E56"/>
    <w:rsid w:val="00FB671A"/>
    <w:rsid w:val="00FB6D8A"/>
    <w:rsid w:val="00FB6F5D"/>
    <w:rsid w:val="00FB6FC4"/>
    <w:rsid w:val="00FB6FFF"/>
    <w:rsid w:val="00FB722F"/>
    <w:rsid w:val="00FB72B3"/>
    <w:rsid w:val="00FB73EF"/>
    <w:rsid w:val="00FB7447"/>
    <w:rsid w:val="00FB7F9D"/>
    <w:rsid w:val="00FC013E"/>
    <w:rsid w:val="00FC06C7"/>
    <w:rsid w:val="00FC089C"/>
    <w:rsid w:val="00FC0904"/>
    <w:rsid w:val="00FC0A41"/>
    <w:rsid w:val="00FC0B2E"/>
    <w:rsid w:val="00FC0C62"/>
    <w:rsid w:val="00FC0E3D"/>
    <w:rsid w:val="00FC0E5E"/>
    <w:rsid w:val="00FC0F21"/>
    <w:rsid w:val="00FC11B6"/>
    <w:rsid w:val="00FC13A8"/>
    <w:rsid w:val="00FC1680"/>
    <w:rsid w:val="00FC16B8"/>
    <w:rsid w:val="00FC1BAE"/>
    <w:rsid w:val="00FC1C06"/>
    <w:rsid w:val="00FC1C47"/>
    <w:rsid w:val="00FC1FCF"/>
    <w:rsid w:val="00FC21B7"/>
    <w:rsid w:val="00FC22AD"/>
    <w:rsid w:val="00FC2684"/>
    <w:rsid w:val="00FC26F6"/>
    <w:rsid w:val="00FC27F4"/>
    <w:rsid w:val="00FC28E1"/>
    <w:rsid w:val="00FC2EEA"/>
    <w:rsid w:val="00FC35BD"/>
    <w:rsid w:val="00FC3775"/>
    <w:rsid w:val="00FC399C"/>
    <w:rsid w:val="00FC3B7B"/>
    <w:rsid w:val="00FC3E2F"/>
    <w:rsid w:val="00FC3F96"/>
    <w:rsid w:val="00FC433E"/>
    <w:rsid w:val="00FC4365"/>
    <w:rsid w:val="00FC4379"/>
    <w:rsid w:val="00FC4561"/>
    <w:rsid w:val="00FC465D"/>
    <w:rsid w:val="00FC47EE"/>
    <w:rsid w:val="00FC4AAB"/>
    <w:rsid w:val="00FC4E9B"/>
    <w:rsid w:val="00FC52BA"/>
    <w:rsid w:val="00FC537B"/>
    <w:rsid w:val="00FC56A0"/>
    <w:rsid w:val="00FC5791"/>
    <w:rsid w:val="00FC5CE5"/>
    <w:rsid w:val="00FC5F06"/>
    <w:rsid w:val="00FC5FA1"/>
    <w:rsid w:val="00FC61D4"/>
    <w:rsid w:val="00FC6483"/>
    <w:rsid w:val="00FC691F"/>
    <w:rsid w:val="00FC6BE9"/>
    <w:rsid w:val="00FC6CD1"/>
    <w:rsid w:val="00FC6D6C"/>
    <w:rsid w:val="00FC6FC2"/>
    <w:rsid w:val="00FC70A5"/>
    <w:rsid w:val="00FC7231"/>
    <w:rsid w:val="00FC7376"/>
    <w:rsid w:val="00FC7548"/>
    <w:rsid w:val="00FC7566"/>
    <w:rsid w:val="00FC76F4"/>
    <w:rsid w:val="00FC7727"/>
    <w:rsid w:val="00FC7F1C"/>
    <w:rsid w:val="00FD00C3"/>
    <w:rsid w:val="00FD058E"/>
    <w:rsid w:val="00FD05BB"/>
    <w:rsid w:val="00FD0A97"/>
    <w:rsid w:val="00FD0C0F"/>
    <w:rsid w:val="00FD0C78"/>
    <w:rsid w:val="00FD0D90"/>
    <w:rsid w:val="00FD0EB5"/>
    <w:rsid w:val="00FD14AF"/>
    <w:rsid w:val="00FD1521"/>
    <w:rsid w:val="00FD1A9C"/>
    <w:rsid w:val="00FD1C7A"/>
    <w:rsid w:val="00FD1E25"/>
    <w:rsid w:val="00FD201E"/>
    <w:rsid w:val="00FD2026"/>
    <w:rsid w:val="00FD20FF"/>
    <w:rsid w:val="00FD2130"/>
    <w:rsid w:val="00FD21EE"/>
    <w:rsid w:val="00FD226F"/>
    <w:rsid w:val="00FD23C7"/>
    <w:rsid w:val="00FD2636"/>
    <w:rsid w:val="00FD26D8"/>
    <w:rsid w:val="00FD27E6"/>
    <w:rsid w:val="00FD28A4"/>
    <w:rsid w:val="00FD2B07"/>
    <w:rsid w:val="00FD32DA"/>
    <w:rsid w:val="00FD3304"/>
    <w:rsid w:val="00FD37A9"/>
    <w:rsid w:val="00FD3901"/>
    <w:rsid w:val="00FD3982"/>
    <w:rsid w:val="00FD3C1E"/>
    <w:rsid w:val="00FD4096"/>
    <w:rsid w:val="00FD4155"/>
    <w:rsid w:val="00FD434D"/>
    <w:rsid w:val="00FD43B1"/>
    <w:rsid w:val="00FD4670"/>
    <w:rsid w:val="00FD475B"/>
    <w:rsid w:val="00FD4AF3"/>
    <w:rsid w:val="00FD4B01"/>
    <w:rsid w:val="00FD4D6D"/>
    <w:rsid w:val="00FD4F46"/>
    <w:rsid w:val="00FD4F97"/>
    <w:rsid w:val="00FD506A"/>
    <w:rsid w:val="00FD52B1"/>
    <w:rsid w:val="00FD542D"/>
    <w:rsid w:val="00FD5580"/>
    <w:rsid w:val="00FD55B8"/>
    <w:rsid w:val="00FD56B5"/>
    <w:rsid w:val="00FD56D9"/>
    <w:rsid w:val="00FD5954"/>
    <w:rsid w:val="00FD5CF3"/>
    <w:rsid w:val="00FD680A"/>
    <w:rsid w:val="00FD6970"/>
    <w:rsid w:val="00FD7179"/>
    <w:rsid w:val="00FD74E6"/>
    <w:rsid w:val="00FD76E2"/>
    <w:rsid w:val="00FD7928"/>
    <w:rsid w:val="00FD79BB"/>
    <w:rsid w:val="00FD7CE2"/>
    <w:rsid w:val="00FD7F1D"/>
    <w:rsid w:val="00FD7F45"/>
    <w:rsid w:val="00FE01CA"/>
    <w:rsid w:val="00FE0376"/>
    <w:rsid w:val="00FE0455"/>
    <w:rsid w:val="00FE0A17"/>
    <w:rsid w:val="00FE0D19"/>
    <w:rsid w:val="00FE0D99"/>
    <w:rsid w:val="00FE0DAC"/>
    <w:rsid w:val="00FE1077"/>
    <w:rsid w:val="00FE1580"/>
    <w:rsid w:val="00FE17C7"/>
    <w:rsid w:val="00FE17E6"/>
    <w:rsid w:val="00FE1808"/>
    <w:rsid w:val="00FE1B89"/>
    <w:rsid w:val="00FE1E5B"/>
    <w:rsid w:val="00FE1ED7"/>
    <w:rsid w:val="00FE2085"/>
    <w:rsid w:val="00FE21DE"/>
    <w:rsid w:val="00FE247B"/>
    <w:rsid w:val="00FE24C4"/>
    <w:rsid w:val="00FE2754"/>
    <w:rsid w:val="00FE2C7E"/>
    <w:rsid w:val="00FE2D0D"/>
    <w:rsid w:val="00FE304B"/>
    <w:rsid w:val="00FE33CB"/>
    <w:rsid w:val="00FE3829"/>
    <w:rsid w:val="00FE3922"/>
    <w:rsid w:val="00FE3B75"/>
    <w:rsid w:val="00FE3D09"/>
    <w:rsid w:val="00FE3D59"/>
    <w:rsid w:val="00FE3E1A"/>
    <w:rsid w:val="00FE4007"/>
    <w:rsid w:val="00FE4489"/>
    <w:rsid w:val="00FE461C"/>
    <w:rsid w:val="00FE58BB"/>
    <w:rsid w:val="00FE5B96"/>
    <w:rsid w:val="00FE5DE3"/>
    <w:rsid w:val="00FE6081"/>
    <w:rsid w:val="00FE66A2"/>
    <w:rsid w:val="00FE6925"/>
    <w:rsid w:val="00FE69F8"/>
    <w:rsid w:val="00FE6AA6"/>
    <w:rsid w:val="00FE6B3B"/>
    <w:rsid w:val="00FE6B83"/>
    <w:rsid w:val="00FE6BDA"/>
    <w:rsid w:val="00FE6D2E"/>
    <w:rsid w:val="00FE6DF7"/>
    <w:rsid w:val="00FE7125"/>
    <w:rsid w:val="00FE735E"/>
    <w:rsid w:val="00FE78AC"/>
    <w:rsid w:val="00FE7CCC"/>
    <w:rsid w:val="00FE7F6C"/>
    <w:rsid w:val="00FF00F7"/>
    <w:rsid w:val="00FF0885"/>
    <w:rsid w:val="00FF0C61"/>
    <w:rsid w:val="00FF0C9E"/>
    <w:rsid w:val="00FF0DEE"/>
    <w:rsid w:val="00FF1103"/>
    <w:rsid w:val="00FF11EF"/>
    <w:rsid w:val="00FF12BB"/>
    <w:rsid w:val="00FF13EF"/>
    <w:rsid w:val="00FF152E"/>
    <w:rsid w:val="00FF15F5"/>
    <w:rsid w:val="00FF186A"/>
    <w:rsid w:val="00FF1871"/>
    <w:rsid w:val="00FF1936"/>
    <w:rsid w:val="00FF1A96"/>
    <w:rsid w:val="00FF1CF2"/>
    <w:rsid w:val="00FF1DCD"/>
    <w:rsid w:val="00FF2234"/>
    <w:rsid w:val="00FF259C"/>
    <w:rsid w:val="00FF272F"/>
    <w:rsid w:val="00FF2B04"/>
    <w:rsid w:val="00FF33EF"/>
    <w:rsid w:val="00FF382C"/>
    <w:rsid w:val="00FF3A6D"/>
    <w:rsid w:val="00FF3BC4"/>
    <w:rsid w:val="00FF3CBF"/>
    <w:rsid w:val="00FF412D"/>
    <w:rsid w:val="00FF4153"/>
    <w:rsid w:val="00FF41E0"/>
    <w:rsid w:val="00FF430D"/>
    <w:rsid w:val="00FF4732"/>
    <w:rsid w:val="00FF4BE5"/>
    <w:rsid w:val="00FF4C28"/>
    <w:rsid w:val="00FF4C4D"/>
    <w:rsid w:val="00FF4CED"/>
    <w:rsid w:val="00FF4F7C"/>
    <w:rsid w:val="00FF4FAF"/>
    <w:rsid w:val="00FF5067"/>
    <w:rsid w:val="00FF550C"/>
    <w:rsid w:val="00FF596C"/>
    <w:rsid w:val="00FF5CD3"/>
    <w:rsid w:val="00FF6033"/>
    <w:rsid w:val="00FF6607"/>
    <w:rsid w:val="00FF67D5"/>
    <w:rsid w:val="00FF69E9"/>
    <w:rsid w:val="00FF69ED"/>
    <w:rsid w:val="00FF6B4F"/>
    <w:rsid w:val="00FF6F06"/>
    <w:rsid w:val="00FF71D6"/>
    <w:rsid w:val="00FF737B"/>
    <w:rsid w:val="00FF752C"/>
    <w:rsid w:val="00FF7812"/>
    <w:rsid w:val="00FF796A"/>
    <w:rsid w:val="00FF7B11"/>
    <w:rsid w:val="00FF7D83"/>
    <w:rsid w:val="00FF7DA5"/>
    <w:rsid w:val="2EC6D935"/>
    <w:rsid w:val="3AEE3F4A"/>
    <w:rsid w:val="4B3FCB14"/>
    <w:rsid w:val="5C854D0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379EE7"/>
  <w15:chartTrackingRefBased/>
  <w15:docId w15:val="{54AE1472-B1E4-4869-B8D6-01370D9530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GB"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86"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5" w:unhideWhenUsed="1" w:qFormat="1"/>
    <w:lsdException w:name="List Number" w:semiHidden="1" w:uiPriority="15"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 w:qFormat="1"/>
    <w:lsdException w:name="Closing" w:semiHidden="1" w:unhideWhenUsed="1"/>
    <w:lsdException w:name="Signature" w:semiHidden="1" w:unhideWhenUsed="1"/>
    <w:lsdException w:name="Default Paragraph Font" w:semiHidden="1" w:uiPriority="1" w:unhideWhenUsed="1"/>
    <w:lsdException w:name="Body Text" w:semiHidden="1" w:uiPriority="14"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8"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E0EB1"/>
    <w:rPr>
      <w:rFonts w:ascii="Century Gothic" w:hAnsi="Century Gothic"/>
      <w:sz w:val="24"/>
    </w:rPr>
  </w:style>
  <w:style w:type="paragraph" w:styleId="Heading1">
    <w:name w:val="heading 1"/>
    <w:basedOn w:val="Normal"/>
    <w:next w:val="Normal"/>
    <w:link w:val="Heading1Char"/>
    <w:uiPriority w:val="9"/>
    <w:qFormat/>
    <w:rsid w:val="006F1D7F"/>
    <w:pPr>
      <w:keepNext/>
      <w:keepLines/>
      <w:spacing w:before="320" w:after="0" w:line="240" w:lineRule="auto"/>
      <w:outlineLvl w:val="0"/>
    </w:pPr>
    <w:rPr>
      <w:rFonts w:asciiTheme="majorHAnsi" w:eastAsiaTheme="majorEastAsia" w:hAnsiTheme="majorHAnsi" w:cstheme="majorBidi"/>
      <w:color w:val="0083B3" w:themeColor="accent1" w:themeShade="BF"/>
      <w:sz w:val="32"/>
      <w:szCs w:val="32"/>
    </w:rPr>
  </w:style>
  <w:style w:type="paragraph" w:styleId="Heading2">
    <w:name w:val="heading 2"/>
    <w:basedOn w:val="Normal"/>
    <w:next w:val="Normal"/>
    <w:link w:val="Heading2Char"/>
    <w:uiPriority w:val="9"/>
    <w:unhideWhenUsed/>
    <w:qFormat/>
    <w:rsid w:val="000E0EB1"/>
    <w:pPr>
      <w:keepNext/>
      <w:keepLines/>
      <w:spacing w:before="80" w:after="0" w:line="240" w:lineRule="auto"/>
      <w:outlineLvl w:val="1"/>
    </w:pPr>
    <w:rPr>
      <w:rFonts w:eastAsiaTheme="majorEastAsia" w:cstheme="majorBidi"/>
      <w:color w:val="404040" w:themeColor="text1" w:themeTint="BF"/>
      <w:sz w:val="40"/>
      <w:szCs w:val="28"/>
    </w:rPr>
  </w:style>
  <w:style w:type="paragraph" w:styleId="Heading3">
    <w:name w:val="heading 3"/>
    <w:basedOn w:val="Normal"/>
    <w:next w:val="Normal"/>
    <w:link w:val="Heading3Char"/>
    <w:uiPriority w:val="9"/>
    <w:unhideWhenUsed/>
    <w:qFormat/>
    <w:rsid w:val="00624233"/>
    <w:pPr>
      <w:keepNext/>
      <w:keepLines/>
      <w:spacing w:before="40" w:after="0" w:line="240" w:lineRule="auto"/>
      <w:outlineLvl w:val="2"/>
    </w:pPr>
    <w:rPr>
      <w:rFonts w:eastAsiaTheme="majorEastAsia" w:cstheme="majorBidi"/>
      <w:color w:val="00146D" w:themeColor="text2"/>
      <w:sz w:val="32"/>
      <w:szCs w:val="24"/>
    </w:rPr>
  </w:style>
  <w:style w:type="paragraph" w:styleId="Heading4">
    <w:name w:val="heading 4"/>
    <w:basedOn w:val="Normal"/>
    <w:next w:val="Normal"/>
    <w:link w:val="Heading4Char"/>
    <w:uiPriority w:val="9"/>
    <w:unhideWhenUsed/>
    <w:qFormat/>
    <w:rsid w:val="006F1D7F"/>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unhideWhenUsed/>
    <w:qFormat/>
    <w:rsid w:val="006F1D7F"/>
    <w:pPr>
      <w:keepNext/>
      <w:keepLines/>
      <w:spacing w:before="40" w:after="0"/>
      <w:outlineLvl w:val="4"/>
    </w:pPr>
    <w:rPr>
      <w:rFonts w:asciiTheme="majorHAnsi" w:eastAsiaTheme="majorEastAsia" w:hAnsiTheme="majorHAnsi" w:cstheme="majorBidi"/>
      <w:color w:val="00146D" w:themeColor="text2"/>
      <w:sz w:val="22"/>
      <w:szCs w:val="22"/>
    </w:rPr>
  </w:style>
  <w:style w:type="paragraph" w:styleId="Heading6">
    <w:name w:val="heading 6"/>
    <w:basedOn w:val="Normal"/>
    <w:next w:val="Normal"/>
    <w:link w:val="Heading6Char"/>
    <w:uiPriority w:val="9"/>
    <w:semiHidden/>
    <w:unhideWhenUsed/>
    <w:qFormat/>
    <w:rsid w:val="006F1D7F"/>
    <w:pPr>
      <w:keepNext/>
      <w:keepLines/>
      <w:spacing w:before="40" w:after="0"/>
      <w:outlineLvl w:val="5"/>
    </w:pPr>
    <w:rPr>
      <w:rFonts w:asciiTheme="majorHAnsi" w:eastAsiaTheme="majorEastAsia" w:hAnsiTheme="majorHAnsi" w:cstheme="majorBidi"/>
      <w:i/>
      <w:iCs/>
      <w:color w:val="00146D" w:themeColor="text2"/>
      <w:sz w:val="21"/>
      <w:szCs w:val="21"/>
    </w:rPr>
  </w:style>
  <w:style w:type="paragraph" w:styleId="Heading7">
    <w:name w:val="heading 7"/>
    <w:basedOn w:val="Normal"/>
    <w:next w:val="Normal"/>
    <w:link w:val="Heading7Char"/>
    <w:uiPriority w:val="9"/>
    <w:semiHidden/>
    <w:unhideWhenUsed/>
    <w:qFormat/>
    <w:rsid w:val="006F1D7F"/>
    <w:pPr>
      <w:keepNext/>
      <w:keepLines/>
      <w:spacing w:before="40" w:after="0"/>
      <w:outlineLvl w:val="6"/>
    </w:pPr>
    <w:rPr>
      <w:rFonts w:asciiTheme="majorHAnsi" w:eastAsiaTheme="majorEastAsia" w:hAnsiTheme="majorHAnsi" w:cstheme="majorBidi"/>
      <w:i/>
      <w:iCs/>
      <w:color w:val="005878" w:themeColor="accent1" w:themeShade="80"/>
      <w:sz w:val="21"/>
      <w:szCs w:val="21"/>
    </w:rPr>
  </w:style>
  <w:style w:type="paragraph" w:styleId="Heading8">
    <w:name w:val="heading 8"/>
    <w:basedOn w:val="Normal"/>
    <w:next w:val="Normal"/>
    <w:link w:val="Heading8Char"/>
    <w:uiPriority w:val="9"/>
    <w:semiHidden/>
    <w:unhideWhenUsed/>
    <w:qFormat/>
    <w:rsid w:val="006F1D7F"/>
    <w:pPr>
      <w:keepNext/>
      <w:keepLines/>
      <w:spacing w:before="40" w:after="0"/>
      <w:outlineLvl w:val="7"/>
    </w:pPr>
    <w:rPr>
      <w:rFonts w:asciiTheme="majorHAnsi" w:eastAsiaTheme="majorEastAsia" w:hAnsiTheme="majorHAnsi" w:cstheme="majorBidi"/>
      <w:b/>
      <w:bCs/>
      <w:color w:val="00146D" w:themeColor="text2"/>
    </w:rPr>
  </w:style>
  <w:style w:type="paragraph" w:styleId="Heading9">
    <w:name w:val="heading 9"/>
    <w:basedOn w:val="Normal"/>
    <w:next w:val="Normal"/>
    <w:link w:val="Heading9Char"/>
    <w:uiPriority w:val="9"/>
    <w:semiHidden/>
    <w:unhideWhenUsed/>
    <w:qFormat/>
    <w:rsid w:val="006F1D7F"/>
    <w:pPr>
      <w:keepNext/>
      <w:keepLines/>
      <w:spacing w:before="40" w:after="0"/>
      <w:outlineLvl w:val="8"/>
    </w:pPr>
    <w:rPr>
      <w:rFonts w:asciiTheme="majorHAnsi" w:eastAsiaTheme="majorEastAsia" w:hAnsiTheme="majorHAnsi" w:cstheme="majorBidi"/>
      <w:b/>
      <w:bCs/>
      <w:i/>
      <w:iCs/>
      <w:color w:val="00146D"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BaseText"/>
    <w:link w:val="BodyTextChar"/>
    <w:uiPriority w:val="14"/>
    <w:qFormat/>
    <w:rsid w:val="000E0EB1"/>
    <w:pPr>
      <w:spacing w:after="160" w:line="259" w:lineRule="auto"/>
    </w:pPr>
    <w:rPr>
      <w:rFonts w:ascii="Century Gothic" w:hAnsi="Century Gothic"/>
      <w:sz w:val="24"/>
    </w:rPr>
  </w:style>
  <w:style w:type="character" w:customStyle="1" w:styleId="BodyTextChar">
    <w:name w:val="Body Text Char"/>
    <w:basedOn w:val="DefaultParagraphFont"/>
    <w:link w:val="BodyText"/>
    <w:uiPriority w:val="14"/>
    <w:rsid w:val="000E0EB1"/>
    <w:rPr>
      <w:rFonts w:ascii="Century Gothic" w:hAnsi="Century Gothic"/>
      <w:sz w:val="24"/>
    </w:rPr>
  </w:style>
  <w:style w:type="character" w:customStyle="1" w:styleId="Heading1Char">
    <w:name w:val="Heading 1 Char"/>
    <w:basedOn w:val="DefaultParagraphFont"/>
    <w:link w:val="Heading1"/>
    <w:uiPriority w:val="9"/>
    <w:rsid w:val="006F1D7F"/>
    <w:rPr>
      <w:rFonts w:asciiTheme="majorHAnsi" w:eastAsiaTheme="majorEastAsia" w:hAnsiTheme="majorHAnsi" w:cstheme="majorBidi"/>
      <w:color w:val="0083B3" w:themeColor="accent1" w:themeShade="BF"/>
      <w:sz w:val="32"/>
      <w:szCs w:val="32"/>
    </w:rPr>
  </w:style>
  <w:style w:type="character" w:customStyle="1" w:styleId="Heading2Char">
    <w:name w:val="Heading 2 Char"/>
    <w:basedOn w:val="DefaultParagraphFont"/>
    <w:link w:val="Heading2"/>
    <w:uiPriority w:val="9"/>
    <w:rsid w:val="000E0EB1"/>
    <w:rPr>
      <w:rFonts w:ascii="Century Gothic" w:eastAsiaTheme="majorEastAsia" w:hAnsi="Century Gothic" w:cstheme="majorBidi"/>
      <w:color w:val="404040" w:themeColor="text1" w:themeTint="BF"/>
      <w:sz w:val="40"/>
      <w:szCs w:val="28"/>
    </w:rPr>
  </w:style>
  <w:style w:type="character" w:customStyle="1" w:styleId="Heading3Char">
    <w:name w:val="Heading 3 Char"/>
    <w:basedOn w:val="DefaultParagraphFont"/>
    <w:link w:val="Heading3"/>
    <w:uiPriority w:val="9"/>
    <w:rsid w:val="00624233"/>
    <w:rPr>
      <w:rFonts w:ascii="Century Gothic" w:eastAsiaTheme="majorEastAsia" w:hAnsi="Century Gothic" w:cstheme="majorBidi"/>
      <w:color w:val="00146D" w:themeColor="text2"/>
      <w:sz w:val="32"/>
      <w:szCs w:val="24"/>
    </w:rPr>
  </w:style>
  <w:style w:type="character" w:customStyle="1" w:styleId="Heading4Char">
    <w:name w:val="Heading 4 Char"/>
    <w:basedOn w:val="DefaultParagraphFont"/>
    <w:link w:val="Heading4"/>
    <w:uiPriority w:val="9"/>
    <w:rsid w:val="006F1D7F"/>
    <w:rPr>
      <w:rFonts w:asciiTheme="majorHAnsi" w:eastAsiaTheme="majorEastAsia" w:hAnsiTheme="majorHAnsi" w:cstheme="majorBidi"/>
      <w:sz w:val="22"/>
      <w:szCs w:val="22"/>
    </w:rPr>
  </w:style>
  <w:style w:type="paragraph" w:styleId="Title">
    <w:name w:val="Title"/>
    <w:basedOn w:val="Normal"/>
    <w:next w:val="Normal"/>
    <w:link w:val="TitleChar"/>
    <w:uiPriority w:val="4"/>
    <w:qFormat/>
    <w:rsid w:val="006F1D7F"/>
    <w:pPr>
      <w:spacing w:after="0" w:line="240" w:lineRule="auto"/>
      <w:contextualSpacing/>
    </w:pPr>
    <w:rPr>
      <w:rFonts w:asciiTheme="majorHAnsi" w:eastAsiaTheme="majorEastAsia" w:hAnsiTheme="majorHAnsi" w:cstheme="majorBidi"/>
      <w:color w:val="00B0F0" w:themeColor="accent1"/>
      <w:spacing w:val="-10"/>
      <w:sz w:val="56"/>
      <w:szCs w:val="56"/>
    </w:rPr>
  </w:style>
  <w:style w:type="character" w:customStyle="1" w:styleId="TitleChar">
    <w:name w:val="Title Char"/>
    <w:basedOn w:val="DefaultParagraphFont"/>
    <w:link w:val="Title"/>
    <w:uiPriority w:val="4"/>
    <w:rsid w:val="006F1D7F"/>
    <w:rPr>
      <w:rFonts w:asciiTheme="majorHAnsi" w:eastAsiaTheme="majorEastAsia" w:hAnsiTheme="majorHAnsi" w:cstheme="majorBidi"/>
      <w:color w:val="00B0F0" w:themeColor="accent1"/>
      <w:spacing w:val="-10"/>
      <w:sz w:val="56"/>
      <w:szCs w:val="56"/>
    </w:rPr>
  </w:style>
  <w:style w:type="paragraph" w:styleId="Subtitle">
    <w:name w:val="Subtitle"/>
    <w:basedOn w:val="Normal"/>
    <w:next w:val="Normal"/>
    <w:link w:val="SubtitleChar"/>
    <w:uiPriority w:val="5"/>
    <w:qFormat/>
    <w:rsid w:val="006F1D7F"/>
    <w:pPr>
      <w:numPr>
        <w:ilvl w:val="1"/>
      </w:numPr>
      <w:spacing w:line="240" w:lineRule="auto"/>
    </w:pPr>
    <w:rPr>
      <w:rFonts w:asciiTheme="majorHAnsi" w:eastAsiaTheme="majorEastAsia" w:hAnsiTheme="majorHAnsi" w:cstheme="majorBidi"/>
      <w:szCs w:val="24"/>
    </w:rPr>
  </w:style>
  <w:style w:type="character" w:customStyle="1" w:styleId="SubtitleChar">
    <w:name w:val="Subtitle Char"/>
    <w:basedOn w:val="DefaultParagraphFont"/>
    <w:link w:val="Subtitle"/>
    <w:uiPriority w:val="5"/>
    <w:rsid w:val="006F1D7F"/>
    <w:rPr>
      <w:rFonts w:asciiTheme="majorHAnsi" w:eastAsiaTheme="majorEastAsia" w:hAnsiTheme="majorHAnsi" w:cstheme="majorBidi"/>
      <w:sz w:val="24"/>
      <w:szCs w:val="24"/>
    </w:rPr>
  </w:style>
  <w:style w:type="paragraph" w:customStyle="1" w:styleId="BaseStyle">
    <w:name w:val="___Base Style"/>
    <w:semiHidden/>
    <w:rsid w:val="00E54D23"/>
    <w:pPr>
      <w:spacing w:after="0" w:line="276" w:lineRule="auto"/>
    </w:pPr>
  </w:style>
  <w:style w:type="paragraph" w:customStyle="1" w:styleId="BaseTable">
    <w:name w:val="___Base Table"/>
    <w:semiHidden/>
    <w:rsid w:val="00E54D23"/>
  </w:style>
  <w:style w:type="paragraph" w:customStyle="1" w:styleId="BaseText">
    <w:name w:val="__Base Text"/>
    <w:basedOn w:val="BaseStyle"/>
    <w:semiHidden/>
    <w:rsid w:val="00E54D23"/>
  </w:style>
  <w:style w:type="paragraph" w:customStyle="1" w:styleId="BaseHeading">
    <w:name w:val="__Base Heading"/>
    <w:basedOn w:val="BaseStyle"/>
    <w:next w:val="BodyText"/>
    <w:semiHidden/>
    <w:rsid w:val="00BE6348"/>
    <w:pPr>
      <w:keepNext/>
      <w:keepLines/>
    </w:pPr>
    <w:rPr>
      <w:rFonts w:asciiTheme="majorHAnsi" w:hAnsiTheme="majorHAnsi"/>
      <w:color w:val="00146D" w:themeColor="text2"/>
    </w:rPr>
  </w:style>
  <w:style w:type="table" w:customStyle="1" w:styleId="Plain">
    <w:name w:val="Plain"/>
    <w:basedOn w:val="TableNormal"/>
    <w:rsid w:val="00E54D23"/>
    <w:pPr>
      <w:spacing w:after="0" w:line="240" w:lineRule="auto"/>
    </w:pPr>
    <w:tblPr/>
    <w:tcPr>
      <w:shd w:val="clear" w:color="auto" w:fill="auto"/>
      <w:tcMar>
        <w:left w:w="0" w:type="dxa"/>
        <w:right w:w="0" w:type="dxa"/>
      </w:tcMar>
    </w:tcPr>
  </w:style>
  <w:style w:type="paragraph" w:customStyle="1" w:styleId="1ptspacer">
    <w:name w:val="__1pt spacer"/>
    <w:basedOn w:val="BaseStyle"/>
    <w:next w:val="BodyText"/>
    <w:semiHidden/>
    <w:rsid w:val="00E54D23"/>
    <w:pPr>
      <w:spacing w:line="20" w:lineRule="exact"/>
    </w:pPr>
    <w:rPr>
      <w:sz w:val="2"/>
    </w:rPr>
  </w:style>
  <w:style w:type="paragraph" w:customStyle="1" w:styleId="Placeholder">
    <w:name w:val="__Placeholder"/>
    <w:basedOn w:val="BaseText"/>
    <w:next w:val="BodyText"/>
    <w:semiHidden/>
    <w:rsid w:val="00E54D23"/>
    <w:pPr>
      <w:spacing w:line="240" w:lineRule="auto"/>
      <w:jc w:val="center"/>
    </w:pPr>
  </w:style>
  <w:style w:type="paragraph" w:customStyle="1" w:styleId="TableSpaceAfter">
    <w:name w:val="__TableSpaceAfter"/>
    <w:basedOn w:val="BaseStyle"/>
    <w:next w:val="BodyText"/>
    <w:semiHidden/>
    <w:rsid w:val="00E54D23"/>
    <w:pPr>
      <w:spacing w:line="20" w:lineRule="exact"/>
    </w:pPr>
    <w:rPr>
      <w:sz w:val="2"/>
    </w:rPr>
  </w:style>
  <w:style w:type="paragraph" w:styleId="ListBullet">
    <w:name w:val="List Bullet"/>
    <w:basedOn w:val="BodyText"/>
    <w:uiPriority w:val="15"/>
    <w:qFormat/>
    <w:rsid w:val="00A3341B"/>
    <w:pPr>
      <w:ind w:left="283" w:hanging="283"/>
    </w:pPr>
  </w:style>
  <w:style w:type="paragraph" w:customStyle="1" w:styleId="TableText">
    <w:name w:val="Table Text"/>
    <w:basedOn w:val="BaseTable"/>
    <w:uiPriority w:val="35"/>
    <w:qFormat/>
    <w:rsid w:val="000020A6"/>
    <w:pPr>
      <w:spacing w:after="0" w:line="240" w:lineRule="auto"/>
    </w:pPr>
  </w:style>
  <w:style w:type="character" w:styleId="BookTitle">
    <w:name w:val="Book Title"/>
    <w:basedOn w:val="DefaultParagraphFont"/>
    <w:uiPriority w:val="33"/>
    <w:qFormat/>
    <w:rsid w:val="006F1D7F"/>
    <w:rPr>
      <w:b/>
      <w:bCs/>
      <w:smallCaps/>
    </w:rPr>
  </w:style>
  <w:style w:type="character" w:styleId="Emphasis">
    <w:name w:val="Emphasis"/>
    <w:basedOn w:val="DefaultParagraphFont"/>
    <w:uiPriority w:val="20"/>
    <w:qFormat/>
    <w:rsid w:val="006F1D7F"/>
    <w:rPr>
      <w:i/>
      <w:iCs/>
    </w:rPr>
  </w:style>
  <w:style w:type="character" w:styleId="IntenseEmphasis">
    <w:name w:val="Intense Emphasis"/>
    <w:basedOn w:val="DefaultParagraphFont"/>
    <w:uiPriority w:val="21"/>
    <w:qFormat/>
    <w:rsid w:val="006F1D7F"/>
    <w:rPr>
      <w:b/>
      <w:bCs/>
      <w:i/>
      <w:iCs/>
    </w:rPr>
  </w:style>
  <w:style w:type="paragraph" w:styleId="IntenseQuote">
    <w:name w:val="Intense Quote"/>
    <w:basedOn w:val="Normal"/>
    <w:next w:val="Normal"/>
    <w:link w:val="IntenseQuoteChar"/>
    <w:uiPriority w:val="30"/>
    <w:qFormat/>
    <w:rsid w:val="006F1D7F"/>
    <w:pPr>
      <w:pBdr>
        <w:left w:val="single" w:sz="18" w:space="12" w:color="00B0F0" w:themeColor="accent1"/>
      </w:pBdr>
      <w:spacing w:before="100" w:beforeAutospacing="1" w:line="300" w:lineRule="auto"/>
      <w:ind w:left="1224" w:right="1224"/>
    </w:pPr>
    <w:rPr>
      <w:rFonts w:asciiTheme="majorHAnsi" w:eastAsiaTheme="majorEastAsia" w:hAnsiTheme="majorHAnsi" w:cstheme="majorBidi"/>
      <w:color w:val="00B0F0" w:themeColor="accent1"/>
      <w:sz w:val="28"/>
      <w:szCs w:val="28"/>
    </w:rPr>
  </w:style>
  <w:style w:type="character" w:customStyle="1" w:styleId="IntenseQuoteChar">
    <w:name w:val="Intense Quote Char"/>
    <w:basedOn w:val="DefaultParagraphFont"/>
    <w:link w:val="IntenseQuote"/>
    <w:uiPriority w:val="30"/>
    <w:rsid w:val="006F1D7F"/>
    <w:rPr>
      <w:rFonts w:asciiTheme="majorHAnsi" w:eastAsiaTheme="majorEastAsia" w:hAnsiTheme="majorHAnsi" w:cstheme="majorBidi"/>
      <w:color w:val="00B0F0" w:themeColor="accent1"/>
      <w:sz w:val="28"/>
      <w:szCs w:val="28"/>
    </w:rPr>
  </w:style>
  <w:style w:type="character" w:styleId="IntenseReference">
    <w:name w:val="Intense Reference"/>
    <w:basedOn w:val="DefaultParagraphFont"/>
    <w:uiPriority w:val="32"/>
    <w:qFormat/>
    <w:rsid w:val="006F1D7F"/>
    <w:rPr>
      <w:b/>
      <w:bCs/>
      <w:smallCaps/>
      <w:spacing w:val="5"/>
      <w:u w:val="single"/>
    </w:rPr>
  </w:style>
  <w:style w:type="paragraph" w:styleId="ListParagraph">
    <w:name w:val="List Paragraph"/>
    <w:basedOn w:val="Normal"/>
    <w:uiPriority w:val="34"/>
    <w:qFormat/>
    <w:rsid w:val="00E54D23"/>
    <w:pPr>
      <w:ind w:left="720"/>
      <w:contextualSpacing/>
    </w:pPr>
  </w:style>
  <w:style w:type="paragraph" w:styleId="NoSpacing">
    <w:name w:val="No Spacing"/>
    <w:link w:val="NoSpacingChar"/>
    <w:uiPriority w:val="1"/>
    <w:qFormat/>
    <w:rsid w:val="006F1D7F"/>
    <w:pPr>
      <w:spacing w:after="0" w:line="240" w:lineRule="auto"/>
    </w:pPr>
  </w:style>
  <w:style w:type="paragraph" w:styleId="Quote">
    <w:name w:val="Quote"/>
    <w:basedOn w:val="Normal"/>
    <w:next w:val="Normal"/>
    <w:link w:val="QuoteChar"/>
    <w:uiPriority w:val="29"/>
    <w:qFormat/>
    <w:rsid w:val="006F1D7F"/>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6F1D7F"/>
    <w:rPr>
      <w:i/>
      <w:iCs/>
      <w:color w:val="404040" w:themeColor="text1" w:themeTint="BF"/>
    </w:rPr>
  </w:style>
  <w:style w:type="character" w:styleId="Strong">
    <w:name w:val="Strong"/>
    <w:basedOn w:val="DefaultParagraphFont"/>
    <w:uiPriority w:val="22"/>
    <w:qFormat/>
    <w:rsid w:val="006F1D7F"/>
    <w:rPr>
      <w:b/>
      <w:bCs/>
    </w:rPr>
  </w:style>
  <w:style w:type="character" w:styleId="SubtleEmphasis">
    <w:name w:val="Subtle Emphasis"/>
    <w:basedOn w:val="DefaultParagraphFont"/>
    <w:uiPriority w:val="19"/>
    <w:qFormat/>
    <w:rsid w:val="006F1D7F"/>
    <w:rPr>
      <w:i/>
      <w:iCs/>
      <w:color w:val="404040" w:themeColor="text1" w:themeTint="BF"/>
    </w:rPr>
  </w:style>
  <w:style w:type="character" w:styleId="SubtleReference">
    <w:name w:val="Subtle Reference"/>
    <w:basedOn w:val="DefaultParagraphFont"/>
    <w:uiPriority w:val="31"/>
    <w:qFormat/>
    <w:rsid w:val="006F1D7F"/>
    <w:rPr>
      <w:smallCaps/>
      <w:color w:val="404040" w:themeColor="text1" w:themeTint="BF"/>
      <w:u w:val="single" w:color="7F7F7F" w:themeColor="text1" w:themeTint="80"/>
    </w:rPr>
  </w:style>
  <w:style w:type="numbering" w:customStyle="1" w:styleId="ListBullets">
    <w:name w:val="__List Bullets"/>
    <w:rsid w:val="00A3341B"/>
    <w:pPr>
      <w:numPr>
        <w:numId w:val="1"/>
      </w:numPr>
    </w:pPr>
  </w:style>
  <w:style w:type="numbering" w:customStyle="1" w:styleId="ListNumbers">
    <w:name w:val="__List Numbers"/>
    <w:rsid w:val="00797BF4"/>
    <w:pPr>
      <w:numPr>
        <w:numId w:val="5"/>
      </w:numPr>
    </w:pPr>
  </w:style>
  <w:style w:type="paragraph" w:styleId="ListNumber">
    <w:name w:val="List Number"/>
    <w:basedOn w:val="BodyText"/>
    <w:uiPriority w:val="15"/>
    <w:rsid w:val="00797BF4"/>
    <w:pPr>
      <w:spacing w:after="120" w:line="276" w:lineRule="auto"/>
      <w:ind w:left="340" w:hanging="340"/>
    </w:pPr>
  </w:style>
  <w:style w:type="table" w:customStyle="1" w:styleId="Systemiq-Table4">
    <w:name w:val="Systemiq - Table 4"/>
    <w:basedOn w:val="Systemiq-Table2"/>
    <w:uiPriority w:val="99"/>
    <w:rsid w:val="00BE6348"/>
    <w:tblPr/>
    <w:tblStylePr w:type="firstRow">
      <w:pPr>
        <w:wordWrap/>
        <w:spacing w:beforeLines="0" w:before="0" w:beforeAutospacing="0" w:afterLines="0" w:after="0" w:afterAutospacing="0" w:line="240" w:lineRule="auto"/>
        <w:ind w:leftChars="0" w:left="0" w:rightChars="0" w:right="0" w:firstLineChars="0" w:firstLine="0"/>
        <w:jc w:val="left"/>
      </w:pPr>
      <w:rPr>
        <w:rFonts w:ascii="@Yu Gothic UI Light" w:hAnsi="@Yu Gothic UI Light"/>
        <w:b/>
        <w:i w:val="0"/>
        <w:color w:val="FFFFFF" w:themeColor="background1"/>
        <w:sz w:val="24"/>
        <w:u w:val="none"/>
      </w:rPr>
      <w:tblPr/>
      <w:tcPr>
        <w:shd w:val="clear" w:color="auto" w:fill="00146D" w:themeFill="text2"/>
        <w:noWrap/>
        <w:tcMar>
          <w:top w:w="28" w:type="dxa"/>
          <w:left w:w="113" w:type="dxa"/>
          <w:bottom w:w="28" w:type="dxa"/>
          <w:right w:w="113" w:type="dxa"/>
        </w:tcMar>
        <w:vAlign w:val="center"/>
      </w:tcPr>
    </w:tblStylePr>
    <w:tblStylePr w:type="band1Horz">
      <w:tblPr/>
      <w:tcPr>
        <w:shd w:val="clear" w:color="auto" w:fill="FFFFFF" w:themeFill="background1"/>
      </w:tcPr>
    </w:tblStylePr>
    <w:tblStylePr w:type="band2Horz">
      <w:tblPr/>
      <w:tcPr>
        <w:shd w:val="clear" w:color="auto" w:fill="FFFFFF" w:themeFill="background1"/>
      </w:tcPr>
    </w:tblStylePr>
  </w:style>
  <w:style w:type="table" w:customStyle="1" w:styleId="Systemiq-Table2">
    <w:name w:val="Systemiq - Table 2"/>
    <w:basedOn w:val="Systemiq-Table1"/>
    <w:uiPriority w:val="99"/>
    <w:rsid w:val="00BE6348"/>
    <w:tblPr/>
    <w:tblStylePr w:type="firstRow">
      <w:pPr>
        <w:wordWrap/>
        <w:spacing w:beforeLines="0" w:before="0" w:beforeAutospacing="0" w:afterLines="0" w:after="0" w:afterAutospacing="0" w:line="240" w:lineRule="auto"/>
        <w:ind w:leftChars="0" w:left="0" w:rightChars="0" w:right="0" w:firstLineChars="0" w:firstLine="0"/>
        <w:jc w:val="left"/>
      </w:pPr>
      <w:rPr>
        <w:rFonts w:ascii="Bahnschrift SemiBold" w:hAnsi="Bahnschrift SemiBold"/>
        <w:b/>
        <w:i w:val="0"/>
        <w:color w:val="FFFFFF" w:themeColor="background1"/>
        <w:sz w:val="24"/>
        <w:u w:val="none"/>
      </w:rPr>
      <w:tblPr/>
      <w:tcPr>
        <w:shd w:val="clear" w:color="auto" w:fill="00146D" w:themeFill="text2"/>
        <w:noWrap/>
        <w:tcMar>
          <w:top w:w="28" w:type="dxa"/>
          <w:left w:w="113" w:type="dxa"/>
          <w:bottom w:w="28" w:type="dxa"/>
          <w:right w:w="113" w:type="dxa"/>
        </w:tcMar>
        <w:vAlign w:val="center"/>
      </w:tcPr>
    </w:tblStylePr>
    <w:tblStylePr w:type="band1Horz">
      <w:tblPr/>
      <w:tcPr>
        <w:shd w:val="clear" w:color="auto" w:fill="F1F2F1" w:themeFill="accent6" w:themeFillTint="33"/>
      </w:tcPr>
    </w:tblStylePr>
    <w:tblStylePr w:type="band2Horz">
      <w:tblPr/>
      <w:tcPr>
        <w:shd w:val="clear" w:color="auto" w:fill="FFFFFF" w:themeFill="background1"/>
      </w:tcPr>
    </w:tblStylePr>
  </w:style>
  <w:style w:type="character" w:customStyle="1" w:styleId="Accent1">
    <w:name w:val="Accent 1"/>
    <w:basedOn w:val="DefaultParagraphFont"/>
    <w:uiPriority w:val="36"/>
    <w:semiHidden/>
    <w:qFormat/>
    <w:rsid w:val="0090572F"/>
    <w:rPr>
      <w:color w:val="00B0F0" w:themeColor="accent1"/>
    </w:rPr>
  </w:style>
  <w:style w:type="character" w:customStyle="1" w:styleId="Accent2">
    <w:name w:val="Accent 2"/>
    <w:basedOn w:val="DefaultParagraphFont"/>
    <w:uiPriority w:val="36"/>
    <w:semiHidden/>
    <w:qFormat/>
    <w:rsid w:val="00274DD8"/>
    <w:rPr>
      <w:color w:val="B2D235" w:themeColor="accent2"/>
    </w:rPr>
  </w:style>
  <w:style w:type="character" w:customStyle="1" w:styleId="Accent3">
    <w:name w:val="Accent 3"/>
    <w:basedOn w:val="DefaultParagraphFont"/>
    <w:uiPriority w:val="36"/>
    <w:semiHidden/>
    <w:qFormat/>
    <w:rsid w:val="00274DD8"/>
    <w:rPr>
      <w:color w:val="FEDD00" w:themeColor="accent3"/>
    </w:rPr>
  </w:style>
  <w:style w:type="character" w:customStyle="1" w:styleId="Accent4">
    <w:name w:val="Accent 4"/>
    <w:basedOn w:val="DefaultParagraphFont"/>
    <w:uiPriority w:val="36"/>
    <w:semiHidden/>
    <w:qFormat/>
    <w:rsid w:val="00274DD8"/>
    <w:rPr>
      <w:color w:val="FF6D70" w:themeColor="accent4"/>
    </w:rPr>
  </w:style>
  <w:style w:type="character" w:customStyle="1" w:styleId="Accent5">
    <w:name w:val="Accent 5"/>
    <w:basedOn w:val="DefaultParagraphFont"/>
    <w:uiPriority w:val="36"/>
    <w:semiHidden/>
    <w:qFormat/>
    <w:rsid w:val="00274DD8"/>
    <w:rPr>
      <w:color w:val="585854" w:themeColor="accent5"/>
    </w:rPr>
  </w:style>
  <w:style w:type="character" w:customStyle="1" w:styleId="Accent6">
    <w:name w:val="Accent 6"/>
    <w:basedOn w:val="DefaultParagraphFont"/>
    <w:uiPriority w:val="36"/>
    <w:semiHidden/>
    <w:qFormat/>
    <w:rsid w:val="00274DD8"/>
    <w:rPr>
      <w:color w:val="BCBEBB" w:themeColor="accent6"/>
    </w:rPr>
  </w:style>
  <w:style w:type="paragraph" w:customStyle="1" w:styleId="BaseSECTION">
    <w:name w:val="__Base SECTION"/>
    <w:basedOn w:val="BaseText"/>
    <w:next w:val="BodyText"/>
    <w:semiHidden/>
    <w:rsid w:val="00631584"/>
    <w:pPr>
      <w:spacing w:line="160" w:lineRule="exact"/>
    </w:pPr>
    <w:rPr>
      <w:color w:val="0000FF"/>
      <w:sz w:val="16"/>
    </w:rPr>
  </w:style>
  <w:style w:type="paragraph" w:customStyle="1" w:styleId="LinkedPH">
    <w:name w:val="__Linked PH"/>
    <w:basedOn w:val="TableText"/>
    <w:semiHidden/>
    <w:rsid w:val="00631584"/>
    <w:pPr>
      <w:spacing w:before="120" w:line="20" w:lineRule="exact"/>
      <w:ind w:right="113"/>
    </w:pPr>
    <w:rPr>
      <w:sz w:val="2"/>
    </w:rPr>
  </w:style>
  <w:style w:type="paragraph" w:customStyle="1" w:styleId="SECTION2Column">
    <w:name w:val="__SECTION 2Column"/>
    <w:basedOn w:val="BaseSECTION"/>
    <w:next w:val="BodyText"/>
    <w:semiHidden/>
    <w:rsid w:val="00631584"/>
  </w:style>
  <w:style w:type="paragraph" w:customStyle="1" w:styleId="SECTION3Column">
    <w:name w:val="__SECTION 3Column"/>
    <w:basedOn w:val="BaseSECTION"/>
    <w:next w:val="BodyText"/>
    <w:semiHidden/>
    <w:rsid w:val="00631584"/>
  </w:style>
  <w:style w:type="paragraph" w:customStyle="1" w:styleId="SECTIONBackCover">
    <w:name w:val="__SECTION BackCover"/>
    <w:basedOn w:val="BaseSECTION"/>
    <w:next w:val="BodyText"/>
    <w:semiHidden/>
    <w:rsid w:val="00631584"/>
  </w:style>
  <w:style w:type="paragraph" w:customStyle="1" w:styleId="SECTIONCover">
    <w:name w:val="__SECTION Cover"/>
    <w:basedOn w:val="BaseSECTION"/>
    <w:next w:val="BodyText"/>
    <w:semiHidden/>
    <w:rsid w:val="00631584"/>
  </w:style>
  <w:style w:type="paragraph" w:customStyle="1" w:styleId="SECTIONFullWidth">
    <w:name w:val="__SECTION FullWidth"/>
    <w:basedOn w:val="BaseSECTION"/>
    <w:next w:val="BodyText"/>
    <w:semiHidden/>
    <w:rsid w:val="00631584"/>
  </w:style>
  <w:style w:type="paragraph" w:customStyle="1" w:styleId="SECTIONLandscape">
    <w:name w:val="__SECTION Landscape"/>
    <w:basedOn w:val="BaseSECTION"/>
    <w:next w:val="BodyText"/>
    <w:semiHidden/>
    <w:rsid w:val="00631584"/>
  </w:style>
  <w:style w:type="paragraph" w:customStyle="1" w:styleId="SECTIONMargin">
    <w:name w:val="__SECTION Margin"/>
    <w:basedOn w:val="BaseSECTION"/>
    <w:next w:val="BodyText"/>
    <w:semiHidden/>
    <w:rsid w:val="00631584"/>
  </w:style>
  <w:style w:type="paragraph" w:customStyle="1" w:styleId="SECTIONToC">
    <w:name w:val="__SECTION ToC"/>
    <w:basedOn w:val="BaseSECTION"/>
    <w:next w:val="BodyText"/>
    <w:semiHidden/>
    <w:rsid w:val="00631584"/>
  </w:style>
  <w:style w:type="paragraph" w:customStyle="1" w:styleId="SECTIONDivider">
    <w:name w:val="__SECTION Divider"/>
    <w:basedOn w:val="BaseSECTION"/>
    <w:next w:val="BodyText"/>
    <w:semiHidden/>
    <w:rsid w:val="00631584"/>
  </w:style>
  <w:style w:type="paragraph" w:customStyle="1" w:styleId="TombstoneText">
    <w:name w:val="Tombstone Text"/>
    <w:basedOn w:val="BaseText"/>
    <w:uiPriority w:val="21"/>
    <w:semiHidden/>
    <w:rsid w:val="00CC22FB"/>
    <w:pPr>
      <w:spacing w:before="120" w:after="120" w:line="240" w:lineRule="auto"/>
      <w:ind w:left="113" w:right="113"/>
    </w:pPr>
    <w:rPr>
      <w:rFonts w:cstheme="minorHAnsi"/>
      <w:color w:val="000000" w:themeColor="text1"/>
      <w:sz w:val="16"/>
      <w:szCs w:val="24"/>
    </w:rPr>
  </w:style>
  <w:style w:type="paragraph" w:customStyle="1" w:styleId="TombstoneHeading">
    <w:name w:val="Tombstone Heading"/>
    <w:basedOn w:val="TombstoneText"/>
    <w:next w:val="TombstoneText"/>
    <w:uiPriority w:val="21"/>
    <w:semiHidden/>
    <w:rsid w:val="00631584"/>
    <w:rPr>
      <w:b/>
      <w:sz w:val="18"/>
      <w:szCs w:val="28"/>
    </w:rPr>
  </w:style>
  <w:style w:type="paragraph" w:customStyle="1" w:styleId="HeadingnoToC">
    <w:name w:val="Heading no ToC"/>
    <w:basedOn w:val="BaseHeading"/>
    <w:next w:val="Normal"/>
    <w:link w:val="HeadingnoToCChar"/>
    <w:uiPriority w:val="9"/>
    <w:semiHidden/>
    <w:qFormat/>
    <w:rsid w:val="00E23B5E"/>
    <w:pPr>
      <w:pBdr>
        <w:bottom w:val="single" w:sz="4" w:space="1" w:color="auto"/>
      </w:pBdr>
      <w:spacing w:before="120" w:line="259" w:lineRule="auto"/>
    </w:pPr>
    <w:rPr>
      <w:rFonts w:eastAsiaTheme="majorEastAsia" w:cstheme="majorBidi"/>
      <w:color w:val="002060"/>
      <w:sz w:val="40"/>
      <w:szCs w:val="24"/>
    </w:rPr>
  </w:style>
  <w:style w:type="character" w:customStyle="1" w:styleId="HeadingnoToCChar">
    <w:name w:val="Heading no ToC Char"/>
    <w:basedOn w:val="Heading3Char"/>
    <w:link w:val="HeadingnoToC"/>
    <w:uiPriority w:val="9"/>
    <w:semiHidden/>
    <w:rsid w:val="00316537"/>
    <w:rPr>
      <w:rFonts w:asciiTheme="majorHAnsi" w:eastAsiaTheme="majorEastAsia" w:hAnsiTheme="majorHAnsi" w:cstheme="majorBidi"/>
      <w:color w:val="002060"/>
      <w:sz w:val="40"/>
      <w:szCs w:val="24"/>
    </w:rPr>
  </w:style>
  <w:style w:type="character" w:customStyle="1" w:styleId="Heading5Char">
    <w:name w:val="Heading 5 Char"/>
    <w:basedOn w:val="DefaultParagraphFont"/>
    <w:link w:val="Heading5"/>
    <w:uiPriority w:val="9"/>
    <w:rsid w:val="006F1D7F"/>
    <w:rPr>
      <w:rFonts w:asciiTheme="majorHAnsi" w:eastAsiaTheme="majorEastAsia" w:hAnsiTheme="majorHAnsi" w:cstheme="majorBidi"/>
      <w:color w:val="00146D" w:themeColor="text2"/>
      <w:sz w:val="22"/>
      <w:szCs w:val="22"/>
    </w:rPr>
  </w:style>
  <w:style w:type="table" w:styleId="ListTable3">
    <w:name w:val="List Table 3"/>
    <w:basedOn w:val="TableNormal"/>
    <w:uiPriority w:val="48"/>
    <w:rsid w:val="000020A6"/>
    <w:pPr>
      <w:spacing w:after="0" w:line="240" w:lineRule="auto"/>
    </w:pPr>
    <w:rPr>
      <w:lang w:val="de-DE"/>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styleId="Caption">
    <w:name w:val="caption"/>
    <w:basedOn w:val="Normal"/>
    <w:next w:val="Normal"/>
    <w:uiPriority w:val="35"/>
    <w:unhideWhenUsed/>
    <w:qFormat/>
    <w:rsid w:val="00B13780"/>
    <w:pPr>
      <w:spacing w:line="240" w:lineRule="auto"/>
    </w:pPr>
    <w:rPr>
      <w:b/>
      <w:bCs/>
      <w:color w:val="595959" w:themeColor="text1" w:themeTint="A6"/>
      <w:spacing w:val="6"/>
    </w:rPr>
  </w:style>
  <w:style w:type="paragraph" w:customStyle="1" w:styleId="ListHeading1">
    <w:name w:val="List Heading 1"/>
    <w:basedOn w:val="Heading1"/>
    <w:uiPriority w:val="9"/>
    <w:qFormat/>
    <w:rsid w:val="003D35C9"/>
    <w:pPr>
      <w:ind w:left="397" w:hanging="397"/>
    </w:pPr>
  </w:style>
  <w:style w:type="paragraph" w:customStyle="1" w:styleId="ListHeading2">
    <w:name w:val="List Heading 2"/>
    <w:basedOn w:val="Heading2"/>
    <w:uiPriority w:val="9"/>
    <w:qFormat/>
    <w:rsid w:val="00C93FB3"/>
    <w:pPr>
      <w:ind w:left="907" w:hanging="510"/>
    </w:pPr>
  </w:style>
  <w:style w:type="paragraph" w:customStyle="1" w:styleId="ListHeading3">
    <w:name w:val="List Heading 3"/>
    <w:basedOn w:val="Heading3"/>
    <w:uiPriority w:val="9"/>
    <w:qFormat/>
    <w:rsid w:val="003D35C9"/>
    <w:pPr>
      <w:ind w:left="1588" w:hanging="681"/>
    </w:pPr>
  </w:style>
  <w:style w:type="numbering" w:customStyle="1" w:styleId="ListHeadings">
    <w:name w:val="List Headings"/>
    <w:uiPriority w:val="99"/>
    <w:rsid w:val="003D35C9"/>
    <w:pPr>
      <w:numPr>
        <w:numId w:val="2"/>
      </w:numPr>
    </w:pPr>
  </w:style>
  <w:style w:type="paragraph" w:styleId="ListNumber2">
    <w:name w:val="List Number 2"/>
    <w:basedOn w:val="Normal"/>
    <w:uiPriority w:val="99"/>
    <w:semiHidden/>
    <w:unhideWhenUsed/>
    <w:rsid w:val="00553483"/>
    <w:pPr>
      <w:numPr>
        <w:numId w:val="3"/>
      </w:numPr>
      <w:contextualSpacing/>
    </w:pPr>
  </w:style>
  <w:style w:type="paragraph" w:styleId="ListNumber3">
    <w:name w:val="List Number 3"/>
    <w:basedOn w:val="Normal"/>
    <w:uiPriority w:val="99"/>
    <w:semiHidden/>
    <w:unhideWhenUsed/>
    <w:rsid w:val="00553483"/>
    <w:pPr>
      <w:numPr>
        <w:numId w:val="4"/>
      </w:numPr>
      <w:contextualSpacing/>
    </w:pPr>
  </w:style>
  <w:style w:type="paragraph" w:styleId="Header">
    <w:name w:val="header"/>
    <w:basedOn w:val="Normal"/>
    <w:link w:val="HeaderChar"/>
    <w:uiPriority w:val="86"/>
    <w:semiHidden/>
    <w:rsid w:val="001156AC"/>
    <w:pPr>
      <w:tabs>
        <w:tab w:val="center" w:pos="4680"/>
        <w:tab w:val="right" w:pos="9360"/>
      </w:tabs>
      <w:spacing w:after="0" w:line="240" w:lineRule="auto"/>
    </w:pPr>
    <w:rPr>
      <w:sz w:val="18"/>
    </w:rPr>
  </w:style>
  <w:style w:type="character" w:customStyle="1" w:styleId="HeaderChar">
    <w:name w:val="Header Char"/>
    <w:basedOn w:val="DefaultParagraphFont"/>
    <w:link w:val="Header"/>
    <w:uiPriority w:val="86"/>
    <w:semiHidden/>
    <w:rsid w:val="00316537"/>
    <w:rPr>
      <w:sz w:val="18"/>
      <w:lang w:val="en-US"/>
    </w:rPr>
  </w:style>
  <w:style w:type="paragraph" w:styleId="Footer">
    <w:name w:val="footer"/>
    <w:basedOn w:val="Normal"/>
    <w:link w:val="FooterChar"/>
    <w:uiPriority w:val="99"/>
    <w:rsid w:val="001156AC"/>
    <w:pPr>
      <w:tabs>
        <w:tab w:val="center" w:pos="4680"/>
        <w:tab w:val="right" w:pos="9360"/>
      </w:tabs>
      <w:spacing w:after="0" w:line="240" w:lineRule="auto"/>
    </w:pPr>
    <w:rPr>
      <w:sz w:val="18"/>
    </w:rPr>
  </w:style>
  <w:style w:type="character" w:customStyle="1" w:styleId="FooterChar">
    <w:name w:val="Footer Char"/>
    <w:basedOn w:val="DefaultParagraphFont"/>
    <w:link w:val="Footer"/>
    <w:uiPriority w:val="99"/>
    <w:rsid w:val="00316537"/>
    <w:rPr>
      <w:sz w:val="18"/>
      <w:lang w:val="en-US"/>
    </w:rPr>
  </w:style>
  <w:style w:type="table" w:customStyle="1" w:styleId="Systemiq-Table1">
    <w:name w:val="Systemiq - Table 1"/>
    <w:basedOn w:val="TableNormal"/>
    <w:uiPriority w:val="99"/>
    <w:rsid w:val="00BE6348"/>
    <w:pPr>
      <w:spacing w:after="0" w:line="240" w:lineRule="auto"/>
    </w:pPr>
    <w:rPr>
      <w:color w:val="595959" w:themeColor="text1" w:themeTint="A6"/>
    </w:rPr>
    <w:tblPr>
      <w:tblStyleRowBandSize w:val="1"/>
      <w:tblBorders>
        <w:bottom w:val="single" w:sz="2" w:space="0" w:color="E4E5E3" w:themeColor="accent6" w:themeTint="66"/>
        <w:insideH w:val="single" w:sz="2" w:space="0" w:color="E4E5E3" w:themeColor="accent6" w:themeTint="66"/>
        <w:insideV w:val="single" w:sz="2" w:space="0" w:color="E4E5E3" w:themeColor="accent6" w:themeTint="66"/>
      </w:tblBorders>
    </w:tblPr>
    <w:tblStylePr w:type="firstRow">
      <w:pPr>
        <w:wordWrap/>
        <w:spacing w:beforeLines="0" w:before="0" w:beforeAutospacing="0" w:afterLines="0" w:after="0" w:afterAutospacing="0" w:line="240" w:lineRule="auto"/>
        <w:ind w:leftChars="0" w:left="0" w:rightChars="0" w:right="0" w:firstLineChars="0" w:firstLine="0"/>
        <w:jc w:val="left"/>
      </w:pPr>
      <w:rPr>
        <w:rFonts w:ascii="@Yu Gothic UI Light" w:hAnsi="@Yu Gothic UI Light"/>
        <w:b/>
        <w:i w:val="0"/>
        <w:color w:val="FFFFFF" w:themeColor="background1"/>
        <w:sz w:val="24"/>
        <w:u w:val="none"/>
      </w:rPr>
      <w:tblPr/>
      <w:tcPr>
        <w:shd w:val="clear" w:color="auto" w:fill="00146D" w:themeFill="text2"/>
        <w:noWrap/>
        <w:tcMar>
          <w:top w:w="28" w:type="dxa"/>
          <w:left w:w="113" w:type="dxa"/>
          <w:bottom w:w="28" w:type="dxa"/>
          <w:right w:w="113" w:type="dxa"/>
        </w:tcMar>
        <w:vAlign w:val="center"/>
      </w:tcPr>
    </w:tblStylePr>
  </w:style>
  <w:style w:type="table" w:styleId="PlainTable1">
    <w:name w:val="Plain Table 1"/>
    <w:basedOn w:val="TableNormal"/>
    <w:uiPriority w:val="41"/>
    <w:rsid w:val="004D031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Systemiq-Table3">
    <w:name w:val="Systemiq - Table 3"/>
    <w:basedOn w:val="TableNormal"/>
    <w:uiPriority w:val="99"/>
    <w:rsid w:val="00BE6348"/>
    <w:pPr>
      <w:spacing w:after="0" w:line="240" w:lineRule="auto"/>
    </w:pPr>
    <w:rPr>
      <w:color w:val="595959" w:themeColor="text1" w:themeTint="A6"/>
    </w:rPr>
    <w:tblPr>
      <w:tblBorders>
        <w:insideH w:val="single" w:sz="2" w:space="0" w:color="D6D8D6" w:themeColor="accent6" w:themeTint="99"/>
        <w:insideV w:val="single" w:sz="2" w:space="0" w:color="D6D8D6" w:themeColor="accent6" w:themeTint="99"/>
      </w:tblBorders>
    </w:tblPr>
    <w:tblStylePr w:type="firstRow">
      <w:pPr>
        <w:wordWrap/>
        <w:spacing w:beforeLines="0" w:before="0" w:beforeAutospacing="0" w:afterLines="0" w:after="0" w:afterAutospacing="0" w:line="240" w:lineRule="auto"/>
        <w:ind w:leftChars="0" w:left="0" w:rightChars="0" w:right="0" w:firstLineChars="0" w:firstLine="0"/>
        <w:jc w:val="left"/>
      </w:pPr>
      <w:rPr>
        <w:rFonts w:ascii="@Yu Gothic UI Light" w:hAnsi="@Yu Gothic UI Light"/>
        <w:b/>
        <w:i w:val="0"/>
        <w:color w:val="00146D" w:themeColor="text2"/>
        <w:sz w:val="24"/>
        <w:u w:val="none"/>
      </w:rPr>
      <w:tblPr/>
      <w:tcPr>
        <w:tcBorders>
          <w:top w:val="nil"/>
          <w:left w:val="nil"/>
          <w:bottom w:val="single" w:sz="8" w:space="0" w:color="00146D" w:themeColor="text2"/>
          <w:right w:val="nil"/>
          <w:insideH w:val="nil"/>
          <w:insideV w:val="nil"/>
          <w:tl2br w:val="nil"/>
          <w:tr2bl w:val="nil"/>
        </w:tcBorders>
        <w:shd w:val="clear" w:color="auto" w:fill="FFFFFF" w:themeFill="background1"/>
        <w:noWrap/>
        <w:vAlign w:val="center"/>
      </w:tcPr>
    </w:tblStylePr>
  </w:style>
  <w:style w:type="paragraph" w:styleId="TOCHeading">
    <w:name w:val="TOC Heading"/>
    <w:basedOn w:val="Heading1"/>
    <w:next w:val="Normal"/>
    <w:uiPriority w:val="38"/>
    <w:unhideWhenUsed/>
    <w:qFormat/>
    <w:rsid w:val="006F1D7F"/>
    <w:pPr>
      <w:outlineLvl w:val="9"/>
    </w:pPr>
  </w:style>
  <w:style w:type="character" w:styleId="PlaceholderText">
    <w:name w:val="Placeholder Text"/>
    <w:basedOn w:val="DefaultParagraphFont"/>
    <w:uiPriority w:val="99"/>
    <w:semiHidden/>
    <w:rsid w:val="007C4E7E"/>
    <w:rPr>
      <w:color w:val="808080"/>
    </w:rPr>
  </w:style>
  <w:style w:type="paragraph" w:styleId="TOC2">
    <w:name w:val="toc 2"/>
    <w:basedOn w:val="Normal"/>
    <w:next w:val="Normal"/>
    <w:autoRedefine/>
    <w:uiPriority w:val="39"/>
    <w:unhideWhenUsed/>
    <w:rsid w:val="00C67AA9"/>
    <w:pPr>
      <w:spacing w:after="100"/>
      <w:ind w:left="216"/>
    </w:pPr>
    <w:rPr>
      <w:color w:val="000000" w:themeColor="text1"/>
    </w:rPr>
  </w:style>
  <w:style w:type="paragraph" w:styleId="TOC1">
    <w:name w:val="toc 1"/>
    <w:basedOn w:val="Normal"/>
    <w:next w:val="Normal"/>
    <w:autoRedefine/>
    <w:uiPriority w:val="39"/>
    <w:rsid w:val="003658D9"/>
    <w:pPr>
      <w:spacing w:after="100"/>
    </w:pPr>
    <w:rPr>
      <w:color w:val="00146D" w:themeColor="text2"/>
    </w:rPr>
  </w:style>
  <w:style w:type="paragraph" w:styleId="TOC3">
    <w:name w:val="toc 3"/>
    <w:basedOn w:val="Normal"/>
    <w:next w:val="Normal"/>
    <w:autoRedefine/>
    <w:uiPriority w:val="39"/>
    <w:unhideWhenUsed/>
    <w:rsid w:val="00C67AA9"/>
    <w:pPr>
      <w:spacing w:after="100"/>
      <w:ind w:left="446"/>
    </w:pPr>
  </w:style>
  <w:style w:type="character" w:styleId="Hyperlink">
    <w:name w:val="Hyperlink"/>
    <w:basedOn w:val="DefaultParagraphFont"/>
    <w:uiPriority w:val="99"/>
    <w:rsid w:val="00E01B18"/>
    <w:rPr>
      <w:color w:val="00146D" w:themeColor="hyperlink"/>
      <w:u w:val="single"/>
    </w:rPr>
  </w:style>
  <w:style w:type="paragraph" w:customStyle="1" w:styleId="ClientName">
    <w:name w:val="Client Name"/>
    <w:basedOn w:val="BodyText"/>
    <w:semiHidden/>
    <w:rsid w:val="0063701D"/>
    <w:rPr>
      <w:rFonts w:asciiTheme="majorHAnsi" w:hAnsiTheme="majorHAnsi"/>
      <w:color w:val="00146D" w:themeColor="text2"/>
      <w:sz w:val="52"/>
    </w:rPr>
  </w:style>
  <w:style w:type="character" w:customStyle="1" w:styleId="NoSpacingChar">
    <w:name w:val="No Spacing Char"/>
    <w:basedOn w:val="DefaultParagraphFont"/>
    <w:link w:val="NoSpacing"/>
    <w:uiPriority w:val="1"/>
    <w:locked/>
    <w:rsid w:val="000412A1"/>
  </w:style>
  <w:style w:type="table" w:styleId="TableGrid">
    <w:name w:val="Table Grid"/>
    <w:basedOn w:val="TableNormal"/>
    <w:uiPriority w:val="39"/>
    <w:rsid w:val="00BE63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C16E80"/>
    <w:pPr>
      <w:spacing w:after="0" w:line="240" w:lineRule="auto"/>
    </w:pPr>
    <w:rPr>
      <w:lang w:val="en-US"/>
    </w:rPr>
  </w:style>
  <w:style w:type="character" w:styleId="CommentReference">
    <w:name w:val="annotation reference"/>
    <w:basedOn w:val="DefaultParagraphFont"/>
    <w:uiPriority w:val="99"/>
    <w:semiHidden/>
    <w:unhideWhenUsed/>
    <w:rsid w:val="00112981"/>
    <w:rPr>
      <w:sz w:val="16"/>
      <w:szCs w:val="16"/>
    </w:rPr>
  </w:style>
  <w:style w:type="paragraph" w:styleId="CommentText">
    <w:name w:val="annotation text"/>
    <w:basedOn w:val="Normal"/>
    <w:link w:val="CommentTextChar"/>
    <w:uiPriority w:val="99"/>
    <w:unhideWhenUsed/>
    <w:rsid w:val="00112981"/>
    <w:pPr>
      <w:spacing w:line="240" w:lineRule="auto"/>
    </w:pPr>
  </w:style>
  <w:style w:type="character" w:customStyle="1" w:styleId="CommentTextChar">
    <w:name w:val="Comment Text Char"/>
    <w:basedOn w:val="DefaultParagraphFont"/>
    <w:link w:val="CommentText"/>
    <w:uiPriority w:val="99"/>
    <w:rsid w:val="00112981"/>
    <w:rPr>
      <w:sz w:val="20"/>
      <w:szCs w:val="20"/>
      <w:lang w:val="en-US"/>
    </w:rPr>
  </w:style>
  <w:style w:type="paragraph" w:styleId="CommentSubject">
    <w:name w:val="annotation subject"/>
    <w:basedOn w:val="CommentText"/>
    <w:next w:val="CommentText"/>
    <w:link w:val="CommentSubjectChar"/>
    <w:uiPriority w:val="99"/>
    <w:semiHidden/>
    <w:unhideWhenUsed/>
    <w:rsid w:val="00112981"/>
    <w:rPr>
      <w:b/>
      <w:bCs/>
    </w:rPr>
  </w:style>
  <w:style w:type="character" w:customStyle="1" w:styleId="CommentSubjectChar">
    <w:name w:val="Comment Subject Char"/>
    <w:basedOn w:val="CommentTextChar"/>
    <w:link w:val="CommentSubject"/>
    <w:uiPriority w:val="99"/>
    <w:semiHidden/>
    <w:rsid w:val="00112981"/>
    <w:rPr>
      <w:b/>
      <w:bCs/>
      <w:sz w:val="20"/>
      <w:szCs w:val="20"/>
      <w:lang w:val="en-US"/>
    </w:rPr>
  </w:style>
  <w:style w:type="paragraph" w:customStyle="1" w:styleId="pf0">
    <w:name w:val="pf0"/>
    <w:basedOn w:val="Normal"/>
    <w:rsid w:val="00BA0E0F"/>
    <w:pPr>
      <w:spacing w:before="100" w:beforeAutospacing="1" w:after="100" w:afterAutospacing="1" w:line="240" w:lineRule="auto"/>
    </w:pPr>
    <w:rPr>
      <w:rFonts w:ascii="Times New Roman" w:eastAsia="Times New Roman" w:hAnsi="Times New Roman" w:cs="Times New Roman"/>
      <w:szCs w:val="24"/>
      <w:lang w:eastAsia="en-GB"/>
    </w:rPr>
  </w:style>
  <w:style w:type="character" w:customStyle="1" w:styleId="cf01">
    <w:name w:val="cf01"/>
    <w:basedOn w:val="DefaultParagraphFont"/>
    <w:rsid w:val="00BA0E0F"/>
    <w:rPr>
      <w:rFonts w:ascii="Segoe UI" w:hAnsi="Segoe UI" w:cs="Segoe UI" w:hint="default"/>
      <w:sz w:val="18"/>
      <w:szCs w:val="18"/>
    </w:rPr>
  </w:style>
  <w:style w:type="character" w:customStyle="1" w:styleId="Heading6Char">
    <w:name w:val="Heading 6 Char"/>
    <w:basedOn w:val="DefaultParagraphFont"/>
    <w:link w:val="Heading6"/>
    <w:uiPriority w:val="9"/>
    <w:semiHidden/>
    <w:rsid w:val="006F1D7F"/>
    <w:rPr>
      <w:rFonts w:asciiTheme="majorHAnsi" w:eastAsiaTheme="majorEastAsia" w:hAnsiTheme="majorHAnsi" w:cstheme="majorBidi"/>
      <w:i/>
      <w:iCs/>
      <w:color w:val="00146D" w:themeColor="text2"/>
      <w:sz w:val="21"/>
      <w:szCs w:val="21"/>
    </w:rPr>
  </w:style>
  <w:style w:type="character" w:customStyle="1" w:styleId="Heading7Char">
    <w:name w:val="Heading 7 Char"/>
    <w:basedOn w:val="DefaultParagraphFont"/>
    <w:link w:val="Heading7"/>
    <w:uiPriority w:val="9"/>
    <w:semiHidden/>
    <w:rsid w:val="006F1D7F"/>
    <w:rPr>
      <w:rFonts w:asciiTheme="majorHAnsi" w:eastAsiaTheme="majorEastAsia" w:hAnsiTheme="majorHAnsi" w:cstheme="majorBidi"/>
      <w:i/>
      <w:iCs/>
      <w:color w:val="005878" w:themeColor="accent1" w:themeShade="80"/>
      <w:sz w:val="21"/>
      <w:szCs w:val="21"/>
    </w:rPr>
  </w:style>
  <w:style w:type="character" w:customStyle="1" w:styleId="Heading8Char">
    <w:name w:val="Heading 8 Char"/>
    <w:basedOn w:val="DefaultParagraphFont"/>
    <w:link w:val="Heading8"/>
    <w:uiPriority w:val="9"/>
    <w:semiHidden/>
    <w:rsid w:val="006F1D7F"/>
    <w:rPr>
      <w:rFonts w:asciiTheme="majorHAnsi" w:eastAsiaTheme="majorEastAsia" w:hAnsiTheme="majorHAnsi" w:cstheme="majorBidi"/>
      <w:b/>
      <w:bCs/>
      <w:color w:val="00146D" w:themeColor="text2"/>
    </w:rPr>
  </w:style>
  <w:style w:type="character" w:customStyle="1" w:styleId="Heading9Char">
    <w:name w:val="Heading 9 Char"/>
    <w:basedOn w:val="DefaultParagraphFont"/>
    <w:link w:val="Heading9"/>
    <w:uiPriority w:val="9"/>
    <w:semiHidden/>
    <w:rsid w:val="006F1D7F"/>
    <w:rPr>
      <w:rFonts w:asciiTheme="majorHAnsi" w:eastAsiaTheme="majorEastAsia" w:hAnsiTheme="majorHAnsi" w:cstheme="majorBidi"/>
      <w:b/>
      <w:bCs/>
      <w:i/>
      <w:iCs/>
      <w:color w:val="00146D" w:themeColor="text2"/>
    </w:rPr>
  </w:style>
  <w:style w:type="character" w:styleId="Mention">
    <w:name w:val="Mention"/>
    <w:basedOn w:val="DefaultParagraphFont"/>
    <w:uiPriority w:val="99"/>
    <w:unhideWhenUsed/>
    <w:rsid w:val="00EF56F2"/>
    <w:rPr>
      <w:color w:val="2B579A"/>
      <w:shd w:val="clear" w:color="auto" w:fill="E1DFDD"/>
    </w:rPr>
  </w:style>
  <w:style w:type="paragraph" w:styleId="FootnoteText">
    <w:name w:val="footnote text"/>
    <w:basedOn w:val="Normal"/>
    <w:link w:val="FootnoteTextChar"/>
    <w:uiPriority w:val="99"/>
    <w:semiHidden/>
    <w:unhideWhenUsed/>
    <w:rsid w:val="004A76E6"/>
    <w:pPr>
      <w:spacing w:after="0" w:line="240" w:lineRule="auto"/>
    </w:pPr>
  </w:style>
  <w:style w:type="character" w:customStyle="1" w:styleId="FootnoteTextChar">
    <w:name w:val="Footnote Text Char"/>
    <w:basedOn w:val="DefaultParagraphFont"/>
    <w:link w:val="FootnoteText"/>
    <w:uiPriority w:val="99"/>
    <w:semiHidden/>
    <w:rsid w:val="004A76E6"/>
  </w:style>
  <w:style w:type="character" w:styleId="FootnoteReference">
    <w:name w:val="footnote reference"/>
    <w:basedOn w:val="DefaultParagraphFont"/>
    <w:uiPriority w:val="99"/>
    <w:semiHidden/>
    <w:unhideWhenUsed/>
    <w:rsid w:val="004A76E6"/>
    <w:rPr>
      <w:vertAlign w:val="superscript"/>
    </w:rPr>
  </w:style>
  <w:style w:type="paragraph" w:styleId="NormalWeb">
    <w:name w:val="Normal (Web)"/>
    <w:basedOn w:val="Normal"/>
    <w:uiPriority w:val="99"/>
    <w:unhideWhenUsed/>
    <w:rsid w:val="00D5574C"/>
    <w:pPr>
      <w:spacing w:before="100" w:beforeAutospacing="1" w:after="100" w:afterAutospacing="1" w:line="240" w:lineRule="auto"/>
    </w:pPr>
    <w:rPr>
      <w:rFonts w:ascii="Times New Roman" w:eastAsia="Times New Roman" w:hAnsi="Times New Roman" w:cs="Times New Roman"/>
      <w:szCs w:val="24"/>
      <w:lang w:eastAsia="en-GB"/>
    </w:rPr>
  </w:style>
  <w:style w:type="character" w:styleId="UnresolvedMention">
    <w:name w:val="Unresolved Mention"/>
    <w:basedOn w:val="DefaultParagraphFont"/>
    <w:uiPriority w:val="99"/>
    <w:semiHidden/>
    <w:unhideWhenUsed/>
    <w:rsid w:val="007917AE"/>
    <w:rPr>
      <w:color w:val="605E5C"/>
      <w:shd w:val="clear" w:color="auto" w:fill="E1DFDD"/>
    </w:rPr>
  </w:style>
  <w:style w:type="paragraph" w:styleId="EndnoteText">
    <w:name w:val="endnote text"/>
    <w:basedOn w:val="Normal"/>
    <w:link w:val="EndnoteTextChar"/>
    <w:uiPriority w:val="99"/>
    <w:semiHidden/>
    <w:unhideWhenUsed/>
    <w:rsid w:val="007917AE"/>
    <w:pPr>
      <w:spacing w:after="0" w:line="240" w:lineRule="auto"/>
    </w:pPr>
    <w:rPr>
      <w:rFonts w:eastAsiaTheme="minorHAnsi"/>
    </w:rPr>
  </w:style>
  <w:style w:type="character" w:customStyle="1" w:styleId="EndnoteTextChar">
    <w:name w:val="Endnote Text Char"/>
    <w:basedOn w:val="DefaultParagraphFont"/>
    <w:link w:val="EndnoteText"/>
    <w:uiPriority w:val="99"/>
    <w:semiHidden/>
    <w:rsid w:val="007917AE"/>
    <w:rPr>
      <w:rFonts w:eastAsiaTheme="minorHAnsi"/>
    </w:rPr>
  </w:style>
  <w:style w:type="character" w:styleId="EndnoteReference">
    <w:name w:val="endnote reference"/>
    <w:basedOn w:val="DefaultParagraphFont"/>
    <w:uiPriority w:val="99"/>
    <w:semiHidden/>
    <w:unhideWhenUsed/>
    <w:rsid w:val="007917AE"/>
    <w:rPr>
      <w:vertAlign w:val="superscript"/>
    </w:rPr>
  </w:style>
  <w:style w:type="character" w:styleId="FollowedHyperlink">
    <w:name w:val="FollowedHyperlink"/>
    <w:basedOn w:val="DefaultParagraphFont"/>
    <w:uiPriority w:val="99"/>
    <w:semiHidden/>
    <w:unhideWhenUsed/>
    <w:rsid w:val="007917AE"/>
    <w:rPr>
      <w:color w:val="B2D235" w:themeColor="followedHyperlink"/>
      <w:u w:val="single"/>
    </w:rPr>
  </w:style>
  <w:style w:type="paragraph" w:customStyle="1" w:styleId="pf1">
    <w:name w:val="pf1"/>
    <w:basedOn w:val="Normal"/>
    <w:rsid w:val="00CD1223"/>
    <w:pPr>
      <w:spacing w:before="100" w:beforeAutospacing="1" w:after="100" w:afterAutospacing="1" w:line="240" w:lineRule="auto"/>
      <w:ind w:left="1440"/>
    </w:pPr>
    <w:rPr>
      <w:rFonts w:ascii="Times New Roman" w:eastAsia="Times New Roman" w:hAnsi="Times New Roman" w:cs="Times New Roman"/>
      <w:szCs w:val="24"/>
      <w:lang w:eastAsia="en-GB"/>
    </w:rPr>
  </w:style>
  <w:style w:type="table" w:customStyle="1" w:styleId="Systemiq-Table41">
    <w:name w:val="Systemiq - Table 41"/>
    <w:basedOn w:val="Systemiq-Table2"/>
    <w:uiPriority w:val="99"/>
    <w:rsid w:val="00DC1757"/>
    <w:rPr>
      <w:rFonts w:eastAsia="Century Gothic"/>
      <w:szCs w:val="22"/>
    </w:rPr>
    <w:tblPr/>
    <w:tblStylePr w:type="firstRow">
      <w:pPr>
        <w:wordWrap/>
        <w:spacing w:beforeLines="0" w:before="0" w:beforeAutospacing="0" w:afterLines="0" w:after="0" w:afterAutospacing="0" w:line="240" w:lineRule="auto"/>
        <w:ind w:leftChars="0" w:left="0" w:rightChars="0" w:right="0" w:firstLineChars="0" w:firstLine="0"/>
        <w:jc w:val="left"/>
      </w:pPr>
      <w:rPr>
        <w:rFonts w:ascii="Segoe UI" w:hAnsi="Segoe UI"/>
        <w:b w:val="0"/>
        <w:i w:val="0"/>
        <w:color w:val="FFFFFF"/>
        <w:sz w:val="24"/>
        <w:u w:val="none"/>
      </w:rPr>
      <w:tblPr/>
      <w:tcPr>
        <w:shd w:val="clear" w:color="auto" w:fill="00146D" w:themeFill="text2"/>
        <w:noWrap/>
        <w:tcMar>
          <w:top w:w="28" w:type="dxa"/>
          <w:left w:w="113" w:type="dxa"/>
          <w:bottom w:w="28" w:type="dxa"/>
          <w:right w:w="113" w:type="dxa"/>
        </w:tcMar>
        <w:vAlign w:val="center"/>
      </w:tcPr>
    </w:tblStylePr>
    <w:tblStylePr w:type="band1Horz">
      <w:tblPr/>
      <w:tcPr>
        <w:shd w:val="clear" w:color="auto" w:fill="FFFFFF"/>
      </w:tcPr>
    </w:tblStylePr>
    <w:tblStylePr w:type="band2Horz">
      <w:pPr>
        <w:wordWrap/>
        <w:jc w:val="left"/>
      </w:pPr>
      <w:tblPr/>
      <w:tcPr>
        <w:shd w:val="clear" w:color="auto" w:fill="EFF2FF"/>
      </w:tcPr>
    </w:tblStylePr>
  </w:style>
  <w:style w:type="paragraph" w:styleId="PlainText">
    <w:name w:val="Plain Text"/>
    <w:basedOn w:val="Normal"/>
    <w:link w:val="PlainTextChar"/>
    <w:uiPriority w:val="99"/>
    <w:unhideWhenUsed/>
    <w:rsid w:val="00A60657"/>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A60657"/>
    <w:rPr>
      <w:rFonts w:ascii="Consolas" w:hAnsi="Consolas"/>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026632">
      <w:bodyDiv w:val="1"/>
      <w:marLeft w:val="0"/>
      <w:marRight w:val="0"/>
      <w:marTop w:val="0"/>
      <w:marBottom w:val="0"/>
      <w:divBdr>
        <w:top w:val="none" w:sz="0" w:space="0" w:color="auto"/>
        <w:left w:val="none" w:sz="0" w:space="0" w:color="auto"/>
        <w:bottom w:val="none" w:sz="0" w:space="0" w:color="auto"/>
        <w:right w:val="none" w:sz="0" w:space="0" w:color="auto"/>
      </w:divBdr>
    </w:div>
    <w:div w:id="9836163">
      <w:bodyDiv w:val="1"/>
      <w:marLeft w:val="0"/>
      <w:marRight w:val="0"/>
      <w:marTop w:val="0"/>
      <w:marBottom w:val="0"/>
      <w:divBdr>
        <w:top w:val="none" w:sz="0" w:space="0" w:color="auto"/>
        <w:left w:val="none" w:sz="0" w:space="0" w:color="auto"/>
        <w:bottom w:val="none" w:sz="0" w:space="0" w:color="auto"/>
        <w:right w:val="none" w:sz="0" w:space="0" w:color="auto"/>
      </w:divBdr>
      <w:divsChild>
        <w:div w:id="683357548">
          <w:marLeft w:val="547"/>
          <w:marRight w:val="0"/>
          <w:marTop w:val="200"/>
          <w:marBottom w:val="0"/>
          <w:divBdr>
            <w:top w:val="none" w:sz="0" w:space="0" w:color="auto"/>
            <w:left w:val="none" w:sz="0" w:space="0" w:color="auto"/>
            <w:bottom w:val="none" w:sz="0" w:space="0" w:color="auto"/>
            <w:right w:val="none" w:sz="0" w:space="0" w:color="auto"/>
          </w:divBdr>
        </w:div>
      </w:divsChild>
    </w:div>
    <w:div w:id="13700200">
      <w:bodyDiv w:val="1"/>
      <w:marLeft w:val="0"/>
      <w:marRight w:val="0"/>
      <w:marTop w:val="0"/>
      <w:marBottom w:val="0"/>
      <w:divBdr>
        <w:top w:val="none" w:sz="0" w:space="0" w:color="auto"/>
        <w:left w:val="none" w:sz="0" w:space="0" w:color="auto"/>
        <w:bottom w:val="none" w:sz="0" w:space="0" w:color="auto"/>
        <w:right w:val="none" w:sz="0" w:space="0" w:color="auto"/>
      </w:divBdr>
    </w:div>
    <w:div w:id="18314721">
      <w:bodyDiv w:val="1"/>
      <w:marLeft w:val="0"/>
      <w:marRight w:val="0"/>
      <w:marTop w:val="0"/>
      <w:marBottom w:val="0"/>
      <w:divBdr>
        <w:top w:val="none" w:sz="0" w:space="0" w:color="auto"/>
        <w:left w:val="none" w:sz="0" w:space="0" w:color="auto"/>
        <w:bottom w:val="none" w:sz="0" w:space="0" w:color="auto"/>
        <w:right w:val="none" w:sz="0" w:space="0" w:color="auto"/>
      </w:divBdr>
    </w:div>
    <w:div w:id="35009009">
      <w:bodyDiv w:val="1"/>
      <w:marLeft w:val="0"/>
      <w:marRight w:val="0"/>
      <w:marTop w:val="0"/>
      <w:marBottom w:val="0"/>
      <w:divBdr>
        <w:top w:val="none" w:sz="0" w:space="0" w:color="auto"/>
        <w:left w:val="none" w:sz="0" w:space="0" w:color="auto"/>
        <w:bottom w:val="none" w:sz="0" w:space="0" w:color="auto"/>
        <w:right w:val="none" w:sz="0" w:space="0" w:color="auto"/>
      </w:divBdr>
    </w:div>
    <w:div w:id="37822717">
      <w:bodyDiv w:val="1"/>
      <w:marLeft w:val="0"/>
      <w:marRight w:val="0"/>
      <w:marTop w:val="0"/>
      <w:marBottom w:val="0"/>
      <w:divBdr>
        <w:top w:val="none" w:sz="0" w:space="0" w:color="auto"/>
        <w:left w:val="none" w:sz="0" w:space="0" w:color="auto"/>
        <w:bottom w:val="none" w:sz="0" w:space="0" w:color="auto"/>
        <w:right w:val="none" w:sz="0" w:space="0" w:color="auto"/>
      </w:divBdr>
    </w:div>
    <w:div w:id="39600874">
      <w:bodyDiv w:val="1"/>
      <w:marLeft w:val="0"/>
      <w:marRight w:val="0"/>
      <w:marTop w:val="0"/>
      <w:marBottom w:val="0"/>
      <w:divBdr>
        <w:top w:val="none" w:sz="0" w:space="0" w:color="auto"/>
        <w:left w:val="none" w:sz="0" w:space="0" w:color="auto"/>
        <w:bottom w:val="none" w:sz="0" w:space="0" w:color="auto"/>
        <w:right w:val="none" w:sz="0" w:space="0" w:color="auto"/>
      </w:divBdr>
    </w:div>
    <w:div w:id="50887609">
      <w:bodyDiv w:val="1"/>
      <w:marLeft w:val="0"/>
      <w:marRight w:val="0"/>
      <w:marTop w:val="0"/>
      <w:marBottom w:val="0"/>
      <w:divBdr>
        <w:top w:val="none" w:sz="0" w:space="0" w:color="auto"/>
        <w:left w:val="none" w:sz="0" w:space="0" w:color="auto"/>
        <w:bottom w:val="none" w:sz="0" w:space="0" w:color="auto"/>
        <w:right w:val="none" w:sz="0" w:space="0" w:color="auto"/>
      </w:divBdr>
    </w:div>
    <w:div w:id="54858017">
      <w:bodyDiv w:val="1"/>
      <w:marLeft w:val="0"/>
      <w:marRight w:val="0"/>
      <w:marTop w:val="0"/>
      <w:marBottom w:val="0"/>
      <w:divBdr>
        <w:top w:val="none" w:sz="0" w:space="0" w:color="auto"/>
        <w:left w:val="none" w:sz="0" w:space="0" w:color="auto"/>
        <w:bottom w:val="none" w:sz="0" w:space="0" w:color="auto"/>
        <w:right w:val="none" w:sz="0" w:space="0" w:color="auto"/>
      </w:divBdr>
    </w:div>
    <w:div w:id="56826116">
      <w:bodyDiv w:val="1"/>
      <w:marLeft w:val="0"/>
      <w:marRight w:val="0"/>
      <w:marTop w:val="0"/>
      <w:marBottom w:val="0"/>
      <w:divBdr>
        <w:top w:val="none" w:sz="0" w:space="0" w:color="auto"/>
        <w:left w:val="none" w:sz="0" w:space="0" w:color="auto"/>
        <w:bottom w:val="none" w:sz="0" w:space="0" w:color="auto"/>
        <w:right w:val="none" w:sz="0" w:space="0" w:color="auto"/>
      </w:divBdr>
    </w:div>
    <w:div w:id="63572105">
      <w:bodyDiv w:val="1"/>
      <w:marLeft w:val="0"/>
      <w:marRight w:val="0"/>
      <w:marTop w:val="0"/>
      <w:marBottom w:val="0"/>
      <w:divBdr>
        <w:top w:val="none" w:sz="0" w:space="0" w:color="auto"/>
        <w:left w:val="none" w:sz="0" w:space="0" w:color="auto"/>
        <w:bottom w:val="none" w:sz="0" w:space="0" w:color="auto"/>
        <w:right w:val="none" w:sz="0" w:space="0" w:color="auto"/>
      </w:divBdr>
    </w:div>
    <w:div w:id="75908878">
      <w:bodyDiv w:val="1"/>
      <w:marLeft w:val="0"/>
      <w:marRight w:val="0"/>
      <w:marTop w:val="0"/>
      <w:marBottom w:val="0"/>
      <w:divBdr>
        <w:top w:val="none" w:sz="0" w:space="0" w:color="auto"/>
        <w:left w:val="none" w:sz="0" w:space="0" w:color="auto"/>
        <w:bottom w:val="none" w:sz="0" w:space="0" w:color="auto"/>
        <w:right w:val="none" w:sz="0" w:space="0" w:color="auto"/>
      </w:divBdr>
    </w:div>
    <w:div w:id="88433285">
      <w:bodyDiv w:val="1"/>
      <w:marLeft w:val="0"/>
      <w:marRight w:val="0"/>
      <w:marTop w:val="0"/>
      <w:marBottom w:val="0"/>
      <w:divBdr>
        <w:top w:val="none" w:sz="0" w:space="0" w:color="auto"/>
        <w:left w:val="none" w:sz="0" w:space="0" w:color="auto"/>
        <w:bottom w:val="none" w:sz="0" w:space="0" w:color="auto"/>
        <w:right w:val="none" w:sz="0" w:space="0" w:color="auto"/>
      </w:divBdr>
    </w:div>
    <w:div w:id="107353333">
      <w:bodyDiv w:val="1"/>
      <w:marLeft w:val="0"/>
      <w:marRight w:val="0"/>
      <w:marTop w:val="0"/>
      <w:marBottom w:val="0"/>
      <w:divBdr>
        <w:top w:val="none" w:sz="0" w:space="0" w:color="auto"/>
        <w:left w:val="none" w:sz="0" w:space="0" w:color="auto"/>
        <w:bottom w:val="none" w:sz="0" w:space="0" w:color="auto"/>
        <w:right w:val="none" w:sz="0" w:space="0" w:color="auto"/>
      </w:divBdr>
    </w:div>
    <w:div w:id="124935103">
      <w:bodyDiv w:val="1"/>
      <w:marLeft w:val="0"/>
      <w:marRight w:val="0"/>
      <w:marTop w:val="0"/>
      <w:marBottom w:val="0"/>
      <w:divBdr>
        <w:top w:val="none" w:sz="0" w:space="0" w:color="auto"/>
        <w:left w:val="none" w:sz="0" w:space="0" w:color="auto"/>
        <w:bottom w:val="none" w:sz="0" w:space="0" w:color="auto"/>
        <w:right w:val="none" w:sz="0" w:space="0" w:color="auto"/>
      </w:divBdr>
      <w:divsChild>
        <w:div w:id="686441737">
          <w:marLeft w:val="0"/>
          <w:marRight w:val="0"/>
          <w:marTop w:val="0"/>
          <w:marBottom w:val="0"/>
          <w:divBdr>
            <w:top w:val="none" w:sz="0" w:space="0" w:color="auto"/>
            <w:left w:val="none" w:sz="0" w:space="0" w:color="auto"/>
            <w:bottom w:val="none" w:sz="0" w:space="0" w:color="auto"/>
            <w:right w:val="none" w:sz="0" w:space="0" w:color="auto"/>
          </w:divBdr>
          <w:divsChild>
            <w:div w:id="1182934730">
              <w:marLeft w:val="0"/>
              <w:marRight w:val="0"/>
              <w:marTop w:val="0"/>
              <w:marBottom w:val="0"/>
              <w:divBdr>
                <w:top w:val="none" w:sz="0" w:space="0" w:color="auto"/>
                <w:left w:val="none" w:sz="0" w:space="0" w:color="auto"/>
                <w:bottom w:val="none" w:sz="0" w:space="0" w:color="auto"/>
                <w:right w:val="none" w:sz="0" w:space="0" w:color="auto"/>
              </w:divBdr>
              <w:divsChild>
                <w:div w:id="1270821843">
                  <w:marLeft w:val="0"/>
                  <w:marRight w:val="0"/>
                  <w:marTop w:val="0"/>
                  <w:marBottom w:val="0"/>
                  <w:divBdr>
                    <w:top w:val="none" w:sz="0" w:space="0" w:color="auto"/>
                    <w:left w:val="none" w:sz="0" w:space="0" w:color="auto"/>
                    <w:bottom w:val="none" w:sz="0" w:space="0" w:color="auto"/>
                    <w:right w:val="none" w:sz="0" w:space="0" w:color="auto"/>
                  </w:divBdr>
                  <w:divsChild>
                    <w:div w:id="1049722761">
                      <w:marLeft w:val="0"/>
                      <w:marRight w:val="0"/>
                      <w:marTop w:val="0"/>
                      <w:marBottom w:val="0"/>
                      <w:divBdr>
                        <w:top w:val="none" w:sz="0" w:space="0" w:color="auto"/>
                        <w:left w:val="none" w:sz="0" w:space="0" w:color="auto"/>
                        <w:bottom w:val="none" w:sz="0" w:space="0" w:color="auto"/>
                        <w:right w:val="none" w:sz="0" w:space="0" w:color="auto"/>
                      </w:divBdr>
                      <w:divsChild>
                        <w:div w:id="1195846250">
                          <w:marLeft w:val="0"/>
                          <w:marRight w:val="0"/>
                          <w:marTop w:val="0"/>
                          <w:marBottom w:val="0"/>
                          <w:divBdr>
                            <w:top w:val="none" w:sz="0" w:space="0" w:color="auto"/>
                            <w:left w:val="none" w:sz="0" w:space="0" w:color="auto"/>
                            <w:bottom w:val="none" w:sz="0" w:space="0" w:color="auto"/>
                            <w:right w:val="none" w:sz="0" w:space="0" w:color="auto"/>
                          </w:divBdr>
                          <w:divsChild>
                            <w:div w:id="209805934">
                              <w:marLeft w:val="0"/>
                              <w:marRight w:val="0"/>
                              <w:marTop w:val="0"/>
                              <w:marBottom w:val="0"/>
                              <w:divBdr>
                                <w:top w:val="none" w:sz="0" w:space="0" w:color="auto"/>
                                <w:left w:val="none" w:sz="0" w:space="0" w:color="auto"/>
                                <w:bottom w:val="none" w:sz="0" w:space="0" w:color="auto"/>
                                <w:right w:val="none" w:sz="0" w:space="0" w:color="auto"/>
                              </w:divBdr>
                              <w:divsChild>
                                <w:div w:id="662398059">
                                  <w:marLeft w:val="0"/>
                                  <w:marRight w:val="0"/>
                                  <w:marTop w:val="0"/>
                                  <w:marBottom w:val="0"/>
                                  <w:divBdr>
                                    <w:top w:val="none" w:sz="0" w:space="0" w:color="auto"/>
                                    <w:left w:val="none" w:sz="0" w:space="0" w:color="auto"/>
                                    <w:bottom w:val="none" w:sz="0" w:space="0" w:color="auto"/>
                                    <w:right w:val="none" w:sz="0" w:space="0" w:color="auto"/>
                                  </w:divBdr>
                                  <w:divsChild>
                                    <w:div w:id="869879854">
                                      <w:marLeft w:val="0"/>
                                      <w:marRight w:val="0"/>
                                      <w:marTop w:val="0"/>
                                      <w:marBottom w:val="0"/>
                                      <w:divBdr>
                                        <w:top w:val="none" w:sz="0" w:space="0" w:color="auto"/>
                                        <w:left w:val="none" w:sz="0" w:space="0" w:color="auto"/>
                                        <w:bottom w:val="none" w:sz="0" w:space="0" w:color="auto"/>
                                        <w:right w:val="none" w:sz="0" w:space="0" w:color="auto"/>
                                      </w:divBdr>
                                      <w:divsChild>
                                        <w:div w:id="1329791337">
                                          <w:marLeft w:val="0"/>
                                          <w:marRight w:val="0"/>
                                          <w:marTop w:val="0"/>
                                          <w:marBottom w:val="0"/>
                                          <w:divBdr>
                                            <w:top w:val="none" w:sz="0" w:space="0" w:color="auto"/>
                                            <w:left w:val="none" w:sz="0" w:space="0" w:color="auto"/>
                                            <w:bottom w:val="none" w:sz="0" w:space="0" w:color="auto"/>
                                            <w:right w:val="none" w:sz="0" w:space="0" w:color="auto"/>
                                          </w:divBdr>
                                          <w:divsChild>
                                            <w:div w:id="22715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418564">
                                      <w:marLeft w:val="0"/>
                                      <w:marRight w:val="0"/>
                                      <w:marTop w:val="0"/>
                                      <w:marBottom w:val="0"/>
                                      <w:divBdr>
                                        <w:top w:val="none" w:sz="0" w:space="0" w:color="auto"/>
                                        <w:left w:val="none" w:sz="0" w:space="0" w:color="auto"/>
                                        <w:bottom w:val="none" w:sz="0" w:space="0" w:color="auto"/>
                                        <w:right w:val="none" w:sz="0" w:space="0" w:color="auto"/>
                                      </w:divBdr>
                                      <w:divsChild>
                                        <w:div w:id="453062445">
                                          <w:marLeft w:val="0"/>
                                          <w:marRight w:val="0"/>
                                          <w:marTop w:val="0"/>
                                          <w:marBottom w:val="0"/>
                                          <w:divBdr>
                                            <w:top w:val="none" w:sz="0" w:space="0" w:color="auto"/>
                                            <w:left w:val="none" w:sz="0" w:space="0" w:color="auto"/>
                                            <w:bottom w:val="none" w:sz="0" w:space="0" w:color="auto"/>
                                            <w:right w:val="none" w:sz="0" w:space="0" w:color="auto"/>
                                          </w:divBdr>
                                          <w:divsChild>
                                            <w:div w:id="508953788">
                                              <w:marLeft w:val="0"/>
                                              <w:marRight w:val="0"/>
                                              <w:marTop w:val="0"/>
                                              <w:marBottom w:val="0"/>
                                              <w:divBdr>
                                                <w:top w:val="none" w:sz="0" w:space="0" w:color="auto"/>
                                                <w:left w:val="none" w:sz="0" w:space="0" w:color="auto"/>
                                                <w:bottom w:val="none" w:sz="0" w:space="0" w:color="auto"/>
                                                <w:right w:val="none" w:sz="0" w:space="0" w:color="auto"/>
                                              </w:divBdr>
                                              <w:divsChild>
                                                <w:div w:id="599144850">
                                                  <w:marLeft w:val="0"/>
                                                  <w:marRight w:val="0"/>
                                                  <w:marTop w:val="0"/>
                                                  <w:marBottom w:val="0"/>
                                                  <w:divBdr>
                                                    <w:top w:val="none" w:sz="0" w:space="0" w:color="auto"/>
                                                    <w:left w:val="none" w:sz="0" w:space="0" w:color="auto"/>
                                                    <w:bottom w:val="none" w:sz="0" w:space="0" w:color="auto"/>
                                                    <w:right w:val="none" w:sz="0" w:space="0" w:color="auto"/>
                                                  </w:divBdr>
                                                  <w:divsChild>
                                                    <w:div w:id="1855537501">
                                                      <w:marLeft w:val="0"/>
                                                      <w:marRight w:val="0"/>
                                                      <w:marTop w:val="0"/>
                                                      <w:marBottom w:val="0"/>
                                                      <w:divBdr>
                                                        <w:top w:val="none" w:sz="0" w:space="0" w:color="auto"/>
                                                        <w:left w:val="none" w:sz="0" w:space="0" w:color="auto"/>
                                                        <w:bottom w:val="none" w:sz="0" w:space="0" w:color="auto"/>
                                                        <w:right w:val="none" w:sz="0" w:space="0" w:color="auto"/>
                                                      </w:divBdr>
                                                      <w:divsChild>
                                                        <w:div w:id="326251413">
                                                          <w:marLeft w:val="0"/>
                                                          <w:marRight w:val="0"/>
                                                          <w:marTop w:val="0"/>
                                                          <w:marBottom w:val="0"/>
                                                          <w:divBdr>
                                                            <w:top w:val="none" w:sz="0" w:space="0" w:color="auto"/>
                                                            <w:left w:val="none" w:sz="0" w:space="0" w:color="auto"/>
                                                            <w:bottom w:val="none" w:sz="0" w:space="0" w:color="auto"/>
                                                            <w:right w:val="none" w:sz="0" w:space="0" w:color="auto"/>
                                                          </w:divBdr>
                                                          <w:divsChild>
                                                            <w:div w:id="219512287">
                                                              <w:marLeft w:val="0"/>
                                                              <w:marRight w:val="0"/>
                                                              <w:marTop w:val="0"/>
                                                              <w:marBottom w:val="0"/>
                                                              <w:divBdr>
                                                                <w:top w:val="none" w:sz="0" w:space="0" w:color="auto"/>
                                                                <w:left w:val="none" w:sz="0" w:space="0" w:color="auto"/>
                                                                <w:bottom w:val="none" w:sz="0" w:space="0" w:color="auto"/>
                                                                <w:right w:val="none" w:sz="0" w:space="0" w:color="auto"/>
                                                              </w:divBdr>
                                                              <w:divsChild>
                                                                <w:div w:id="473254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10067454">
          <w:marLeft w:val="0"/>
          <w:marRight w:val="0"/>
          <w:marTop w:val="0"/>
          <w:marBottom w:val="0"/>
          <w:divBdr>
            <w:top w:val="none" w:sz="0" w:space="0" w:color="auto"/>
            <w:left w:val="none" w:sz="0" w:space="0" w:color="auto"/>
            <w:bottom w:val="none" w:sz="0" w:space="0" w:color="auto"/>
            <w:right w:val="none" w:sz="0" w:space="0" w:color="auto"/>
          </w:divBdr>
          <w:divsChild>
            <w:div w:id="980235129">
              <w:marLeft w:val="0"/>
              <w:marRight w:val="0"/>
              <w:marTop w:val="0"/>
              <w:marBottom w:val="0"/>
              <w:divBdr>
                <w:top w:val="none" w:sz="0" w:space="0" w:color="auto"/>
                <w:left w:val="none" w:sz="0" w:space="0" w:color="auto"/>
                <w:bottom w:val="none" w:sz="0" w:space="0" w:color="auto"/>
                <w:right w:val="none" w:sz="0" w:space="0" w:color="auto"/>
              </w:divBdr>
              <w:divsChild>
                <w:div w:id="1104769057">
                  <w:marLeft w:val="0"/>
                  <w:marRight w:val="0"/>
                  <w:marTop w:val="0"/>
                  <w:marBottom w:val="0"/>
                  <w:divBdr>
                    <w:top w:val="none" w:sz="0" w:space="0" w:color="auto"/>
                    <w:left w:val="none" w:sz="0" w:space="0" w:color="auto"/>
                    <w:bottom w:val="none" w:sz="0" w:space="0" w:color="auto"/>
                    <w:right w:val="none" w:sz="0" w:space="0" w:color="auto"/>
                  </w:divBdr>
                  <w:divsChild>
                    <w:div w:id="117375952">
                      <w:marLeft w:val="0"/>
                      <w:marRight w:val="0"/>
                      <w:marTop w:val="0"/>
                      <w:marBottom w:val="0"/>
                      <w:divBdr>
                        <w:top w:val="none" w:sz="0" w:space="0" w:color="auto"/>
                        <w:left w:val="none" w:sz="0" w:space="0" w:color="auto"/>
                        <w:bottom w:val="none" w:sz="0" w:space="0" w:color="auto"/>
                        <w:right w:val="none" w:sz="0" w:space="0" w:color="auto"/>
                      </w:divBdr>
                      <w:divsChild>
                        <w:div w:id="2098015115">
                          <w:marLeft w:val="0"/>
                          <w:marRight w:val="0"/>
                          <w:marTop w:val="0"/>
                          <w:marBottom w:val="0"/>
                          <w:divBdr>
                            <w:top w:val="none" w:sz="0" w:space="0" w:color="auto"/>
                            <w:left w:val="none" w:sz="0" w:space="0" w:color="auto"/>
                            <w:bottom w:val="none" w:sz="0" w:space="0" w:color="auto"/>
                            <w:right w:val="none" w:sz="0" w:space="0" w:color="auto"/>
                          </w:divBdr>
                          <w:divsChild>
                            <w:div w:id="274140461">
                              <w:marLeft w:val="0"/>
                              <w:marRight w:val="0"/>
                              <w:marTop w:val="0"/>
                              <w:marBottom w:val="0"/>
                              <w:divBdr>
                                <w:top w:val="none" w:sz="0" w:space="0" w:color="auto"/>
                                <w:left w:val="none" w:sz="0" w:space="0" w:color="auto"/>
                                <w:bottom w:val="none" w:sz="0" w:space="0" w:color="auto"/>
                                <w:right w:val="none" w:sz="0" w:space="0" w:color="auto"/>
                              </w:divBdr>
                              <w:divsChild>
                                <w:div w:id="1353458157">
                                  <w:marLeft w:val="0"/>
                                  <w:marRight w:val="0"/>
                                  <w:marTop w:val="0"/>
                                  <w:marBottom w:val="0"/>
                                  <w:divBdr>
                                    <w:top w:val="none" w:sz="0" w:space="0" w:color="auto"/>
                                    <w:left w:val="none" w:sz="0" w:space="0" w:color="auto"/>
                                    <w:bottom w:val="none" w:sz="0" w:space="0" w:color="auto"/>
                                    <w:right w:val="none" w:sz="0" w:space="0" w:color="auto"/>
                                  </w:divBdr>
                                  <w:divsChild>
                                    <w:div w:id="1967465703">
                                      <w:marLeft w:val="0"/>
                                      <w:marRight w:val="0"/>
                                      <w:marTop w:val="0"/>
                                      <w:marBottom w:val="0"/>
                                      <w:divBdr>
                                        <w:top w:val="none" w:sz="0" w:space="0" w:color="auto"/>
                                        <w:left w:val="none" w:sz="0" w:space="0" w:color="auto"/>
                                        <w:bottom w:val="none" w:sz="0" w:space="0" w:color="auto"/>
                                        <w:right w:val="none" w:sz="0" w:space="0" w:color="auto"/>
                                      </w:divBdr>
                                      <w:divsChild>
                                        <w:div w:id="1628706210">
                                          <w:marLeft w:val="0"/>
                                          <w:marRight w:val="0"/>
                                          <w:marTop w:val="0"/>
                                          <w:marBottom w:val="0"/>
                                          <w:divBdr>
                                            <w:top w:val="none" w:sz="0" w:space="0" w:color="auto"/>
                                            <w:left w:val="none" w:sz="0" w:space="0" w:color="auto"/>
                                            <w:bottom w:val="none" w:sz="0" w:space="0" w:color="auto"/>
                                            <w:right w:val="none" w:sz="0" w:space="0" w:color="auto"/>
                                          </w:divBdr>
                                        </w:div>
                                      </w:divsChild>
                                    </w:div>
                                    <w:div w:id="2112967295">
                                      <w:marLeft w:val="0"/>
                                      <w:marRight w:val="0"/>
                                      <w:marTop w:val="0"/>
                                      <w:marBottom w:val="0"/>
                                      <w:divBdr>
                                        <w:top w:val="none" w:sz="0" w:space="0" w:color="auto"/>
                                        <w:left w:val="none" w:sz="0" w:space="0" w:color="auto"/>
                                        <w:bottom w:val="none" w:sz="0" w:space="0" w:color="auto"/>
                                        <w:right w:val="none" w:sz="0" w:space="0" w:color="auto"/>
                                      </w:divBdr>
                                      <w:divsChild>
                                        <w:div w:id="618754626">
                                          <w:marLeft w:val="0"/>
                                          <w:marRight w:val="0"/>
                                          <w:marTop w:val="0"/>
                                          <w:marBottom w:val="0"/>
                                          <w:divBdr>
                                            <w:top w:val="none" w:sz="0" w:space="0" w:color="auto"/>
                                            <w:left w:val="none" w:sz="0" w:space="0" w:color="auto"/>
                                            <w:bottom w:val="none" w:sz="0" w:space="0" w:color="auto"/>
                                            <w:right w:val="none" w:sz="0" w:space="0" w:color="auto"/>
                                          </w:divBdr>
                                          <w:divsChild>
                                            <w:div w:id="1091704858">
                                              <w:marLeft w:val="0"/>
                                              <w:marRight w:val="0"/>
                                              <w:marTop w:val="0"/>
                                              <w:marBottom w:val="0"/>
                                              <w:divBdr>
                                                <w:top w:val="none" w:sz="0" w:space="0" w:color="auto"/>
                                                <w:left w:val="none" w:sz="0" w:space="0" w:color="auto"/>
                                                <w:bottom w:val="none" w:sz="0" w:space="0" w:color="auto"/>
                                                <w:right w:val="none" w:sz="0" w:space="0" w:color="auto"/>
                                              </w:divBdr>
                                              <w:divsChild>
                                                <w:div w:id="1592540269">
                                                  <w:marLeft w:val="0"/>
                                                  <w:marRight w:val="0"/>
                                                  <w:marTop w:val="0"/>
                                                  <w:marBottom w:val="0"/>
                                                  <w:divBdr>
                                                    <w:top w:val="none" w:sz="0" w:space="0" w:color="auto"/>
                                                    <w:left w:val="none" w:sz="0" w:space="0" w:color="auto"/>
                                                    <w:bottom w:val="none" w:sz="0" w:space="0" w:color="auto"/>
                                                    <w:right w:val="none" w:sz="0" w:space="0" w:color="auto"/>
                                                  </w:divBdr>
                                                  <w:divsChild>
                                                    <w:div w:id="186497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0386294">
      <w:bodyDiv w:val="1"/>
      <w:marLeft w:val="0"/>
      <w:marRight w:val="0"/>
      <w:marTop w:val="0"/>
      <w:marBottom w:val="0"/>
      <w:divBdr>
        <w:top w:val="none" w:sz="0" w:space="0" w:color="auto"/>
        <w:left w:val="none" w:sz="0" w:space="0" w:color="auto"/>
        <w:bottom w:val="none" w:sz="0" w:space="0" w:color="auto"/>
        <w:right w:val="none" w:sz="0" w:space="0" w:color="auto"/>
      </w:divBdr>
    </w:div>
    <w:div w:id="141310925">
      <w:bodyDiv w:val="1"/>
      <w:marLeft w:val="0"/>
      <w:marRight w:val="0"/>
      <w:marTop w:val="0"/>
      <w:marBottom w:val="0"/>
      <w:divBdr>
        <w:top w:val="none" w:sz="0" w:space="0" w:color="auto"/>
        <w:left w:val="none" w:sz="0" w:space="0" w:color="auto"/>
        <w:bottom w:val="none" w:sz="0" w:space="0" w:color="auto"/>
        <w:right w:val="none" w:sz="0" w:space="0" w:color="auto"/>
      </w:divBdr>
    </w:div>
    <w:div w:id="141898274">
      <w:bodyDiv w:val="1"/>
      <w:marLeft w:val="0"/>
      <w:marRight w:val="0"/>
      <w:marTop w:val="0"/>
      <w:marBottom w:val="0"/>
      <w:divBdr>
        <w:top w:val="none" w:sz="0" w:space="0" w:color="auto"/>
        <w:left w:val="none" w:sz="0" w:space="0" w:color="auto"/>
        <w:bottom w:val="none" w:sz="0" w:space="0" w:color="auto"/>
        <w:right w:val="none" w:sz="0" w:space="0" w:color="auto"/>
      </w:divBdr>
    </w:div>
    <w:div w:id="145436709">
      <w:bodyDiv w:val="1"/>
      <w:marLeft w:val="0"/>
      <w:marRight w:val="0"/>
      <w:marTop w:val="0"/>
      <w:marBottom w:val="0"/>
      <w:divBdr>
        <w:top w:val="none" w:sz="0" w:space="0" w:color="auto"/>
        <w:left w:val="none" w:sz="0" w:space="0" w:color="auto"/>
        <w:bottom w:val="none" w:sz="0" w:space="0" w:color="auto"/>
        <w:right w:val="none" w:sz="0" w:space="0" w:color="auto"/>
      </w:divBdr>
    </w:div>
    <w:div w:id="158739018">
      <w:bodyDiv w:val="1"/>
      <w:marLeft w:val="0"/>
      <w:marRight w:val="0"/>
      <w:marTop w:val="0"/>
      <w:marBottom w:val="0"/>
      <w:divBdr>
        <w:top w:val="none" w:sz="0" w:space="0" w:color="auto"/>
        <w:left w:val="none" w:sz="0" w:space="0" w:color="auto"/>
        <w:bottom w:val="none" w:sz="0" w:space="0" w:color="auto"/>
        <w:right w:val="none" w:sz="0" w:space="0" w:color="auto"/>
      </w:divBdr>
      <w:divsChild>
        <w:div w:id="1418749489">
          <w:marLeft w:val="0"/>
          <w:marRight w:val="0"/>
          <w:marTop w:val="0"/>
          <w:marBottom w:val="0"/>
          <w:divBdr>
            <w:top w:val="none" w:sz="0" w:space="0" w:color="auto"/>
            <w:left w:val="none" w:sz="0" w:space="0" w:color="auto"/>
            <w:bottom w:val="none" w:sz="0" w:space="0" w:color="auto"/>
            <w:right w:val="none" w:sz="0" w:space="0" w:color="auto"/>
          </w:divBdr>
        </w:div>
      </w:divsChild>
    </w:div>
    <w:div w:id="169376396">
      <w:bodyDiv w:val="1"/>
      <w:marLeft w:val="0"/>
      <w:marRight w:val="0"/>
      <w:marTop w:val="0"/>
      <w:marBottom w:val="0"/>
      <w:divBdr>
        <w:top w:val="none" w:sz="0" w:space="0" w:color="auto"/>
        <w:left w:val="none" w:sz="0" w:space="0" w:color="auto"/>
        <w:bottom w:val="none" w:sz="0" w:space="0" w:color="auto"/>
        <w:right w:val="none" w:sz="0" w:space="0" w:color="auto"/>
      </w:divBdr>
    </w:div>
    <w:div w:id="175534054">
      <w:bodyDiv w:val="1"/>
      <w:marLeft w:val="0"/>
      <w:marRight w:val="0"/>
      <w:marTop w:val="0"/>
      <w:marBottom w:val="0"/>
      <w:divBdr>
        <w:top w:val="none" w:sz="0" w:space="0" w:color="auto"/>
        <w:left w:val="none" w:sz="0" w:space="0" w:color="auto"/>
        <w:bottom w:val="none" w:sz="0" w:space="0" w:color="auto"/>
        <w:right w:val="none" w:sz="0" w:space="0" w:color="auto"/>
      </w:divBdr>
    </w:div>
    <w:div w:id="175582461">
      <w:bodyDiv w:val="1"/>
      <w:marLeft w:val="0"/>
      <w:marRight w:val="0"/>
      <w:marTop w:val="0"/>
      <w:marBottom w:val="0"/>
      <w:divBdr>
        <w:top w:val="none" w:sz="0" w:space="0" w:color="auto"/>
        <w:left w:val="none" w:sz="0" w:space="0" w:color="auto"/>
        <w:bottom w:val="none" w:sz="0" w:space="0" w:color="auto"/>
        <w:right w:val="none" w:sz="0" w:space="0" w:color="auto"/>
      </w:divBdr>
    </w:div>
    <w:div w:id="177934233">
      <w:bodyDiv w:val="1"/>
      <w:marLeft w:val="0"/>
      <w:marRight w:val="0"/>
      <w:marTop w:val="0"/>
      <w:marBottom w:val="0"/>
      <w:divBdr>
        <w:top w:val="none" w:sz="0" w:space="0" w:color="auto"/>
        <w:left w:val="none" w:sz="0" w:space="0" w:color="auto"/>
        <w:bottom w:val="none" w:sz="0" w:space="0" w:color="auto"/>
        <w:right w:val="none" w:sz="0" w:space="0" w:color="auto"/>
      </w:divBdr>
    </w:div>
    <w:div w:id="178280869">
      <w:bodyDiv w:val="1"/>
      <w:marLeft w:val="0"/>
      <w:marRight w:val="0"/>
      <w:marTop w:val="0"/>
      <w:marBottom w:val="0"/>
      <w:divBdr>
        <w:top w:val="none" w:sz="0" w:space="0" w:color="auto"/>
        <w:left w:val="none" w:sz="0" w:space="0" w:color="auto"/>
        <w:bottom w:val="none" w:sz="0" w:space="0" w:color="auto"/>
        <w:right w:val="none" w:sz="0" w:space="0" w:color="auto"/>
      </w:divBdr>
    </w:div>
    <w:div w:id="178784457">
      <w:bodyDiv w:val="1"/>
      <w:marLeft w:val="0"/>
      <w:marRight w:val="0"/>
      <w:marTop w:val="0"/>
      <w:marBottom w:val="0"/>
      <w:divBdr>
        <w:top w:val="none" w:sz="0" w:space="0" w:color="auto"/>
        <w:left w:val="none" w:sz="0" w:space="0" w:color="auto"/>
        <w:bottom w:val="none" w:sz="0" w:space="0" w:color="auto"/>
        <w:right w:val="none" w:sz="0" w:space="0" w:color="auto"/>
      </w:divBdr>
      <w:divsChild>
        <w:div w:id="1080952129">
          <w:marLeft w:val="0"/>
          <w:marRight w:val="0"/>
          <w:marTop w:val="0"/>
          <w:marBottom w:val="0"/>
          <w:divBdr>
            <w:top w:val="none" w:sz="0" w:space="0" w:color="auto"/>
            <w:left w:val="none" w:sz="0" w:space="0" w:color="auto"/>
            <w:bottom w:val="none" w:sz="0" w:space="0" w:color="auto"/>
            <w:right w:val="none" w:sz="0" w:space="0" w:color="auto"/>
          </w:divBdr>
          <w:divsChild>
            <w:div w:id="1798065319">
              <w:marLeft w:val="0"/>
              <w:marRight w:val="0"/>
              <w:marTop w:val="0"/>
              <w:marBottom w:val="0"/>
              <w:divBdr>
                <w:top w:val="none" w:sz="0" w:space="0" w:color="auto"/>
                <w:left w:val="none" w:sz="0" w:space="0" w:color="auto"/>
                <w:bottom w:val="none" w:sz="0" w:space="0" w:color="auto"/>
                <w:right w:val="none" w:sz="0" w:space="0" w:color="auto"/>
              </w:divBdr>
              <w:divsChild>
                <w:div w:id="939993901">
                  <w:marLeft w:val="0"/>
                  <w:marRight w:val="0"/>
                  <w:marTop w:val="0"/>
                  <w:marBottom w:val="0"/>
                  <w:divBdr>
                    <w:top w:val="none" w:sz="0" w:space="0" w:color="auto"/>
                    <w:left w:val="none" w:sz="0" w:space="0" w:color="auto"/>
                    <w:bottom w:val="none" w:sz="0" w:space="0" w:color="auto"/>
                    <w:right w:val="none" w:sz="0" w:space="0" w:color="auto"/>
                  </w:divBdr>
                  <w:divsChild>
                    <w:div w:id="250163572">
                      <w:marLeft w:val="0"/>
                      <w:marRight w:val="0"/>
                      <w:marTop w:val="0"/>
                      <w:marBottom w:val="0"/>
                      <w:divBdr>
                        <w:top w:val="none" w:sz="0" w:space="0" w:color="auto"/>
                        <w:left w:val="none" w:sz="0" w:space="0" w:color="auto"/>
                        <w:bottom w:val="none" w:sz="0" w:space="0" w:color="auto"/>
                        <w:right w:val="none" w:sz="0" w:space="0" w:color="auto"/>
                      </w:divBdr>
                      <w:divsChild>
                        <w:div w:id="1519730039">
                          <w:marLeft w:val="0"/>
                          <w:marRight w:val="0"/>
                          <w:marTop w:val="0"/>
                          <w:marBottom w:val="0"/>
                          <w:divBdr>
                            <w:top w:val="none" w:sz="0" w:space="0" w:color="auto"/>
                            <w:left w:val="none" w:sz="0" w:space="0" w:color="auto"/>
                            <w:bottom w:val="none" w:sz="0" w:space="0" w:color="auto"/>
                            <w:right w:val="none" w:sz="0" w:space="0" w:color="auto"/>
                          </w:divBdr>
                          <w:divsChild>
                            <w:div w:id="1881473250">
                              <w:marLeft w:val="0"/>
                              <w:marRight w:val="0"/>
                              <w:marTop w:val="0"/>
                              <w:marBottom w:val="0"/>
                              <w:divBdr>
                                <w:top w:val="none" w:sz="0" w:space="0" w:color="auto"/>
                                <w:left w:val="none" w:sz="0" w:space="0" w:color="auto"/>
                                <w:bottom w:val="none" w:sz="0" w:space="0" w:color="auto"/>
                                <w:right w:val="none" w:sz="0" w:space="0" w:color="auto"/>
                              </w:divBdr>
                              <w:divsChild>
                                <w:div w:id="832840486">
                                  <w:marLeft w:val="0"/>
                                  <w:marRight w:val="0"/>
                                  <w:marTop w:val="0"/>
                                  <w:marBottom w:val="0"/>
                                  <w:divBdr>
                                    <w:top w:val="none" w:sz="0" w:space="0" w:color="auto"/>
                                    <w:left w:val="none" w:sz="0" w:space="0" w:color="auto"/>
                                    <w:bottom w:val="none" w:sz="0" w:space="0" w:color="auto"/>
                                    <w:right w:val="none" w:sz="0" w:space="0" w:color="auto"/>
                                  </w:divBdr>
                                  <w:divsChild>
                                    <w:div w:id="498035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209455">
      <w:bodyDiv w:val="1"/>
      <w:marLeft w:val="0"/>
      <w:marRight w:val="0"/>
      <w:marTop w:val="0"/>
      <w:marBottom w:val="0"/>
      <w:divBdr>
        <w:top w:val="none" w:sz="0" w:space="0" w:color="auto"/>
        <w:left w:val="none" w:sz="0" w:space="0" w:color="auto"/>
        <w:bottom w:val="none" w:sz="0" w:space="0" w:color="auto"/>
        <w:right w:val="none" w:sz="0" w:space="0" w:color="auto"/>
      </w:divBdr>
    </w:div>
    <w:div w:id="181939576">
      <w:bodyDiv w:val="1"/>
      <w:marLeft w:val="0"/>
      <w:marRight w:val="0"/>
      <w:marTop w:val="0"/>
      <w:marBottom w:val="0"/>
      <w:divBdr>
        <w:top w:val="none" w:sz="0" w:space="0" w:color="auto"/>
        <w:left w:val="none" w:sz="0" w:space="0" w:color="auto"/>
        <w:bottom w:val="none" w:sz="0" w:space="0" w:color="auto"/>
        <w:right w:val="none" w:sz="0" w:space="0" w:color="auto"/>
      </w:divBdr>
    </w:div>
    <w:div w:id="186600867">
      <w:bodyDiv w:val="1"/>
      <w:marLeft w:val="0"/>
      <w:marRight w:val="0"/>
      <w:marTop w:val="0"/>
      <w:marBottom w:val="0"/>
      <w:divBdr>
        <w:top w:val="none" w:sz="0" w:space="0" w:color="auto"/>
        <w:left w:val="none" w:sz="0" w:space="0" w:color="auto"/>
        <w:bottom w:val="none" w:sz="0" w:space="0" w:color="auto"/>
        <w:right w:val="none" w:sz="0" w:space="0" w:color="auto"/>
      </w:divBdr>
    </w:div>
    <w:div w:id="195235643">
      <w:bodyDiv w:val="1"/>
      <w:marLeft w:val="0"/>
      <w:marRight w:val="0"/>
      <w:marTop w:val="0"/>
      <w:marBottom w:val="0"/>
      <w:divBdr>
        <w:top w:val="none" w:sz="0" w:space="0" w:color="auto"/>
        <w:left w:val="none" w:sz="0" w:space="0" w:color="auto"/>
        <w:bottom w:val="none" w:sz="0" w:space="0" w:color="auto"/>
        <w:right w:val="none" w:sz="0" w:space="0" w:color="auto"/>
      </w:divBdr>
    </w:div>
    <w:div w:id="198859403">
      <w:bodyDiv w:val="1"/>
      <w:marLeft w:val="0"/>
      <w:marRight w:val="0"/>
      <w:marTop w:val="0"/>
      <w:marBottom w:val="0"/>
      <w:divBdr>
        <w:top w:val="none" w:sz="0" w:space="0" w:color="auto"/>
        <w:left w:val="none" w:sz="0" w:space="0" w:color="auto"/>
        <w:bottom w:val="none" w:sz="0" w:space="0" w:color="auto"/>
        <w:right w:val="none" w:sz="0" w:space="0" w:color="auto"/>
      </w:divBdr>
    </w:div>
    <w:div w:id="207187116">
      <w:bodyDiv w:val="1"/>
      <w:marLeft w:val="0"/>
      <w:marRight w:val="0"/>
      <w:marTop w:val="0"/>
      <w:marBottom w:val="0"/>
      <w:divBdr>
        <w:top w:val="none" w:sz="0" w:space="0" w:color="auto"/>
        <w:left w:val="none" w:sz="0" w:space="0" w:color="auto"/>
        <w:bottom w:val="none" w:sz="0" w:space="0" w:color="auto"/>
        <w:right w:val="none" w:sz="0" w:space="0" w:color="auto"/>
      </w:divBdr>
      <w:divsChild>
        <w:div w:id="1019743763">
          <w:blockQuote w:val="1"/>
          <w:marLeft w:val="720"/>
          <w:marRight w:val="720"/>
          <w:marTop w:val="100"/>
          <w:marBottom w:val="100"/>
          <w:divBdr>
            <w:top w:val="none" w:sz="0" w:space="0" w:color="auto"/>
            <w:left w:val="none" w:sz="0" w:space="0" w:color="auto"/>
            <w:bottom w:val="none" w:sz="0" w:space="0" w:color="auto"/>
            <w:right w:val="none" w:sz="0" w:space="0" w:color="auto"/>
          </w:divBdr>
        </w:div>
        <w:div w:id="19288038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6824394">
      <w:bodyDiv w:val="1"/>
      <w:marLeft w:val="0"/>
      <w:marRight w:val="0"/>
      <w:marTop w:val="0"/>
      <w:marBottom w:val="0"/>
      <w:divBdr>
        <w:top w:val="none" w:sz="0" w:space="0" w:color="auto"/>
        <w:left w:val="none" w:sz="0" w:space="0" w:color="auto"/>
        <w:bottom w:val="none" w:sz="0" w:space="0" w:color="auto"/>
        <w:right w:val="none" w:sz="0" w:space="0" w:color="auto"/>
      </w:divBdr>
    </w:div>
    <w:div w:id="220098447">
      <w:bodyDiv w:val="1"/>
      <w:marLeft w:val="0"/>
      <w:marRight w:val="0"/>
      <w:marTop w:val="0"/>
      <w:marBottom w:val="0"/>
      <w:divBdr>
        <w:top w:val="none" w:sz="0" w:space="0" w:color="auto"/>
        <w:left w:val="none" w:sz="0" w:space="0" w:color="auto"/>
        <w:bottom w:val="none" w:sz="0" w:space="0" w:color="auto"/>
        <w:right w:val="none" w:sz="0" w:space="0" w:color="auto"/>
      </w:divBdr>
    </w:div>
    <w:div w:id="230846446">
      <w:bodyDiv w:val="1"/>
      <w:marLeft w:val="0"/>
      <w:marRight w:val="0"/>
      <w:marTop w:val="0"/>
      <w:marBottom w:val="0"/>
      <w:divBdr>
        <w:top w:val="none" w:sz="0" w:space="0" w:color="auto"/>
        <w:left w:val="none" w:sz="0" w:space="0" w:color="auto"/>
        <w:bottom w:val="none" w:sz="0" w:space="0" w:color="auto"/>
        <w:right w:val="none" w:sz="0" w:space="0" w:color="auto"/>
      </w:divBdr>
    </w:div>
    <w:div w:id="242955026">
      <w:bodyDiv w:val="1"/>
      <w:marLeft w:val="0"/>
      <w:marRight w:val="0"/>
      <w:marTop w:val="0"/>
      <w:marBottom w:val="0"/>
      <w:divBdr>
        <w:top w:val="none" w:sz="0" w:space="0" w:color="auto"/>
        <w:left w:val="none" w:sz="0" w:space="0" w:color="auto"/>
        <w:bottom w:val="none" w:sz="0" w:space="0" w:color="auto"/>
        <w:right w:val="none" w:sz="0" w:space="0" w:color="auto"/>
      </w:divBdr>
    </w:div>
    <w:div w:id="255596138">
      <w:bodyDiv w:val="1"/>
      <w:marLeft w:val="0"/>
      <w:marRight w:val="0"/>
      <w:marTop w:val="0"/>
      <w:marBottom w:val="0"/>
      <w:divBdr>
        <w:top w:val="none" w:sz="0" w:space="0" w:color="auto"/>
        <w:left w:val="none" w:sz="0" w:space="0" w:color="auto"/>
        <w:bottom w:val="none" w:sz="0" w:space="0" w:color="auto"/>
        <w:right w:val="none" w:sz="0" w:space="0" w:color="auto"/>
      </w:divBdr>
    </w:div>
    <w:div w:id="267352836">
      <w:bodyDiv w:val="1"/>
      <w:marLeft w:val="0"/>
      <w:marRight w:val="0"/>
      <w:marTop w:val="0"/>
      <w:marBottom w:val="0"/>
      <w:divBdr>
        <w:top w:val="none" w:sz="0" w:space="0" w:color="auto"/>
        <w:left w:val="none" w:sz="0" w:space="0" w:color="auto"/>
        <w:bottom w:val="none" w:sz="0" w:space="0" w:color="auto"/>
        <w:right w:val="none" w:sz="0" w:space="0" w:color="auto"/>
      </w:divBdr>
    </w:div>
    <w:div w:id="270937229">
      <w:bodyDiv w:val="1"/>
      <w:marLeft w:val="0"/>
      <w:marRight w:val="0"/>
      <w:marTop w:val="0"/>
      <w:marBottom w:val="0"/>
      <w:divBdr>
        <w:top w:val="none" w:sz="0" w:space="0" w:color="auto"/>
        <w:left w:val="none" w:sz="0" w:space="0" w:color="auto"/>
        <w:bottom w:val="none" w:sz="0" w:space="0" w:color="auto"/>
        <w:right w:val="none" w:sz="0" w:space="0" w:color="auto"/>
      </w:divBdr>
    </w:div>
    <w:div w:id="273556085">
      <w:bodyDiv w:val="1"/>
      <w:marLeft w:val="0"/>
      <w:marRight w:val="0"/>
      <w:marTop w:val="0"/>
      <w:marBottom w:val="0"/>
      <w:divBdr>
        <w:top w:val="none" w:sz="0" w:space="0" w:color="auto"/>
        <w:left w:val="none" w:sz="0" w:space="0" w:color="auto"/>
        <w:bottom w:val="none" w:sz="0" w:space="0" w:color="auto"/>
        <w:right w:val="none" w:sz="0" w:space="0" w:color="auto"/>
      </w:divBdr>
    </w:div>
    <w:div w:id="275258574">
      <w:bodyDiv w:val="1"/>
      <w:marLeft w:val="0"/>
      <w:marRight w:val="0"/>
      <w:marTop w:val="0"/>
      <w:marBottom w:val="0"/>
      <w:divBdr>
        <w:top w:val="none" w:sz="0" w:space="0" w:color="auto"/>
        <w:left w:val="none" w:sz="0" w:space="0" w:color="auto"/>
        <w:bottom w:val="none" w:sz="0" w:space="0" w:color="auto"/>
        <w:right w:val="none" w:sz="0" w:space="0" w:color="auto"/>
      </w:divBdr>
    </w:div>
    <w:div w:id="283199427">
      <w:bodyDiv w:val="1"/>
      <w:marLeft w:val="0"/>
      <w:marRight w:val="0"/>
      <w:marTop w:val="0"/>
      <w:marBottom w:val="0"/>
      <w:divBdr>
        <w:top w:val="none" w:sz="0" w:space="0" w:color="auto"/>
        <w:left w:val="none" w:sz="0" w:space="0" w:color="auto"/>
        <w:bottom w:val="none" w:sz="0" w:space="0" w:color="auto"/>
        <w:right w:val="none" w:sz="0" w:space="0" w:color="auto"/>
      </w:divBdr>
    </w:div>
    <w:div w:id="285891870">
      <w:bodyDiv w:val="1"/>
      <w:marLeft w:val="0"/>
      <w:marRight w:val="0"/>
      <w:marTop w:val="0"/>
      <w:marBottom w:val="0"/>
      <w:divBdr>
        <w:top w:val="none" w:sz="0" w:space="0" w:color="auto"/>
        <w:left w:val="none" w:sz="0" w:space="0" w:color="auto"/>
        <w:bottom w:val="none" w:sz="0" w:space="0" w:color="auto"/>
        <w:right w:val="none" w:sz="0" w:space="0" w:color="auto"/>
      </w:divBdr>
    </w:div>
    <w:div w:id="299771580">
      <w:bodyDiv w:val="1"/>
      <w:marLeft w:val="0"/>
      <w:marRight w:val="0"/>
      <w:marTop w:val="0"/>
      <w:marBottom w:val="0"/>
      <w:divBdr>
        <w:top w:val="none" w:sz="0" w:space="0" w:color="auto"/>
        <w:left w:val="none" w:sz="0" w:space="0" w:color="auto"/>
        <w:bottom w:val="none" w:sz="0" w:space="0" w:color="auto"/>
        <w:right w:val="none" w:sz="0" w:space="0" w:color="auto"/>
      </w:divBdr>
    </w:div>
    <w:div w:id="300311638">
      <w:bodyDiv w:val="1"/>
      <w:marLeft w:val="0"/>
      <w:marRight w:val="0"/>
      <w:marTop w:val="0"/>
      <w:marBottom w:val="0"/>
      <w:divBdr>
        <w:top w:val="none" w:sz="0" w:space="0" w:color="auto"/>
        <w:left w:val="none" w:sz="0" w:space="0" w:color="auto"/>
        <w:bottom w:val="none" w:sz="0" w:space="0" w:color="auto"/>
        <w:right w:val="none" w:sz="0" w:space="0" w:color="auto"/>
      </w:divBdr>
    </w:div>
    <w:div w:id="300817610">
      <w:bodyDiv w:val="1"/>
      <w:marLeft w:val="0"/>
      <w:marRight w:val="0"/>
      <w:marTop w:val="0"/>
      <w:marBottom w:val="0"/>
      <w:divBdr>
        <w:top w:val="none" w:sz="0" w:space="0" w:color="auto"/>
        <w:left w:val="none" w:sz="0" w:space="0" w:color="auto"/>
        <w:bottom w:val="none" w:sz="0" w:space="0" w:color="auto"/>
        <w:right w:val="none" w:sz="0" w:space="0" w:color="auto"/>
      </w:divBdr>
    </w:div>
    <w:div w:id="304357541">
      <w:bodyDiv w:val="1"/>
      <w:marLeft w:val="0"/>
      <w:marRight w:val="0"/>
      <w:marTop w:val="0"/>
      <w:marBottom w:val="0"/>
      <w:divBdr>
        <w:top w:val="none" w:sz="0" w:space="0" w:color="auto"/>
        <w:left w:val="none" w:sz="0" w:space="0" w:color="auto"/>
        <w:bottom w:val="none" w:sz="0" w:space="0" w:color="auto"/>
        <w:right w:val="none" w:sz="0" w:space="0" w:color="auto"/>
      </w:divBdr>
    </w:div>
    <w:div w:id="304970616">
      <w:bodyDiv w:val="1"/>
      <w:marLeft w:val="0"/>
      <w:marRight w:val="0"/>
      <w:marTop w:val="0"/>
      <w:marBottom w:val="0"/>
      <w:divBdr>
        <w:top w:val="none" w:sz="0" w:space="0" w:color="auto"/>
        <w:left w:val="none" w:sz="0" w:space="0" w:color="auto"/>
        <w:bottom w:val="none" w:sz="0" w:space="0" w:color="auto"/>
        <w:right w:val="none" w:sz="0" w:space="0" w:color="auto"/>
      </w:divBdr>
    </w:div>
    <w:div w:id="315842095">
      <w:bodyDiv w:val="1"/>
      <w:marLeft w:val="0"/>
      <w:marRight w:val="0"/>
      <w:marTop w:val="0"/>
      <w:marBottom w:val="0"/>
      <w:divBdr>
        <w:top w:val="none" w:sz="0" w:space="0" w:color="auto"/>
        <w:left w:val="none" w:sz="0" w:space="0" w:color="auto"/>
        <w:bottom w:val="none" w:sz="0" w:space="0" w:color="auto"/>
        <w:right w:val="none" w:sz="0" w:space="0" w:color="auto"/>
      </w:divBdr>
    </w:div>
    <w:div w:id="321852297">
      <w:bodyDiv w:val="1"/>
      <w:marLeft w:val="0"/>
      <w:marRight w:val="0"/>
      <w:marTop w:val="0"/>
      <w:marBottom w:val="0"/>
      <w:divBdr>
        <w:top w:val="none" w:sz="0" w:space="0" w:color="auto"/>
        <w:left w:val="none" w:sz="0" w:space="0" w:color="auto"/>
        <w:bottom w:val="none" w:sz="0" w:space="0" w:color="auto"/>
        <w:right w:val="none" w:sz="0" w:space="0" w:color="auto"/>
      </w:divBdr>
    </w:div>
    <w:div w:id="324746059">
      <w:bodyDiv w:val="1"/>
      <w:marLeft w:val="0"/>
      <w:marRight w:val="0"/>
      <w:marTop w:val="0"/>
      <w:marBottom w:val="0"/>
      <w:divBdr>
        <w:top w:val="none" w:sz="0" w:space="0" w:color="auto"/>
        <w:left w:val="none" w:sz="0" w:space="0" w:color="auto"/>
        <w:bottom w:val="none" w:sz="0" w:space="0" w:color="auto"/>
        <w:right w:val="none" w:sz="0" w:space="0" w:color="auto"/>
      </w:divBdr>
    </w:div>
    <w:div w:id="334303916">
      <w:bodyDiv w:val="1"/>
      <w:marLeft w:val="0"/>
      <w:marRight w:val="0"/>
      <w:marTop w:val="0"/>
      <w:marBottom w:val="0"/>
      <w:divBdr>
        <w:top w:val="none" w:sz="0" w:space="0" w:color="auto"/>
        <w:left w:val="none" w:sz="0" w:space="0" w:color="auto"/>
        <w:bottom w:val="none" w:sz="0" w:space="0" w:color="auto"/>
        <w:right w:val="none" w:sz="0" w:space="0" w:color="auto"/>
      </w:divBdr>
      <w:divsChild>
        <w:div w:id="1718313454">
          <w:marLeft w:val="0"/>
          <w:marRight w:val="0"/>
          <w:marTop w:val="0"/>
          <w:marBottom w:val="0"/>
          <w:divBdr>
            <w:top w:val="none" w:sz="0" w:space="0" w:color="auto"/>
            <w:left w:val="none" w:sz="0" w:space="0" w:color="auto"/>
            <w:bottom w:val="none" w:sz="0" w:space="0" w:color="auto"/>
            <w:right w:val="none" w:sz="0" w:space="0" w:color="auto"/>
          </w:divBdr>
        </w:div>
      </w:divsChild>
    </w:div>
    <w:div w:id="339240416">
      <w:bodyDiv w:val="1"/>
      <w:marLeft w:val="0"/>
      <w:marRight w:val="0"/>
      <w:marTop w:val="0"/>
      <w:marBottom w:val="0"/>
      <w:divBdr>
        <w:top w:val="none" w:sz="0" w:space="0" w:color="auto"/>
        <w:left w:val="none" w:sz="0" w:space="0" w:color="auto"/>
        <w:bottom w:val="none" w:sz="0" w:space="0" w:color="auto"/>
        <w:right w:val="none" w:sz="0" w:space="0" w:color="auto"/>
      </w:divBdr>
      <w:divsChild>
        <w:div w:id="1530794372">
          <w:marLeft w:val="0"/>
          <w:marRight w:val="0"/>
          <w:marTop w:val="0"/>
          <w:marBottom w:val="0"/>
          <w:divBdr>
            <w:top w:val="none" w:sz="0" w:space="0" w:color="auto"/>
            <w:left w:val="none" w:sz="0" w:space="0" w:color="auto"/>
            <w:bottom w:val="none" w:sz="0" w:space="0" w:color="auto"/>
            <w:right w:val="none" w:sz="0" w:space="0" w:color="auto"/>
          </w:divBdr>
          <w:divsChild>
            <w:div w:id="1403017868">
              <w:marLeft w:val="0"/>
              <w:marRight w:val="0"/>
              <w:marTop w:val="0"/>
              <w:marBottom w:val="0"/>
              <w:divBdr>
                <w:top w:val="none" w:sz="0" w:space="0" w:color="auto"/>
                <w:left w:val="none" w:sz="0" w:space="0" w:color="auto"/>
                <w:bottom w:val="none" w:sz="0" w:space="0" w:color="auto"/>
                <w:right w:val="none" w:sz="0" w:space="0" w:color="auto"/>
              </w:divBdr>
              <w:divsChild>
                <w:div w:id="1997952408">
                  <w:marLeft w:val="0"/>
                  <w:marRight w:val="0"/>
                  <w:marTop w:val="0"/>
                  <w:marBottom w:val="0"/>
                  <w:divBdr>
                    <w:top w:val="none" w:sz="0" w:space="0" w:color="auto"/>
                    <w:left w:val="none" w:sz="0" w:space="0" w:color="auto"/>
                    <w:bottom w:val="none" w:sz="0" w:space="0" w:color="auto"/>
                    <w:right w:val="none" w:sz="0" w:space="0" w:color="auto"/>
                  </w:divBdr>
                  <w:divsChild>
                    <w:div w:id="1817381241">
                      <w:marLeft w:val="0"/>
                      <w:marRight w:val="0"/>
                      <w:marTop w:val="0"/>
                      <w:marBottom w:val="0"/>
                      <w:divBdr>
                        <w:top w:val="none" w:sz="0" w:space="0" w:color="auto"/>
                        <w:left w:val="none" w:sz="0" w:space="0" w:color="auto"/>
                        <w:bottom w:val="none" w:sz="0" w:space="0" w:color="auto"/>
                        <w:right w:val="none" w:sz="0" w:space="0" w:color="auto"/>
                      </w:divBdr>
                      <w:divsChild>
                        <w:div w:id="1102452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8914663">
      <w:bodyDiv w:val="1"/>
      <w:marLeft w:val="0"/>
      <w:marRight w:val="0"/>
      <w:marTop w:val="0"/>
      <w:marBottom w:val="0"/>
      <w:divBdr>
        <w:top w:val="none" w:sz="0" w:space="0" w:color="auto"/>
        <w:left w:val="none" w:sz="0" w:space="0" w:color="auto"/>
        <w:bottom w:val="none" w:sz="0" w:space="0" w:color="auto"/>
        <w:right w:val="none" w:sz="0" w:space="0" w:color="auto"/>
      </w:divBdr>
    </w:div>
    <w:div w:id="349379713">
      <w:bodyDiv w:val="1"/>
      <w:marLeft w:val="0"/>
      <w:marRight w:val="0"/>
      <w:marTop w:val="0"/>
      <w:marBottom w:val="0"/>
      <w:divBdr>
        <w:top w:val="none" w:sz="0" w:space="0" w:color="auto"/>
        <w:left w:val="none" w:sz="0" w:space="0" w:color="auto"/>
        <w:bottom w:val="none" w:sz="0" w:space="0" w:color="auto"/>
        <w:right w:val="none" w:sz="0" w:space="0" w:color="auto"/>
      </w:divBdr>
      <w:divsChild>
        <w:div w:id="18354585">
          <w:marLeft w:val="547"/>
          <w:marRight w:val="0"/>
          <w:marTop w:val="200"/>
          <w:marBottom w:val="0"/>
          <w:divBdr>
            <w:top w:val="none" w:sz="0" w:space="0" w:color="auto"/>
            <w:left w:val="none" w:sz="0" w:space="0" w:color="auto"/>
            <w:bottom w:val="none" w:sz="0" w:space="0" w:color="auto"/>
            <w:right w:val="none" w:sz="0" w:space="0" w:color="auto"/>
          </w:divBdr>
        </w:div>
      </w:divsChild>
    </w:div>
    <w:div w:id="349524329">
      <w:bodyDiv w:val="1"/>
      <w:marLeft w:val="0"/>
      <w:marRight w:val="0"/>
      <w:marTop w:val="0"/>
      <w:marBottom w:val="0"/>
      <w:divBdr>
        <w:top w:val="none" w:sz="0" w:space="0" w:color="auto"/>
        <w:left w:val="none" w:sz="0" w:space="0" w:color="auto"/>
        <w:bottom w:val="none" w:sz="0" w:space="0" w:color="auto"/>
        <w:right w:val="none" w:sz="0" w:space="0" w:color="auto"/>
      </w:divBdr>
    </w:div>
    <w:div w:id="356784131">
      <w:bodyDiv w:val="1"/>
      <w:marLeft w:val="0"/>
      <w:marRight w:val="0"/>
      <w:marTop w:val="0"/>
      <w:marBottom w:val="0"/>
      <w:divBdr>
        <w:top w:val="none" w:sz="0" w:space="0" w:color="auto"/>
        <w:left w:val="none" w:sz="0" w:space="0" w:color="auto"/>
        <w:bottom w:val="none" w:sz="0" w:space="0" w:color="auto"/>
        <w:right w:val="none" w:sz="0" w:space="0" w:color="auto"/>
      </w:divBdr>
    </w:div>
    <w:div w:id="362629767">
      <w:bodyDiv w:val="1"/>
      <w:marLeft w:val="0"/>
      <w:marRight w:val="0"/>
      <w:marTop w:val="0"/>
      <w:marBottom w:val="0"/>
      <w:divBdr>
        <w:top w:val="none" w:sz="0" w:space="0" w:color="auto"/>
        <w:left w:val="none" w:sz="0" w:space="0" w:color="auto"/>
        <w:bottom w:val="none" w:sz="0" w:space="0" w:color="auto"/>
        <w:right w:val="none" w:sz="0" w:space="0" w:color="auto"/>
      </w:divBdr>
    </w:div>
    <w:div w:id="366954294">
      <w:bodyDiv w:val="1"/>
      <w:marLeft w:val="0"/>
      <w:marRight w:val="0"/>
      <w:marTop w:val="0"/>
      <w:marBottom w:val="0"/>
      <w:divBdr>
        <w:top w:val="none" w:sz="0" w:space="0" w:color="auto"/>
        <w:left w:val="none" w:sz="0" w:space="0" w:color="auto"/>
        <w:bottom w:val="none" w:sz="0" w:space="0" w:color="auto"/>
        <w:right w:val="none" w:sz="0" w:space="0" w:color="auto"/>
      </w:divBdr>
    </w:div>
    <w:div w:id="371929029">
      <w:bodyDiv w:val="1"/>
      <w:marLeft w:val="0"/>
      <w:marRight w:val="0"/>
      <w:marTop w:val="0"/>
      <w:marBottom w:val="0"/>
      <w:divBdr>
        <w:top w:val="none" w:sz="0" w:space="0" w:color="auto"/>
        <w:left w:val="none" w:sz="0" w:space="0" w:color="auto"/>
        <w:bottom w:val="none" w:sz="0" w:space="0" w:color="auto"/>
        <w:right w:val="none" w:sz="0" w:space="0" w:color="auto"/>
      </w:divBdr>
    </w:div>
    <w:div w:id="374619683">
      <w:bodyDiv w:val="1"/>
      <w:marLeft w:val="0"/>
      <w:marRight w:val="0"/>
      <w:marTop w:val="0"/>
      <w:marBottom w:val="0"/>
      <w:divBdr>
        <w:top w:val="none" w:sz="0" w:space="0" w:color="auto"/>
        <w:left w:val="none" w:sz="0" w:space="0" w:color="auto"/>
        <w:bottom w:val="none" w:sz="0" w:space="0" w:color="auto"/>
        <w:right w:val="none" w:sz="0" w:space="0" w:color="auto"/>
      </w:divBdr>
    </w:div>
    <w:div w:id="395125338">
      <w:bodyDiv w:val="1"/>
      <w:marLeft w:val="0"/>
      <w:marRight w:val="0"/>
      <w:marTop w:val="0"/>
      <w:marBottom w:val="0"/>
      <w:divBdr>
        <w:top w:val="none" w:sz="0" w:space="0" w:color="auto"/>
        <w:left w:val="none" w:sz="0" w:space="0" w:color="auto"/>
        <w:bottom w:val="none" w:sz="0" w:space="0" w:color="auto"/>
        <w:right w:val="none" w:sz="0" w:space="0" w:color="auto"/>
      </w:divBdr>
    </w:div>
    <w:div w:id="396438329">
      <w:bodyDiv w:val="1"/>
      <w:marLeft w:val="0"/>
      <w:marRight w:val="0"/>
      <w:marTop w:val="0"/>
      <w:marBottom w:val="0"/>
      <w:divBdr>
        <w:top w:val="none" w:sz="0" w:space="0" w:color="auto"/>
        <w:left w:val="none" w:sz="0" w:space="0" w:color="auto"/>
        <w:bottom w:val="none" w:sz="0" w:space="0" w:color="auto"/>
        <w:right w:val="none" w:sz="0" w:space="0" w:color="auto"/>
      </w:divBdr>
    </w:div>
    <w:div w:id="400715873">
      <w:bodyDiv w:val="1"/>
      <w:marLeft w:val="0"/>
      <w:marRight w:val="0"/>
      <w:marTop w:val="0"/>
      <w:marBottom w:val="0"/>
      <w:divBdr>
        <w:top w:val="none" w:sz="0" w:space="0" w:color="auto"/>
        <w:left w:val="none" w:sz="0" w:space="0" w:color="auto"/>
        <w:bottom w:val="none" w:sz="0" w:space="0" w:color="auto"/>
        <w:right w:val="none" w:sz="0" w:space="0" w:color="auto"/>
      </w:divBdr>
    </w:div>
    <w:div w:id="421074492">
      <w:bodyDiv w:val="1"/>
      <w:marLeft w:val="0"/>
      <w:marRight w:val="0"/>
      <w:marTop w:val="0"/>
      <w:marBottom w:val="0"/>
      <w:divBdr>
        <w:top w:val="none" w:sz="0" w:space="0" w:color="auto"/>
        <w:left w:val="none" w:sz="0" w:space="0" w:color="auto"/>
        <w:bottom w:val="none" w:sz="0" w:space="0" w:color="auto"/>
        <w:right w:val="none" w:sz="0" w:space="0" w:color="auto"/>
      </w:divBdr>
    </w:div>
    <w:div w:id="425662546">
      <w:bodyDiv w:val="1"/>
      <w:marLeft w:val="0"/>
      <w:marRight w:val="0"/>
      <w:marTop w:val="0"/>
      <w:marBottom w:val="0"/>
      <w:divBdr>
        <w:top w:val="none" w:sz="0" w:space="0" w:color="auto"/>
        <w:left w:val="none" w:sz="0" w:space="0" w:color="auto"/>
        <w:bottom w:val="none" w:sz="0" w:space="0" w:color="auto"/>
        <w:right w:val="none" w:sz="0" w:space="0" w:color="auto"/>
      </w:divBdr>
    </w:div>
    <w:div w:id="443770795">
      <w:bodyDiv w:val="1"/>
      <w:marLeft w:val="0"/>
      <w:marRight w:val="0"/>
      <w:marTop w:val="0"/>
      <w:marBottom w:val="0"/>
      <w:divBdr>
        <w:top w:val="none" w:sz="0" w:space="0" w:color="auto"/>
        <w:left w:val="none" w:sz="0" w:space="0" w:color="auto"/>
        <w:bottom w:val="none" w:sz="0" w:space="0" w:color="auto"/>
        <w:right w:val="none" w:sz="0" w:space="0" w:color="auto"/>
      </w:divBdr>
    </w:div>
    <w:div w:id="447167542">
      <w:bodyDiv w:val="1"/>
      <w:marLeft w:val="0"/>
      <w:marRight w:val="0"/>
      <w:marTop w:val="0"/>
      <w:marBottom w:val="0"/>
      <w:divBdr>
        <w:top w:val="none" w:sz="0" w:space="0" w:color="auto"/>
        <w:left w:val="none" w:sz="0" w:space="0" w:color="auto"/>
        <w:bottom w:val="none" w:sz="0" w:space="0" w:color="auto"/>
        <w:right w:val="none" w:sz="0" w:space="0" w:color="auto"/>
      </w:divBdr>
      <w:divsChild>
        <w:div w:id="201477446">
          <w:marLeft w:val="0"/>
          <w:marRight w:val="0"/>
          <w:marTop w:val="0"/>
          <w:marBottom w:val="0"/>
          <w:divBdr>
            <w:top w:val="none" w:sz="0" w:space="0" w:color="auto"/>
            <w:left w:val="none" w:sz="0" w:space="0" w:color="auto"/>
            <w:bottom w:val="none" w:sz="0" w:space="0" w:color="auto"/>
            <w:right w:val="none" w:sz="0" w:space="0" w:color="auto"/>
          </w:divBdr>
        </w:div>
        <w:div w:id="715469651">
          <w:marLeft w:val="0"/>
          <w:marRight w:val="0"/>
          <w:marTop w:val="0"/>
          <w:marBottom w:val="0"/>
          <w:divBdr>
            <w:top w:val="none" w:sz="0" w:space="0" w:color="auto"/>
            <w:left w:val="none" w:sz="0" w:space="0" w:color="auto"/>
            <w:bottom w:val="none" w:sz="0" w:space="0" w:color="auto"/>
            <w:right w:val="none" w:sz="0" w:space="0" w:color="auto"/>
          </w:divBdr>
        </w:div>
      </w:divsChild>
    </w:div>
    <w:div w:id="464004630">
      <w:bodyDiv w:val="1"/>
      <w:marLeft w:val="0"/>
      <w:marRight w:val="0"/>
      <w:marTop w:val="0"/>
      <w:marBottom w:val="0"/>
      <w:divBdr>
        <w:top w:val="none" w:sz="0" w:space="0" w:color="auto"/>
        <w:left w:val="none" w:sz="0" w:space="0" w:color="auto"/>
        <w:bottom w:val="none" w:sz="0" w:space="0" w:color="auto"/>
        <w:right w:val="none" w:sz="0" w:space="0" w:color="auto"/>
      </w:divBdr>
    </w:div>
    <w:div w:id="473451495">
      <w:bodyDiv w:val="1"/>
      <w:marLeft w:val="0"/>
      <w:marRight w:val="0"/>
      <w:marTop w:val="0"/>
      <w:marBottom w:val="0"/>
      <w:divBdr>
        <w:top w:val="none" w:sz="0" w:space="0" w:color="auto"/>
        <w:left w:val="none" w:sz="0" w:space="0" w:color="auto"/>
        <w:bottom w:val="none" w:sz="0" w:space="0" w:color="auto"/>
        <w:right w:val="none" w:sz="0" w:space="0" w:color="auto"/>
      </w:divBdr>
    </w:div>
    <w:div w:id="498614609">
      <w:bodyDiv w:val="1"/>
      <w:marLeft w:val="0"/>
      <w:marRight w:val="0"/>
      <w:marTop w:val="0"/>
      <w:marBottom w:val="0"/>
      <w:divBdr>
        <w:top w:val="none" w:sz="0" w:space="0" w:color="auto"/>
        <w:left w:val="none" w:sz="0" w:space="0" w:color="auto"/>
        <w:bottom w:val="none" w:sz="0" w:space="0" w:color="auto"/>
        <w:right w:val="none" w:sz="0" w:space="0" w:color="auto"/>
      </w:divBdr>
    </w:div>
    <w:div w:id="516701634">
      <w:bodyDiv w:val="1"/>
      <w:marLeft w:val="0"/>
      <w:marRight w:val="0"/>
      <w:marTop w:val="0"/>
      <w:marBottom w:val="0"/>
      <w:divBdr>
        <w:top w:val="none" w:sz="0" w:space="0" w:color="auto"/>
        <w:left w:val="none" w:sz="0" w:space="0" w:color="auto"/>
        <w:bottom w:val="none" w:sz="0" w:space="0" w:color="auto"/>
        <w:right w:val="none" w:sz="0" w:space="0" w:color="auto"/>
      </w:divBdr>
    </w:div>
    <w:div w:id="531504605">
      <w:bodyDiv w:val="1"/>
      <w:marLeft w:val="0"/>
      <w:marRight w:val="0"/>
      <w:marTop w:val="0"/>
      <w:marBottom w:val="0"/>
      <w:divBdr>
        <w:top w:val="none" w:sz="0" w:space="0" w:color="auto"/>
        <w:left w:val="none" w:sz="0" w:space="0" w:color="auto"/>
        <w:bottom w:val="none" w:sz="0" w:space="0" w:color="auto"/>
        <w:right w:val="none" w:sz="0" w:space="0" w:color="auto"/>
      </w:divBdr>
    </w:div>
    <w:div w:id="533008803">
      <w:bodyDiv w:val="1"/>
      <w:marLeft w:val="0"/>
      <w:marRight w:val="0"/>
      <w:marTop w:val="0"/>
      <w:marBottom w:val="0"/>
      <w:divBdr>
        <w:top w:val="none" w:sz="0" w:space="0" w:color="auto"/>
        <w:left w:val="none" w:sz="0" w:space="0" w:color="auto"/>
        <w:bottom w:val="none" w:sz="0" w:space="0" w:color="auto"/>
        <w:right w:val="none" w:sz="0" w:space="0" w:color="auto"/>
      </w:divBdr>
    </w:div>
    <w:div w:id="539323401">
      <w:bodyDiv w:val="1"/>
      <w:marLeft w:val="0"/>
      <w:marRight w:val="0"/>
      <w:marTop w:val="0"/>
      <w:marBottom w:val="0"/>
      <w:divBdr>
        <w:top w:val="none" w:sz="0" w:space="0" w:color="auto"/>
        <w:left w:val="none" w:sz="0" w:space="0" w:color="auto"/>
        <w:bottom w:val="none" w:sz="0" w:space="0" w:color="auto"/>
        <w:right w:val="none" w:sz="0" w:space="0" w:color="auto"/>
      </w:divBdr>
      <w:divsChild>
        <w:div w:id="241718538">
          <w:marLeft w:val="0"/>
          <w:marRight w:val="0"/>
          <w:marTop w:val="0"/>
          <w:marBottom w:val="0"/>
          <w:divBdr>
            <w:top w:val="none" w:sz="0" w:space="0" w:color="auto"/>
            <w:left w:val="none" w:sz="0" w:space="0" w:color="auto"/>
            <w:bottom w:val="none" w:sz="0" w:space="0" w:color="auto"/>
            <w:right w:val="none" w:sz="0" w:space="0" w:color="auto"/>
          </w:divBdr>
        </w:div>
        <w:div w:id="1929387478">
          <w:marLeft w:val="0"/>
          <w:marRight w:val="0"/>
          <w:marTop w:val="0"/>
          <w:marBottom w:val="0"/>
          <w:divBdr>
            <w:top w:val="none" w:sz="0" w:space="0" w:color="auto"/>
            <w:left w:val="none" w:sz="0" w:space="0" w:color="auto"/>
            <w:bottom w:val="none" w:sz="0" w:space="0" w:color="auto"/>
            <w:right w:val="none" w:sz="0" w:space="0" w:color="auto"/>
          </w:divBdr>
        </w:div>
      </w:divsChild>
    </w:div>
    <w:div w:id="539561395">
      <w:bodyDiv w:val="1"/>
      <w:marLeft w:val="0"/>
      <w:marRight w:val="0"/>
      <w:marTop w:val="0"/>
      <w:marBottom w:val="0"/>
      <w:divBdr>
        <w:top w:val="none" w:sz="0" w:space="0" w:color="auto"/>
        <w:left w:val="none" w:sz="0" w:space="0" w:color="auto"/>
        <w:bottom w:val="none" w:sz="0" w:space="0" w:color="auto"/>
        <w:right w:val="none" w:sz="0" w:space="0" w:color="auto"/>
      </w:divBdr>
    </w:div>
    <w:div w:id="540868941">
      <w:bodyDiv w:val="1"/>
      <w:marLeft w:val="0"/>
      <w:marRight w:val="0"/>
      <w:marTop w:val="0"/>
      <w:marBottom w:val="0"/>
      <w:divBdr>
        <w:top w:val="none" w:sz="0" w:space="0" w:color="auto"/>
        <w:left w:val="none" w:sz="0" w:space="0" w:color="auto"/>
        <w:bottom w:val="none" w:sz="0" w:space="0" w:color="auto"/>
        <w:right w:val="none" w:sz="0" w:space="0" w:color="auto"/>
      </w:divBdr>
    </w:div>
    <w:div w:id="568464076">
      <w:bodyDiv w:val="1"/>
      <w:marLeft w:val="0"/>
      <w:marRight w:val="0"/>
      <w:marTop w:val="0"/>
      <w:marBottom w:val="0"/>
      <w:divBdr>
        <w:top w:val="none" w:sz="0" w:space="0" w:color="auto"/>
        <w:left w:val="none" w:sz="0" w:space="0" w:color="auto"/>
        <w:bottom w:val="none" w:sz="0" w:space="0" w:color="auto"/>
        <w:right w:val="none" w:sz="0" w:space="0" w:color="auto"/>
      </w:divBdr>
    </w:div>
    <w:div w:id="573777036">
      <w:bodyDiv w:val="1"/>
      <w:marLeft w:val="0"/>
      <w:marRight w:val="0"/>
      <w:marTop w:val="0"/>
      <w:marBottom w:val="0"/>
      <w:divBdr>
        <w:top w:val="none" w:sz="0" w:space="0" w:color="auto"/>
        <w:left w:val="none" w:sz="0" w:space="0" w:color="auto"/>
        <w:bottom w:val="none" w:sz="0" w:space="0" w:color="auto"/>
        <w:right w:val="none" w:sz="0" w:space="0" w:color="auto"/>
      </w:divBdr>
    </w:div>
    <w:div w:id="583808359">
      <w:bodyDiv w:val="1"/>
      <w:marLeft w:val="0"/>
      <w:marRight w:val="0"/>
      <w:marTop w:val="0"/>
      <w:marBottom w:val="0"/>
      <w:divBdr>
        <w:top w:val="none" w:sz="0" w:space="0" w:color="auto"/>
        <w:left w:val="none" w:sz="0" w:space="0" w:color="auto"/>
        <w:bottom w:val="none" w:sz="0" w:space="0" w:color="auto"/>
        <w:right w:val="none" w:sz="0" w:space="0" w:color="auto"/>
      </w:divBdr>
    </w:div>
    <w:div w:id="584338354">
      <w:bodyDiv w:val="1"/>
      <w:marLeft w:val="0"/>
      <w:marRight w:val="0"/>
      <w:marTop w:val="0"/>
      <w:marBottom w:val="0"/>
      <w:divBdr>
        <w:top w:val="none" w:sz="0" w:space="0" w:color="auto"/>
        <w:left w:val="none" w:sz="0" w:space="0" w:color="auto"/>
        <w:bottom w:val="none" w:sz="0" w:space="0" w:color="auto"/>
        <w:right w:val="none" w:sz="0" w:space="0" w:color="auto"/>
      </w:divBdr>
    </w:div>
    <w:div w:id="593436362">
      <w:bodyDiv w:val="1"/>
      <w:marLeft w:val="0"/>
      <w:marRight w:val="0"/>
      <w:marTop w:val="0"/>
      <w:marBottom w:val="0"/>
      <w:divBdr>
        <w:top w:val="none" w:sz="0" w:space="0" w:color="auto"/>
        <w:left w:val="none" w:sz="0" w:space="0" w:color="auto"/>
        <w:bottom w:val="none" w:sz="0" w:space="0" w:color="auto"/>
        <w:right w:val="none" w:sz="0" w:space="0" w:color="auto"/>
      </w:divBdr>
    </w:div>
    <w:div w:id="594554188">
      <w:bodyDiv w:val="1"/>
      <w:marLeft w:val="0"/>
      <w:marRight w:val="0"/>
      <w:marTop w:val="0"/>
      <w:marBottom w:val="0"/>
      <w:divBdr>
        <w:top w:val="none" w:sz="0" w:space="0" w:color="auto"/>
        <w:left w:val="none" w:sz="0" w:space="0" w:color="auto"/>
        <w:bottom w:val="none" w:sz="0" w:space="0" w:color="auto"/>
        <w:right w:val="none" w:sz="0" w:space="0" w:color="auto"/>
      </w:divBdr>
    </w:div>
    <w:div w:id="605044450">
      <w:bodyDiv w:val="1"/>
      <w:marLeft w:val="0"/>
      <w:marRight w:val="0"/>
      <w:marTop w:val="0"/>
      <w:marBottom w:val="0"/>
      <w:divBdr>
        <w:top w:val="none" w:sz="0" w:space="0" w:color="auto"/>
        <w:left w:val="none" w:sz="0" w:space="0" w:color="auto"/>
        <w:bottom w:val="none" w:sz="0" w:space="0" w:color="auto"/>
        <w:right w:val="none" w:sz="0" w:space="0" w:color="auto"/>
      </w:divBdr>
    </w:div>
    <w:div w:id="612322823">
      <w:bodyDiv w:val="1"/>
      <w:marLeft w:val="0"/>
      <w:marRight w:val="0"/>
      <w:marTop w:val="0"/>
      <w:marBottom w:val="0"/>
      <w:divBdr>
        <w:top w:val="none" w:sz="0" w:space="0" w:color="auto"/>
        <w:left w:val="none" w:sz="0" w:space="0" w:color="auto"/>
        <w:bottom w:val="none" w:sz="0" w:space="0" w:color="auto"/>
        <w:right w:val="none" w:sz="0" w:space="0" w:color="auto"/>
      </w:divBdr>
      <w:divsChild>
        <w:div w:id="1931355573">
          <w:marLeft w:val="0"/>
          <w:marRight w:val="0"/>
          <w:marTop w:val="0"/>
          <w:marBottom w:val="0"/>
          <w:divBdr>
            <w:top w:val="none" w:sz="0" w:space="0" w:color="auto"/>
            <w:left w:val="none" w:sz="0" w:space="0" w:color="auto"/>
            <w:bottom w:val="none" w:sz="0" w:space="0" w:color="auto"/>
            <w:right w:val="none" w:sz="0" w:space="0" w:color="auto"/>
          </w:divBdr>
          <w:divsChild>
            <w:div w:id="55662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509741">
      <w:bodyDiv w:val="1"/>
      <w:marLeft w:val="0"/>
      <w:marRight w:val="0"/>
      <w:marTop w:val="0"/>
      <w:marBottom w:val="0"/>
      <w:divBdr>
        <w:top w:val="none" w:sz="0" w:space="0" w:color="auto"/>
        <w:left w:val="none" w:sz="0" w:space="0" w:color="auto"/>
        <w:bottom w:val="none" w:sz="0" w:space="0" w:color="auto"/>
        <w:right w:val="none" w:sz="0" w:space="0" w:color="auto"/>
      </w:divBdr>
    </w:div>
    <w:div w:id="660352927">
      <w:bodyDiv w:val="1"/>
      <w:marLeft w:val="0"/>
      <w:marRight w:val="0"/>
      <w:marTop w:val="0"/>
      <w:marBottom w:val="0"/>
      <w:divBdr>
        <w:top w:val="none" w:sz="0" w:space="0" w:color="auto"/>
        <w:left w:val="none" w:sz="0" w:space="0" w:color="auto"/>
        <w:bottom w:val="none" w:sz="0" w:space="0" w:color="auto"/>
        <w:right w:val="none" w:sz="0" w:space="0" w:color="auto"/>
      </w:divBdr>
      <w:divsChild>
        <w:div w:id="1948848380">
          <w:marLeft w:val="547"/>
          <w:marRight w:val="0"/>
          <w:marTop w:val="200"/>
          <w:marBottom w:val="0"/>
          <w:divBdr>
            <w:top w:val="none" w:sz="0" w:space="0" w:color="auto"/>
            <w:left w:val="none" w:sz="0" w:space="0" w:color="auto"/>
            <w:bottom w:val="none" w:sz="0" w:space="0" w:color="auto"/>
            <w:right w:val="none" w:sz="0" w:space="0" w:color="auto"/>
          </w:divBdr>
        </w:div>
      </w:divsChild>
    </w:div>
    <w:div w:id="676925258">
      <w:bodyDiv w:val="1"/>
      <w:marLeft w:val="0"/>
      <w:marRight w:val="0"/>
      <w:marTop w:val="0"/>
      <w:marBottom w:val="0"/>
      <w:divBdr>
        <w:top w:val="none" w:sz="0" w:space="0" w:color="auto"/>
        <w:left w:val="none" w:sz="0" w:space="0" w:color="auto"/>
        <w:bottom w:val="none" w:sz="0" w:space="0" w:color="auto"/>
        <w:right w:val="none" w:sz="0" w:space="0" w:color="auto"/>
      </w:divBdr>
    </w:div>
    <w:div w:id="684407922">
      <w:bodyDiv w:val="1"/>
      <w:marLeft w:val="0"/>
      <w:marRight w:val="0"/>
      <w:marTop w:val="0"/>
      <w:marBottom w:val="0"/>
      <w:divBdr>
        <w:top w:val="none" w:sz="0" w:space="0" w:color="auto"/>
        <w:left w:val="none" w:sz="0" w:space="0" w:color="auto"/>
        <w:bottom w:val="none" w:sz="0" w:space="0" w:color="auto"/>
        <w:right w:val="none" w:sz="0" w:space="0" w:color="auto"/>
      </w:divBdr>
    </w:div>
    <w:div w:id="704209314">
      <w:bodyDiv w:val="1"/>
      <w:marLeft w:val="0"/>
      <w:marRight w:val="0"/>
      <w:marTop w:val="0"/>
      <w:marBottom w:val="0"/>
      <w:divBdr>
        <w:top w:val="none" w:sz="0" w:space="0" w:color="auto"/>
        <w:left w:val="none" w:sz="0" w:space="0" w:color="auto"/>
        <w:bottom w:val="none" w:sz="0" w:space="0" w:color="auto"/>
        <w:right w:val="none" w:sz="0" w:space="0" w:color="auto"/>
      </w:divBdr>
    </w:div>
    <w:div w:id="708143659">
      <w:bodyDiv w:val="1"/>
      <w:marLeft w:val="0"/>
      <w:marRight w:val="0"/>
      <w:marTop w:val="0"/>
      <w:marBottom w:val="0"/>
      <w:divBdr>
        <w:top w:val="none" w:sz="0" w:space="0" w:color="auto"/>
        <w:left w:val="none" w:sz="0" w:space="0" w:color="auto"/>
        <w:bottom w:val="none" w:sz="0" w:space="0" w:color="auto"/>
        <w:right w:val="none" w:sz="0" w:space="0" w:color="auto"/>
      </w:divBdr>
    </w:div>
    <w:div w:id="718285154">
      <w:bodyDiv w:val="1"/>
      <w:marLeft w:val="0"/>
      <w:marRight w:val="0"/>
      <w:marTop w:val="0"/>
      <w:marBottom w:val="0"/>
      <w:divBdr>
        <w:top w:val="none" w:sz="0" w:space="0" w:color="auto"/>
        <w:left w:val="none" w:sz="0" w:space="0" w:color="auto"/>
        <w:bottom w:val="none" w:sz="0" w:space="0" w:color="auto"/>
        <w:right w:val="none" w:sz="0" w:space="0" w:color="auto"/>
      </w:divBdr>
      <w:divsChild>
        <w:div w:id="509955159">
          <w:marLeft w:val="0"/>
          <w:marRight w:val="0"/>
          <w:marTop w:val="0"/>
          <w:marBottom w:val="0"/>
          <w:divBdr>
            <w:top w:val="none" w:sz="0" w:space="0" w:color="auto"/>
            <w:left w:val="none" w:sz="0" w:space="0" w:color="auto"/>
            <w:bottom w:val="none" w:sz="0" w:space="0" w:color="auto"/>
            <w:right w:val="none" w:sz="0" w:space="0" w:color="auto"/>
          </w:divBdr>
        </w:div>
        <w:div w:id="1022590176">
          <w:marLeft w:val="0"/>
          <w:marRight w:val="0"/>
          <w:marTop w:val="0"/>
          <w:marBottom w:val="0"/>
          <w:divBdr>
            <w:top w:val="none" w:sz="0" w:space="0" w:color="auto"/>
            <w:left w:val="none" w:sz="0" w:space="0" w:color="auto"/>
            <w:bottom w:val="none" w:sz="0" w:space="0" w:color="auto"/>
            <w:right w:val="none" w:sz="0" w:space="0" w:color="auto"/>
          </w:divBdr>
        </w:div>
        <w:div w:id="1186791445">
          <w:marLeft w:val="0"/>
          <w:marRight w:val="0"/>
          <w:marTop w:val="0"/>
          <w:marBottom w:val="0"/>
          <w:divBdr>
            <w:top w:val="none" w:sz="0" w:space="0" w:color="auto"/>
            <w:left w:val="none" w:sz="0" w:space="0" w:color="auto"/>
            <w:bottom w:val="none" w:sz="0" w:space="0" w:color="auto"/>
            <w:right w:val="none" w:sz="0" w:space="0" w:color="auto"/>
          </w:divBdr>
        </w:div>
        <w:div w:id="1828857826">
          <w:marLeft w:val="0"/>
          <w:marRight w:val="0"/>
          <w:marTop w:val="0"/>
          <w:marBottom w:val="0"/>
          <w:divBdr>
            <w:top w:val="none" w:sz="0" w:space="0" w:color="auto"/>
            <w:left w:val="none" w:sz="0" w:space="0" w:color="auto"/>
            <w:bottom w:val="none" w:sz="0" w:space="0" w:color="auto"/>
            <w:right w:val="none" w:sz="0" w:space="0" w:color="auto"/>
          </w:divBdr>
        </w:div>
        <w:div w:id="2038844034">
          <w:marLeft w:val="0"/>
          <w:marRight w:val="0"/>
          <w:marTop w:val="0"/>
          <w:marBottom w:val="0"/>
          <w:divBdr>
            <w:top w:val="none" w:sz="0" w:space="0" w:color="auto"/>
            <w:left w:val="none" w:sz="0" w:space="0" w:color="auto"/>
            <w:bottom w:val="none" w:sz="0" w:space="0" w:color="auto"/>
            <w:right w:val="none" w:sz="0" w:space="0" w:color="auto"/>
          </w:divBdr>
        </w:div>
      </w:divsChild>
    </w:div>
    <w:div w:id="719598605">
      <w:bodyDiv w:val="1"/>
      <w:marLeft w:val="0"/>
      <w:marRight w:val="0"/>
      <w:marTop w:val="0"/>
      <w:marBottom w:val="0"/>
      <w:divBdr>
        <w:top w:val="none" w:sz="0" w:space="0" w:color="auto"/>
        <w:left w:val="none" w:sz="0" w:space="0" w:color="auto"/>
        <w:bottom w:val="none" w:sz="0" w:space="0" w:color="auto"/>
        <w:right w:val="none" w:sz="0" w:space="0" w:color="auto"/>
      </w:divBdr>
    </w:div>
    <w:div w:id="724329752">
      <w:bodyDiv w:val="1"/>
      <w:marLeft w:val="0"/>
      <w:marRight w:val="0"/>
      <w:marTop w:val="0"/>
      <w:marBottom w:val="0"/>
      <w:divBdr>
        <w:top w:val="none" w:sz="0" w:space="0" w:color="auto"/>
        <w:left w:val="none" w:sz="0" w:space="0" w:color="auto"/>
        <w:bottom w:val="none" w:sz="0" w:space="0" w:color="auto"/>
        <w:right w:val="none" w:sz="0" w:space="0" w:color="auto"/>
      </w:divBdr>
    </w:div>
    <w:div w:id="725488236">
      <w:bodyDiv w:val="1"/>
      <w:marLeft w:val="0"/>
      <w:marRight w:val="0"/>
      <w:marTop w:val="0"/>
      <w:marBottom w:val="0"/>
      <w:divBdr>
        <w:top w:val="none" w:sz="0" w:space="0" w:color="auto"/>
        <w:left w:val="none" w:sz="0" w:space="0" w:color="auto"/>
        <w:bottom w:val="none" w:sz="0" w:space="0" w:color="auto"/>
        <w:right w:val="none" w:sz="0" w:space="0" w:color="auto"/>
      </w:divBdr>
    </w:div>
    <w:div w:id="734937052">
      <w:bodyDiv w:val="1"/>
      <w:marLeft w:val="0"/>
      <w:marRight w:val="0"/>
      <w:marTop w:val="0"/>
      <w:marBottom w:val="0"/>
      <w:divBdr>
        <w:top w:val="none" w:sz="0" w:space="0" w:color="auto"/>
        <w:left w:val="none" w:sz="0" w:space="0" w:color="auto"/>
        <w:bottom w:val="none" w:sz="0" w:space="0" w:color="auto"/>
        <w:right w:val="none" w:sz="0" w:space="0" w:color="auto"/>
      </w:divBdr>
    </w:div>
    <w:div w:id="744230379">
      <w:bodyDiv w:val="1"/>
      <w:marLeft w:val="0"/>
      <w:marRight w:val="0"/>
      <w:marTop w:val="0"/>
      <w:marBottom w:val="0"/>
      <w:divBdr>
        <w:top w:val="none" w:sz="0" w:space="0" w:color="auto"/>
        <w:left w:val="none" w:sz="0" w:space="0" w:color="auto"/>
        <w:bottom w:val="none" w:sz="0" w:space="0" w:color="auto"/>
        <w:right w:val="none" w:sz="0" w:space="0" w:color="auto"/>
      </w:divBdr>
    </w:div>
    <w:div w:id="745346678">
      <w:bodyDiv w:val="1"/>
      <w:marLeft w:val="0"/>
      <w:marRight w:val="0"/>
      <w:marTop w:val="0"/>
      <w:marBottom w:val="0"/>
      <w:divBdr>
        <w:top w:val="none" w:sz="0" w:space="0" w:color="auto"/>
        <w:left w:val="none" w:sz="0" w:space="0" w:color="auto"/>
        <w:bottom w:val="none" w:sz="0" w:space="0" w:color="auto"/>
        <w:right w:val="none" w:sz="0" w:space="0" w:color="auto"/>
      </w:divBdr>
    </w:div>
    <w:div w:id="754742511">
      <w:bodyDiv w:val="1"/>
      <w:marLeft w:val="0"/>
      <w:marRight w:val="0"/>
      <w:marTop w:val="0"/>
      <w:marBottom w:val="0"/>
      <w:divBdr>
        <w:top w:val="none" w:sz="0" w:space="0" w:color="auto"/>
        <w:left w:val="none" w:sz="0" w:space="0" w:color="auto"/>
        <w:bottom w:val="none" w:sz="0" w:space="0" w:color="auto"/>
        <w:right w:val="none" w:sz="0" w:space="0" w:color="auto"/>
      </w:divBdr>
    </w:div>
    <w:div w:id="755440208">
      <w:bodyDiv w:val="1"/>
      <w:marLeft w:val="0"/>
      <w:marRight w:val="0"/>
      <w:marTop w:val="0"/>
      <w:marBottom w:val="0"/>
      <w:divBdr>
        <w:top w:val="none" w:sz="0" w:space="0" w:color="auto"/>
        <w:left w:val="none" w:sz="0" w:space="0" w:color="auto"/>
        <w:bottom w:val="none" w:sz="0" w:space="0" w:color="auto"/>
        <w:right w:val="none" w:sz="0" w:space="0" w:color="auto"/>
      </w:divBdr>
    </w:div>
    <w:div w:id="763378937">
      <w:bodyDiv w:val="1"/>
      <w:marLeft w:val="0"/>
      <w:marRight w:val="0"/>
      <w:marTop w:val="0"/>
      <w:marBottom w:val="0"/>
      <w:divBdr>
        <w:top w:val="none" w:sz="0" w:space="0" w:color="auto"/>
        <w:left w:val="none" w:sz="0" w:space="0" w:color="auto"/>
        <w:bottom w:val="none" w:sz="0" w:space="0" w:color="auto"/>
        <w:right w:val="none" w:sz="0" w:space="0" w:color="auto"/>
      </w:divBdr>
    </w:div>
    <w:div w:id="775514740">
      <w:bodyDiv w:val="1"/>
      <w:marLeft w:val="0"/>
      <w:marRight w:val="0"/>
      <w:marTop w:val="0"/>
      <w:marBottom w:val="0"/>
      <w:divBdr>
        <w:top w:val="none" w:sz="0" w:space="0" w:color="auto"/>
        <w:left w:val="none" w:sz="0" w:space="0" w:color="auto"/>
        <w:bottom w:val="none" w:sz="0" w:space="0" w:color="auto"/>
        <w:right w:val="none" w:sz="0" w:space="0" w:color="auto"/>
      </w:divBdr>
    </w:div>
    <w:div w:id="776875079">
      <w:bodyDiv w:val="1"/>
      <w:marLeft w:val="0"/>
      <w:marRight w:val="0"/>
      <w:marTop w:val="0"/>
      <w:marBottom w:val="0"/>
      <w:divBdr>
        <w:top w:val="none" w:sz="0" w:space="0" w:color="auto"/>
        <w:left w:val="none" w:sz="0" w:space="0" w:color="auto"/>
        <w:bottom w:val="none" w:sz="0" w:space="0" w:color="auto"/>
        <w:right w:val="none" w:sz="0" w:space="0" w:color="auto"/>
      </w:divBdr>
    </w:div>
    <w:div w:id="780993948">
      <w:bodyDiv w:val="1"/>
      <w:marLeft w:val="0"/>
      <w:marRight w:val="0"/>
      <w:marTop w:val="0"/>
      <w:marBottom w:val="0"/>
      <w:divBdr>
        <w:top w:val="none" w:sz="0" w:space="0" w:color="auto"/>
        <w:left w:val="none" w:sz="0" w:space="0" w:color="auto"/>
        <w:bottom w:val="none" w:sz="0" w:space="0" w:color="auto"/>
        <w:right w:val="none" w:sz="0" w:space="0" w:color="auto"/>
      </w:divBdr>
      <w:divsChild>
        <w:div w:id="1429740109">
          <w:marLeft w:val="0"/>
          <w:marRight w:val="0"/>
          <w:marTop w:val="0"/>
          <w:marBottom w:val="0"/>
          <w:divBdr>
            <w:top w:val="none" w:sz="0" w:space="0" w:color="auto"/>
            <w:left w:val="none" w:sz="0" w:space="0" w:color="auto"/>
            <w:bottom w:val="none" w:sz="0" w:space="0" w:color="auto"/>
            <w:right w:val="none" w:sz="0" w:space="0" w:color="auto"/>
          </w:divBdr>
        </w:div>
      </w:divsChild>
    </w:div>
    <w:div w:id="781730296">
      <w:bodyDiv w:val="1"/>
      <w:marLeft w:val="0"/>
      <w:marRight w:val="0"/>
      <w:marTop w:val="0"/>
      <w:marBottom w:val="0"/>
      <w:divBdr>
        <w:top w:val="none" w:sz="0" w:space="0" w:color="auto"/>
        <w:left w:val="none" w:sz="0" w:space="0" w:color="auto"/>
        <w:bottom w:val="none" w:sz="0" w:space="0" w:color="auto"/>
        <w:right w:val="none" w:sz="0" w:space="0" w:color="auto"/>
      </w:divBdr>
      <w:divsChild>
        <w:div w:id="419639609">
          <w:marLeft w:val="0"/>
          <w:marRight w:val="0"/>
          <w:marTop w:val="0"/>
          <w:marBottom w:val="0"/>
          <w:divBdr>
            <w:top w:val="none" w:sz="0" w:space="0" w:color="auto"/>
            <w:left w:val="none" w:sz="0" w:space="0" w:color="auto"/>
            <w:bottom w:val="none" w:sz="0" w:space="0" w:color="auto"/>
            <w:right w:val="none" w:sz="0" w:space="0" w:color="auto"/>
          </w:divBdr>
          <w:divsChild>
            <w:div w:id="1851679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916425">
      <w:bodyDiv w:val="1"/>
      <w:marLeft w:val="0"/>
      <w:marRight w:val="0"/>
      <w:marTop w:val="0"/>
      <w:marBottom w:val="0"/>
      <w:divBdr>
        <w:top w:val="none" w:sz="0" w:space="0" w:color="auto"/>
        <w:left w:val="none" w:sz="0" w:space="0" w:color="auto"/>
        <w:bottom w:val="none" w:sz="0" w:space="0" w:color="auto"/>
        <w:right w:val="none" w:sz="0" w:space="0" w:color="auto"/>
      </w:divBdr>
    </w:div>
    <w:div w:id="783305157">
      <w:bodyDiv w:val="1"/>
      <w:marLeft w:val="0"/>
      <w:marRight w:val="0"/>
      <w:marTop w:val="0"/>
      <w:marBottom w:val="0"/>
      <w:divBdr>
        <w:top w:val="none" w:sz="0" w:space="0" w:color="auto"/>
        <w:left w:val="none" w:sz="0" w:space="0" w:color="auto"/>
        <w:bottom w:val="none" w:sz="0" w:space="0" w:color="auto"/>
        <w:right w:val="none" w:sz="0" w:space="0" w:color="auto"/>
      </w:divBdr>
    </w:div>
    <w:div w:id="790318980">
      <w:bodyDiv w:val="1"/>
      <w:marLeft w:val="0"/>
      <w:marRight w:val="0"/>
      <w:marTop w:val="0"/>
      <w:marBottom w:val="0"/>
      <w:divBdr>
        <w:top w:val="none" w:sz="0" w:space="0" w:color="auto"/>
        <w:left w:val="none" w:sz="0" w:space="0" w:color="auto"/>
        <w:bottom w:val="none" w:sz="0" w:space="0" w:color="auto"/>
        <w:right w:val="none" w:sz="0" w:space="0" w:color="auto"/>
      </w:divBdr>
    </w:div>
    <w:div w:id="794829059">
      <w:bodyDiv w:val="1"/>
      <w:marLeft w:val="0"/>
      <w:marRight w:val="0"/>
      <w:marTop w:val="0"/>
      <w:marBottom w:val="0"/>
      <w:divBdr>
        <w:top w:val="none" w:sz="0" w:space="0" w:color="auto"/>
        <w:left w:val="none" w:sz="0" w:space="0" w:color="auto"/>
        <w:bottom w:val="none" w:sz="0" w:space="0" w:color="auto"/>
        <w:right w:val="none" w:sz="0" w:space="0" w:color="auto"/>
      </w:divBdr>
    </w:div>
    <w:div w:id="797143942">
      <w:bodyDiv w:val="1"/>
      <w:marLeft w:val="0"/>
      <w:marRight w:val="0"/>
      <w:marTop w:val="0"/>
      <w:marBottom w:val="0"/>
      <w:divBdr>
        <w:top w:val="none" w:sz="0" w:space="0" w:color="auto"/>
        <w:left w:val="none" w:sz="0" w:space="0" w:color="auto"/>
        <w:bottom w:val="none" w:sz="0" w:space="0" w:color="auto"/>
        <w:right w:val="none" w:sz="0" w:space="0" w:color="auto"/>
      </w:divBdr>
    </w:div>
    <w:div w:id="802423847">
      <w:bodyDiv w:val="1"/>
      <w:marLeft w:val="0"/>
      <w:marRight w:val="0"/>
      <w:marTop w:val="0"/>
      <w:marBottom w:val="0"/>
      <w:divBdr>
        <w:top w:val="none" w:sz="0" w:space="0" w:color="auto"/>
        <w:left w:val="none" w:sz="0" w:space="0" w:color="auto"/>
        <w:bottom w:val="none" w:sz="0" w:space="0" w:color="auto"/>
        <w:right w:val="none" w:sz="0" w:space="0" w:color="auto"/>
      </w:divBdr>
    </w:div>
    <w:div w:id="803083323">
      <w:bodyDiv w:val="1"/>
      <w:marLeft w:val="0"/>
      <w:marRight w:val="0"/>
      <w:marTop w:val="0"/>
      <w:marBottom w:val="0"/>
      <w:divBdr>
        <w:top w:val="none" w:sz="0" w:space="0" w:color="auto"/>
        <w:left w:val="none" w:sz="0" w:space="0" w:color="auto"/>
        <w:bottom w:val="none" w:sz="0" w:space="0" w:color="auto"/>
        <w:right w:val="none" w:sz="0" w:space="0" w:color="auto"/>
      </w:divBdr>
    </w:div>
    <w:div w:id="812334037">
      <w:bodyDiv w:val="1"/>
      <w:marLeft w:val="0"/>
      <w:marRight w:val="0"/>
      <w:marTop w:val="0"/>
      <w:marBottom w:val="0"/>
      <w:divBdr>
        <w:top w:val="none" w:sz="0" w:space="0" w:color="auto"/>
        <w:left w:val="none" w:sz="0" w:space="0" w:color="auto"/>
        <w:bottom w:val="none" w:sz="0" w:space="0" w:color="auto"/>
        <w:right w:val="none" w:sz="0" w:space="0" w:color="auto"/>
      </w:divBdr>
    </w:div>
    <w:div w:id="818766230">
      <w:bodyDiv w:val="1"/>
      <w:marLeft w:val="0"/>
      <w:marRight w:val="0"/>
      <w:marTop w:val="0"/>
      <w:marBottom w:val="0"/>
      <w:divBdr>
        <w:top w:val="none" w:sz="0" w:space="0" w:color="auto"/>
        <w:left w:val="none" w:sz="0" w:space="0" w:color="auto"/>
        <w:bottom w:val="none" w:sz="0" w:space="0" w:color="auto"/>
        <w:right w:val="none" w:sz="0" w:space="0" w:color="auto"/>
      </w:divBdr>
    </w:div>
    <w:div w:id="827984000">
      <w:bodyDiv w:val="1"/>
      <w:marLeft w:val="0"/>
      <w:marRight w:val="0"/>
      <w:marTop w:val="0"/>
      <w:marBottom w:val="0"/>
      <w:divBdr>
        <w:top w:val="none" w:sz="0" w:space="0" w:color="auto"/>
        <w:left w:val="none" w:sz="0" w:space="0" w:color="auto"/>
        <w:bottom w:val="none" w:sz="0" w:space="0" w:color="auto"/>
        <w:right w:val="none" w:sz="0" w:space="0" w:color="auto"/>
      </w:divBdr>
      <w:divsChild>
        <w:div w:id="298611177">
          <w:marLeft w:val="0"/>
          <w:marRight w:val="0"/>
          <w:marTop w:val="0"/>
          <w:marBottom w:val="0"/>
          <w:divBdr>
            <w:top w:val="none" w:sz="0" w:space="0" w:color="auto"/>
            <w:left w:val="none" w:sz="0" w:space="0" w:color="auto"/>
            <w:bottom w:val="none" w:sz="0" w:space="0" w:color="auto"/>
            <w:right w:val="none" w:sz="0" w:space="0" w:color="auto"/>
          </w:divBdr>
        </w:div>
        <w:div w:id="503863758">
          <w:marLeft w:val="0"/>
          <w:marRight w:val="0"/>
          <w:marTop w:val="0"/>
          <w:marBottom w:val="0"/>
          <w:divBdr>
            <w:top w:val="none" w:sz="0" w:space="0" w:color="auto"/>
            <w:left w:val="none" w:sz="0" w:space="0" w:color="auto"/>
            <w:bottom w:val="none" w:sz="0" w:space="0" w:color="auto"/>
            <w:right w:val="none" w:sz="0" w:space="0" w:color="auto"/>
          </w:divBdr>
        </w:div>
        <w:div w:id="1088696364">
          <w:marLeft w:val="0"/>
          <w:marRight w:val="0"/>
          <w:marTop w:val="0"/>
          <w:marBottom w:val="0"/>
          <w:divBdr>
            <w:top w:val="none" w:sz="0" w:space="0" w:color="auto"/>
            <w:left w:val="none" w:sz="0" w:space="0" w:color="auto"/>
            <w:bottom w:val="none" w:sz="0" w:space="0" w:color="auto"/>
            <w:right w:val="none" w:sz="0" w:space="0" w:color="auto"/>
          </w:divBdr>
        </w:div>
        <w:div w:id="1346050764">
          <w:marLeft w:val="0"/>
          <w:marRight w:val="0"/>
          <w:marTop w:val="0"/>
          <w:marBottom w:val="0"/>
          <w:divBdr>
            <w:top w:val="none" w:sz="0" w:space="0" w:color="auto"/>
            <w:left w:val="none" w:sz="0" w:space="0" w:color="auto"/>
            <w:bottom w:val="none" w:sz="0" w:space="0" w:color="auto"/>
            <w:right w:val="none" w:sz="0" w:space="0" w:color="auto"/>
          </w:divBdr>
        </w:div>
        <w:div w:id="1561095951">
          <w:marLeft w:val="0"/>
          <w:marRight w:val="0"/>
          <w:marTop w:val="0"/>
          <w:marBottom w:val="0"/>
          <w:divBdr>
            <w:top w:val="none" w:sz="0" w:space="0" w:color="auto"/>
            <w:left w:val="none" w:sz="0" w:space="0" w:color="auto"/>
            <w:bottom w:val="none" w:sz="0" w:space="0" w:color="auto"/>
            <w:right w:val="none" w:sz="0" w:space="0" w:color="auto"/>
          </w:divBdr>
        </w:div>
      </w:divsChild>
    </w:div>
    <w:div w:id="855654371">
      <w:bodyDiv w:val="1"/>
      <w:marLeft w:val="0"/>
      <w:marRight w:val="0"/>
      <w:marTop w:val="0"/>
      <w:marBottom w:val="0"/>
      <w:divBdr>
        <w:top w:val="none" w:sz="0" w:space="0" w:color="auto"/>
        <w:left w:val="none" w:sz="0" w:space="0" w:color="auto"/>
        <w:bottom w:val="none" w:sz="0" w:space="0" w:color="auto"/>
        <w:right w:val="none" w:sz="0" w:space="0" w:color="auto"/>
      </w:divBdr>
      <w:divsChild>
        <w:div w:id="229079050">
          <w:marLeft w:val="0"/>
          <w:marRight w:val="0"/>
          <w:marTop w:val="0"/>
          <w:marBottom w:val="0"/>
          <w:divBdr>
            <w:top w:val="none" w:sz="0" w:space="0" w:color="auto"/>
            <w:left w:val="none" w:sz="0" w:space="0" w:color="auto"/>
            <w:bottom w:val="none" w:sz="0" w:space="0" w:color="auto"/>
            <w:right w:val="none" w:sz="0" w:space="0" w:color="auto"/>
          </w:divBdr>
          <w:divsChild>
            <w:div w:id="1774091977">
              <w:marLeft w:val="0"/>
              <w:marRight w:val="0"/>
              <w:marTop w:val="0"/>
              <w:marBottom w:val="0"/>
              <w:divBdr>
                <w:top w:val="none" w:sz="0" w:space="0" w:color="auto"/>
                <w:left w:val="none" w:sz="0" w:space="0" w:color="auto"/>
                <w:bottom w:val="none" w:sz="0" w:space="0" w:color="auto"/>
                <w:right w:val="none" w:sz="0" w:space="0" w:color="auto"/>
              </w:divBdr>
              <w:divsChild>
                <w:div w:id="1210803200">
                  <w:marLeft w:val="0"/>
                  <w:marRight w:val="0"/>
                  <w:marTop w:val="0"/>
                  <w:marBottom w:val="0"/>
                  <w:divBdr>
                    <w:top w:val="none" w:sz="0" w:space="0" w:color="auto"/>
                    <w:left w:val="none" w:sz="0" w:space="0" w:color="auto"/>
                    <w:bottom w:val="none" w:sz="0" w:space="0" w:color="auto"/>
                    <w:right w:val="none" w:sz="0" w:space="0" w:color="auto"/>
                  </w:divBdr>
                  <w:divsChild>
                    <w:div w:id="1856966412">
                      <w:marLeft w:val="0"/>
                      <w:marRight w:val="0"/>
                      <w:marTop w:val="0"/>
                      <w:marBottom w:val="0"/>
                      <w:divBdr>
                        <w:top w:val="none" w:sz="0" w:space="0" w:color="auto"/>
                        <w:left w:val="none" w:sz="0" w:space="0" w:color="auto"/>
                        <w:bottom w:val="none" w:sz="0" w:space="0" w:color="auto"/>
                        <w:right w:val="none" w:sz="0" w:space="0" w:color="auto"/>
                      </w:divBdr>
                      <w:divsChild>
                        <w:div w:id="1554147822">
                          <w:marLeft w:val="0"/>
                          <w:marRight w:val="0"/>
                          <w:marTop w:val="0"/>
                          <w:marBottom w:val="0"/>
                          <w:divBdr>
                            <w:top w:val="none" w:sz="0" w:space="0" w:color="auto"/>
                            <w:left w:val="none" w:sz="0" w:space="0" w:color="auto"/>
                            <w:bottom w:val="none" w:sz="0" w:space="0" w:color="auto"/>
                            <w:right w:val="none" w:sz="0" w:space="0" w:color="auto"/>
                          </w:divBdr>
                          <w:divsChild>
                            <w:div w:id="891968781">
                              <w:marLeft w:val="0"/>
                              <w:marRight w:val="0"/>
                              <w:marTop w:val="0"/>
                              <w:marBottom w:val="0"/>
                              <w:divBdr>
                                <w:top w:val="none" w:sz="0" w:space="0" w:color="auto"/>
                                <w:left w:val="none" w:sz="0" w:space="0" w:color="auto"/>
                                <w:bottom w:val="none" w:sz="0" w:space="0" w:color="auto"/>
                                <w:right w:val="none" w:sz="0" w:space="0" w:color="auto"/>
                              </w:divBdr>
                              <w:divsChild>
                                <w:div w:id="830408579">
                                  <w:marLeft w:val="0"/>
                                  <w:marRight w:val="0"/>
                                  <w:marTop w:val="0"/>
                                  <w:marBottom w:val="0"/>
                                  <w:divBdr>
                                    <w:top w:val="none" w:sz="0" w:space="0" w:color="auto"/>
                                    <w:left w:val="none" w:sz="0" w:space="0" w:color="auto"/>
                                    <w:bottom w:val="none" w:sz="0" w:space="0" w:color="auto"/>
                                    <w:right w:val="none" w:sz="0" w:space="0" w:color="auto"/>
                                  </w:divBdr>
                                  <w:divsChild>
                                    <w:div w:id="1555383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788918">
                      <w:marLeft w:val="0"/>
                      <w:marRight w:val="0"/>
                      <w:marTop w:val="0"/>
                      <w:marBottom w:val="0"/>
                      <w:divBdr>
                        <w:top w:val="none" w:sz="0" w:space="0" w:color="auto"/>
                        <w:left w:val="none" w:sz="0" w:space="0" w:color="auto"/>
                        <w:bottom w:val="none" w:sz="0" w:space="0" w:color="auto"/>
                        <w:right w:val="none" w:sz="0" w:space="0" w:color="auto"/>
                      </w:divBdr>
                      <w:divsChild>
                        <w:div w:id="1305425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1937409">
      <w:bodyDiv w:val="1"/>
      <w:marLeft w:val="0"/>
      <w:marRight w:val="0"/>
      <w:marTop w:val="0"/>
      <w:marBottom w:val="0"/>
      <w:divBdr>
        <w:top w:val="none" w:sz="0" w:space="0" w:color="auto"/>
        <w:left w:val="none" w:sz="0" w:space="0" w:color="auto"/>
        <w:bottom w:val="none" w:sz="0" w:space="0" w:color="auto"/>
        <w:right w:val="none" w:sz="0" w:space="0" w:color="auto"/>
      </w:divBdr>
    </w:div>
    <w:div w:id="863786494">
      <w:bodyDiv w:val="1"/>
      <w:marLeft w:val="0"/>
      <w:marRight w:val="0"/>
      <w:marTop w:val="0"/>
      <w:marBottom w:val="0"/>
      <w:divBdr>
        <w:top w:val="none" w:sz="0" w:space="0" w:color="auto"/>
        <w:left w:val="none" w:sz="0" w:space="0" w:color="auto"/>
        <w:bottom w:val="none" w:sz="0" w:space="0" w:color="auto"/>
        <w:right w:val="none" w:sz="0" w:space="0" w:color="auto"/>
      </w:divBdr>
    </w:div>
    <w:div w:id="875628991">
      <w:bodyDiv w:val="1"/>
      <w:marLeft w:val="0"/>
      <w:marRight w:val="0"/>
      <w:marTop w:val="0"/>
      <w:marBottom w:val="0"/>
      <w:divBdr>
        <w:top w:val="none" w:sz="0" w:space="0" w:color="auto"/>
        <w:left w:val="none" w:sz="0" w:space="0" w:color="auto"/>
        <w:bottom w:val="none" w:sz="0" w:space="0" w:color="auto"/>
        <w:right w:val="none" w:sz="0" w:space="0" w:color="auto"/>
      </w:divBdr>
    </w:div>
    <w:div w:id="891501742">
      <w:bodyDiv w:val="1"/>
      <w:marLeft w:val="0"/>
      <w:marRight w:val="0"/>
      <w:marTop w:val="0"/>
      <w:marBottom w:val="0"/>
      <w:divBdr>
        <w:top w:val="none" w:sz="0" w:space="0" w:color="auto"/>
        <w:left w:val="none" w:sz="0" w:space="0" w:color="auto"/>
        <w:bottom w:val="none" w:sz="0" w:space="0" w:color="auto"/>
        <w:right w:val="none" w:sz="0" w:space="0" w:color="auto"/>
      </w:divBdr>
    </w:div>
    <w:div w:id="899441664">
      <w:bodyDiv w:val="1"/>
      <w:marLeft w:val="0"/>
      <w:marRight w:val="0"/>
      <w:marTop w:val="0"/>
      <w:marBottom w:val="0"/>
      <w:divBdr>
        <w:top w:val="none" w:sz="0" w:space="0" w:color="auto"/>
        <w:left w:val="none" w:sz="0" w:space="0" w:color="auto"/>
        <w:bottom w:val="none" w:sz="0" w:space="0" w:color="auto"/>
        <w:right w:val="none" w:sz="0" w:space="0" w:color="auto"/>
      </w:divBdr>
    </w:div>
    <w:div w:id="899634590">
      <w:bodyDiv w:val="1"/>
      <w:marLeft w:val="0"/>
      <w:marRight w:val="0"/>
      <w:marTop w:val="0"/>
      <w:marBottom w:val="0"/>
      <w:divBdr>
        <w:top w:val="none" w:sz="0" w:space="0" w:color="auto"/>
        <w:left w:val="none" w:sz="0" w:space="0" w:color="auto"/>
        <w:bottom w:val="none" w:sz="0" w:space="0" w:color="auto"/>
        <w:right w:val="none" w:sz="0" w:space="0" w:color="auto"/>
      </w:divBdr>
    </w:div>
    <w:div w:id="901215849">
      <w:bodyDiv w:val="1"/>
      <w:marLeft w:val="0"/>
      <w:marRight w:val="0"/>
      <w:marTop w:val="0"/>
      <w:marBottom w:val="0"/>
      <w:divBdr>
        <w:top w:val="none" w:sz="0" w:space="0" w:color="auto"/>
        <w:left w:val="none" w:sz="0" w:space="0" w:color="auto"/>
        <w:bottom w:val="none" w:sz="0" w:space="0" w:color="auto"/>
        <w:right w:val="none" w:sz="0" w:space="0" w:color="auto"/>
      </w:divBdr>
    </w:div>
    <w:div w:id="904143816">
      <w:bodyDiv w:val="1"/>
      <w:marLeft w:val="0"/>
      <w:marRight w:val="0"/>
      <w:marTop w:val="0"/>
      <w:marBottom w:val="0"/>
      <w:divBdr>
        <w:top w:val="none" w:sz="0" w:space="0" w:color="auto"/>
        <w:left w:val="none" w:sz="0" w:space="0" w:color="auto"/>
        <w:bottom w:val="none" w:sz="0" w:space="0" w:color="auto"/>
        <w:right w:val="none" w:sz="0" w:space="0" w:color="auto"/>
      </w:divBdr>
      <w:divsChild>
        <w:div w:id="17419014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10044228">
      <w:bodyDiv w:val="1"/>
      <w:marLeft w:val="0"/>
      <w:marRight w:val="0"/>
      <w:marTop w:val="0"/>
      <w:marBottom w:val="0"/>
      <w:divBdr>
        <w:top w:val="none" w:sz="0" w:space="0" w:color="auto"/>
        <w:left w:val="none" w:sz="0" w:space="0" w:color="auto"/>
        <w:bottom w:val="none" w:sz="0" w:space="0" w:color="auto"/>
        <w:right w:val="none" w:sz="0" w:space="0" w:color="auto"/>
      </w:divBdr>
    </w:div>
    <w:div w:id="910624023">
      <w:bodyDiv w:val="1"/>
      <w:marLeft w:val="0"/>
      <w:marRight w:val="0"/>
      <w:marTop w:val="0"/>
      <w:marBottom w:val="0"/>
      <w:divBdr>
        <w:top w:val="none" w:sz="0" w:space="0" w:color="auto"/>
        <w:left w:val="none" w:sz="0" w:space="0" w:color="auto"/>
        <w:bottom w:val="none" w:sz="0" w:space="0" w:color="auto"/>
        <w:right w:val="none" w:sz="0" w:space="0" w:color="auto"/>
      </w:divBdr>
    </w:div>
    <w:div w:id="916090927">
      <w:bodyDiv w:val="1"/>
      <w:marLeft w:val="0"/>
      <w:marRight w:val="0"/>
      <w:marTop w:val="0"/>
      <w:marBottom w:val="0"/>
      <w:divBdr>
        <w:top w:val="none" w:sz="0" w:space="0" w:color="auto"/>
        <w:left w:val="none" w:sz="0" w:space="0" w:color="auto"/>
        <w:bottom w:val="none" w:sz="0" w:space="0" w:color="auto"/>
        <w:right w:val="none" w:sz="0" w:space="0" w:color="auto"/>
      </w:divBdr>
    </w:div>
    <w:div w:id="920717185">
      <w:bodyDiv w:val="1"/>
      <w:marLeft w:val="0"/>
      <w:marRight w:val="0"/>
      <w:marTop w:val="0"/>
      <w:marBottom w:val="0"/>
      <w:divBdr>
        <w:top w:val="none" w:sz="0" w:space="0" w:color="auto"/>
        <w:left w:val="none" w:sz="0" w:space="0" w:color="auto"/>
        <w:bottom w:val="none" w:sz="0" w:space="0" w:color="auto"/>
        <w:right w:val="none" w:sz="0" w:space="0" w:color="auto"/>
      </w:divBdr>
    </w:div>
    <w:div w:id="934824225">
      <w:bodyDiv w:val="1"/>
      <w:marLeft w:val="0"/>
      <w:marRight w:val="0"/>
      <w:marTop w:val="0"/>
      <w:marBottom w:val="0"/>
      <w:divBdr>
        <w:top w:val="none" w:sz="0" w:space="0" w:color="auto"/>
        <w:left w:val="none" w:sz="0" w:space="0" w:color="auto"/>
        <w:bottom w:val="none" w:sz="0" w:space="0" w:color="auto"/>
        <w:right w:val="none" w:sz="0" w:space="0" w:color="auto"/>
      </w:divBdr>
    </w:div>
    <w:div w:id="946153504">
      <w:bodyDiv w:val="1"/>
      <w:marLeft w:val="0"/>
      <w:marRight w:val="0"/>
      <w:marTop w:val="0"/>
      <w:marBottom w:val="0"/>
      <w:divBdr>
        <w:top w:val="none" w:sz="0" w:space="0" w:color="auto"/>
        <w:left w:val="none" w:sz="0" w:space="0" w:color="auto"/>
        <w:bottom w:val="none" w:sz="0" w:space="0" w:color="auto"/>
        <w:right w:val="none" w:sz="0" w:space="0" w:color="auto"/>
      </w:divBdr>
    </w:div>
    <w:div w:id="946546204">
      <w:bodyDiv w:val="1"/>
      <w:marLeft w:val="0"/>
      <w:marRight w:val="0"/>
      <w:marTop w:val="0"/>
      <w:marBottom w:val="0"/>
      <w:divBdr>
        <w:top w:val="none" w:sz="0" w:space="0" w:color="auto"/>
        <w:left w:val="none" w:sz="0" w:space="0" w:color="auto"/>
        <w:bottom w:val="none" w:sz="0" w:space="0" w:color="auto"/>
        <w:right w:val="none" w:sz="0" w:space="0" w:color="auto"/>
      </w:divBdr>
    </w:div>
    <w:div w:id="949240640">
      <w:bodyDiv w:val="1"/>
      <w:marLeft w:val="0"/>
      <w:marRight w:val="0"/>
      <w:marTop w:val="0"/>
      <w:marBottom w:val="0"/>
      <w:divBdr>
        <w:top w:val="none" w:sz="0" w:space="0" w:color="auto"/>
        <w:left w:val="none" w:sz="0" w:space="0" w:color="auto"/>
        <w:bottom w:val="none" w:sz="0" w:space="0" w:color="auto"/>
        <w:right w:val="none" w:sz="0" w:space="0" w:color="auto"/>
      </w:divBdr>
    </w:div>
    <w:div w:id="951596404">
      <w:bodyDiv w:val="1"/>
      <w:marLeft w:val="0"/>
      <w:marRight w:val="0"/>
      <w:marTop w:val="0"/>
      <w:marBottom w:val="0"/>
      <w:divBdr>
        <w:top w:val="none" w:sz="0" w:space="0" w:color="auto"/>
        <w:left w:val="none" w:sz="0" w:space="0" w:color="auto"/>
        <w:bottom w:val="none" w:sz="0" w:space="0" w:color="auto"/>
        <w:right w:val="none" w:sz="0" w:space="0" w:color="auto"/>
      </w:divBdr>
    </w:div>
    <w:div w:id="966935522">
      <w:bodyDiv w:val="1"/>
      <w:marLeft w:val="0"/>
      <w:marRight w:val="0"/>
      <w:marTop w:val="0"/>
      <w:marBottom w:val="0"/>
      <w:divBdr>
        <w:top w:val="none" w:sz="0" w:space="0" w:color="auto"/>
        <w:left w:val="none" w:sz="0" w:space="0" w:color="auto"/>
        <w:bottom w:val="none" w:sz="0" w:space="0" w:color="auto"/>
        <w:right w:val="none" w:sz="0" w:space="0" w:color="auto"/>
      </w:divBdr>
      <w:divsChild>
        <w:div w:id="7443755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67055241">
      <w:bodyDiv w:val="1"/>
      <w:marLeft w:val="0"/>
      <w:marRight w:val="0"/>
      <w:marTop w:val="0"/>
      <w:marBottom w:val="0"/>
      <w:divBdr>
        <w:top w:val="none" w:sz="0" w:space="0" w:color="auto"/>
        <w:left w:val="none" w:sz="0" w:space="0" w:color="auto"/>
        <w:bottom w:val="none" w:sz="0" w:space="0" w:color="auto"/>
        <w:right w:val="none" w:sz="0" w:space="0" w:color="auto"/>
      </w:divBdr>
    </w:div>
    <w:div w:id="972053607">
      <w:bodyDiv w:val="1"/>
      <w:marLeft w:val="0"/>
      <w:marRight w:val="0"/>
      <w:marTop w:val="0"/>
      <w:marBottom w:val="0"/>
      <w:divBdr>
        <w:top w:val="none" w:sz="0" w:space="0" w:color="auto"/>
        <w:left w:val="none" w:sz="0" w:space="0" w:color="auto"/>
        <w:bottom w:val="none" w:sz="0" w:space="0" w:color="auto"/>
        <w:right w:val="none" w:sz="0" w:space="0" w:color="auto"/>
      </w:divBdr>
    </w:div>
    <w:div w:id="980617706">
      <w:bodyDiv w:val="1"/>
      <w:marLeft w:val="0"/>
      <w:marRight w:val="0"/>
      <w:marTop w:val="0"/>
      <w:marBottom w:val="0"/>
      <w:divBdr>
        <w:top w:val="none" w:sz="0" w:space="0" w:color="auto"/>
        <w:left w:val="none" w:sz="0" w:space="0" w:color="auto"/>
        <w:bottom w:val="none" w:sz="0" w:space="0" w:color="auto"/>
        <w:right w:val="none" w:sz="0" w:space="0" w:color="auto"/>
      </w:divBdr>
    </w:div>
    <w:div w:id="993530072">
      <w:bodyDiv w:val="1"/>
      <w:marLeft w:val="0"/>
      <w:marRight w:val="0"/>
      <w:marTop w:val="0"/>
      <w:marBottom w:val="0"/>
      <w:divBdr>
        <w:top w:val="none" w:sz="0" w:space="0" w:color="auto"/>
        <w:left w:val="none" w:sz="0" w:space="0" w:color="auto"/>
        <w:bottom w:val="none" w:sz="0" w:space="0" w:color="auto"/>
        <w:right w:val="none" w:sz="0" w:space="0" w:color="auto"/>
      </w:divBdr>
      <w:divsChild>
        <w:div w:id="19431489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98576378">
      <w:bodyDiv w:val="1"/>
      <w:marLeft w:val="0"/>
      <w:marRight w:val="0"/>
      <w:marTop w:val="0"/>
      <w:marBottom w:val="0"/>
      <w:divBdr>
        <w:top w:val="none" w:sz="0" w:space="0" w:color="auto"/>
        <w:left w:val="none" w:sz="0" w:space="0" w:color="auto"/>
        <w:bottom w:val="none" w:sz="0" w:space="0" w:color="auto"/>
        <w:right w:val="none" w:sz="0" w:space="0" w:color="auto"/>
      </w:divBdr>
    </w:div>
    <w:div w:id="1009212281">
      <w:bodyDiv w:val="1"/>
      <w:marLeft w:val="0"/>
      <w:marRight w:val="0"/>
      <w:marTop w:val="0"/>
      <w:marBottom w:val="0"/>
      <w:divBdr>
        <w:top w:val="none" w:sz="0" w:space="0" w:color="auto"/>
        <w:left w:val="none" w:sz="0" w:space="0" w:color="auto"/>
        <w:bottom w:val="none" w:sz="0" w:space="0" w:color="auto"/>
        <w:right w:val="none" w:sz="0" w:space="0" w:color="auto"/>
      </w:divBdr>
      <w:divsChild>
        <w:div w:id="1641687643">
          <w:marLeft w:val="0"/>
          <w:marRight w:val="0"/>
          <w:marTop w:val="0"/>
          <w:marBottom w:val="0"/>
          <w:divBdr>
            <w:top w:val="none" w:sz="0" w:space="0" w:color="auto"/>
            <w:left w:val="none" w:sz="0" w:space="0" w:color="auto"/>
            <w:bottom w:val="none" w:sz="0" w:space="0" w:color="auto"/>
            <w:right w:val="none" w:sz="0" w:space="0" w:color="auto"/>
          </w:divBdr>
          <w:divsChild>
            <w:div w:id="1517886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105630">
      <w:bodyDiv w:val="1"/>
      <w:marLeft w:val="0"/>
      <w:marRight w:val="0"/>
      <w:marTop w:val="0"/>
      <w:marBottom w:val="0"/>
      <w:divBdr>
        <w:top w:val="none" w:sz="0" w:space="0" w:color="auto"/>
        <w:left w:val="none" w:sz="0" w:space="0" w:color="auto"/>
        <w:bottom w:val="none" w:sz="0" w:space="0" w:color="auto"/>
        <w:right w:val="none" w:sz="0" w:space="0" w:color="auto"/>
      </w:divBdr>
    </w:div>
    <w:div w:id="1020859524">
      <w:bodyDiv w:val="1"/>
      <w:marLeft w:val="0"/>
      <w:marRight w:val="0"/>
      <w:marTop w:val="0"/>
      <w:marBottom w:val="0"/>
      <w:divBdr>
        <w:top w:val="none" w:sz="0" w:space="0" w:color="auto"/>
        <w:left w:val="none" w:sz="0" w:space="0" w:color="auto"/>
        <w:bottom w:val="none" w:sz="0" w:space="0" w:color="auto"/>
        <w:right w:val="none" w:sz="0" w:space="0" w:color="auto"/>
      </w:divBdr>
    </w:div>
    <w:div w:id="1021853269">
      <w:bodyDiv w:val="1"/>
      <w:marLeft w:val="0"/>
      <w:marRight w:val="0"/>
      <w:marTop w:val="0"/>
      <w:marBottom w:val="0"/>
      <w:divBdr>
        <w:top w:val="none" w:sz="0" w:space="0" w:color="auto"/>
        <w:left w:val="none" w:sz="0" w:space="0" w:color="auto"/>
        <w:bottom w:val="none" w:sz="0" w:space="0" w:color="auto"/>
        <w:right w:val="none" w:sz="0" w:space="0" w:color="auto"/>
      </w:divBdr>
    </w:div>
    <w:div w:id="1022168587">
      <w:bodyDiv w:val="1"/>
      <w:marLeft w:val="0"/>
      <w:marRight w:val="0"/>
      <w:marTop w:val="0"/>
      <w:marBottom w:val="0"/>
      <w:divBdr>
        <w:top w:val="none" w:sz="0" w:space="0" w:color="auto"/>
        <w:left w:val="none" w:sz="0" w:space="0" w:color="auto"/>
        <w:bottom w:val="none" w:sz="0" w:space="0" w:color="auto"/>
        <w:right w:val="none" w:sz="0" w:space="0" w:color="auto"/>
      </w:divBdr>
    </w:div>
    <w:div w:id="1029339310">
      <w:bodyDiv w:val="1"/>
      <w:marLeft w:val="0"/>
      <w:marRight w:val="0"/>
      <w:marTop w:val="0"/>
      <w:marBottom w:val="0"/>
      <w:divBdr>
        <w:top w:val="none" w:sz="0" w:space="0" w:color="auto"/>
        <w:left w:val="none" w:sz="0" w:space="0" w:color="auto"/>
        <w:bottom w:val="none" w:sz="0" w:space="0" w:color="auto"/>
        <w:right w:val="none" w:sz="0" w:space="0" w:color="auto"/>
      </w:divBdr>
    </w:div>
    <w:div w:id="1038508972">
      <w:bodyDiv w:val="1"/>
      <w:marLeft w:val="0"/>
      <w:marRight w:val="0"/>
      <w:marTop w:val="0"/>
      <w:marBottom w:val="0"/>
      <w:divBdr>
        <w:top w:val="none" w:sz="0" w:space="0" w:color="auto"/>
        <w:left w:val="none" w:sz="0" w:space="0" w:color="auto"/>
        <w:bottom w:val="none" w:sz="0" w:space="0" w:color="auto"/>
        <w:right w:val="none" w:sz="0" w:space="0" w:color="auto"/>
      </w:divBdr>
      <w:divsChild>
        <w:div w:id="4794647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39622184">
      <w:bodyDiv w:val="1"/>
      <w:marLeft w:val="0"/>
      <w:marRight w:val="0"/>
      <w:marTop w:val="0"/>
      <w:marBottom w:val="0"/>
      <w:divBdr>
        <w:top w:val="none" w:sz="0" w:space="0" w:color="auto"/>
        <w:left w:val="none" w:sz="0" w:space="0" w:color="auto"/>
        <w:bottom w:val="none" w:sz="0" w:space="0" w:color="auto"/>
        <w:right w:val="none" w:sz="0" w:space="0" w:color="auto"/>
      </w:divBdr>
    </w:div>
    <w:div w:id="1044064993">
      <w:bodyDiv w:val="1"/>
      <w:marLeft w:val="0"/>
      <w:marRight w:val="0"/>
      <w:marTop w:val="0"/>
      <w:marBottom w:val="0"/>
      <w:divBdr>
        <w:top w:val="none" w:sz="0" w:space="0" w:color="auto"/>
        <w:left w:val="none" w:sz="0" w:space="0" w:color="auto"/>
        <w:bottom w:val="none" w:sz="0" w:space="0" w:color="auto"/>
        <w:right w:val="none" w:sz="0" w:space="0" w:color="auto"/>
      </w:divBdr>
    </w:div>
    <w:div w:id="1051879209">
      <w:bodyDiv w:val="1"/>
      <w:marLeft w:val="0"/>
      <w:marRight w:val="0"/>
      <w:marTop w:val="0"/>
      <w:marBottom w:val="0"/>
      <w:divBdr>
        <w:top w:val="none" w:sz="0" w:space="0" w:color="auto"/>
        <w:left w:val="none" w:sz="0" w:space="0" w:color="auto"/>
        <w:bottom w:val="none" w:sz="0" w:space="0" w:color="auto"/>
        <w:right w:val="none" w:sz="0" w:space="0" w:color="auto"/>
      </w:divBdr>
    </w:div>
    <w:div w:id="1072432608">
      <w:bodyDiv w:val="1"/>
      <w:marLeft w:val="0"/>
      <w:marRight w:val="0"/>
      <w:marTop w:val="0"/>
      <w:marBottom w:val="0"/>
      <w:divBdr>
        <w:top w:val="none" w:sz="0" w:space="0" w:color="auto"/>
        <w:left w:val="none" w:sz="0" w:space="0" w:color="auto"/>
        <w:bottom w:val="none" w:sz="0" w:space="0" w:color="auto"/>
        <w:right w:val="none" w:sz="0" w:space="0" w:color="auto"/>
      </w:divBdr>
    </w:div>
    <w:div w:id="1078789711">
      <w:bodyDiv w:val="1"/>
      <w:marLeft w:val="0"/>
      <w:marRight w:val="0"/>
      <w:marTop w:val="0"/>
      <w:marBottom w:val="0"/>
      <w:divBdr>
        <w:top w:val="none" w:sz="0" w:space="0" w:color="auto"/>
        <w:left w:val="none" w:sz="0" w:space="0" w:color="auto"/>
        <w:bottom w:val="none" w:sz="0" w:space="0" w:color="auto"/>
        <w:right w:val="none" w:sz="0" w:space="0" w:color="auto"/>
      </w:divBdr>
    </w:div>
    <w:div w:id="1082022656">
      <w:bodyDiv w:val="1"/>
      <w:marLeft w:val="0"/>
      <w:marRight w:val="0"/>
      <w:marTop w:val="0"/>
      <w:marBottom w:val="0"/>
      <w:divBdr>
        <w:top w:val="none" w:sz="0" w:space="0" w:color="auto"/>
        <w:left w:val="none" w:sz="0" w:space="0" w:color="auto"/>
        <w:bottom w:val="none" w:sz="0" w:space="0" w:color="auto"/>
        <w:right w:val="none" w:sz="0" w:space="0" w:color="auto"/>
      </w:divBdr>
      <w:divsChild>
        <w:div w:id="4987307">
          <w:marLeft w:val="0"/>
          <w:marRight w:val="0"/>
          <w:marTop w:val="0"/>
          <w:marBottom w:val="0"/>
          <w:divBdr>
            <w:top w:val="none" w:sz="0" w:space="0" w:color="auto"/>
            <w:left w:val="none" w:sz="0" w:space="0" w:color="auto"/>
            <w:bottom w:val="none" w:sz="0" w:space="0" w:color="auto"/>
            <w:right w:val="none" w:sz="0" w:space="0" w:color="auto"/>
          </w:divBdr>
        </w:div>
        <w:div w:id="141703723">
          <w:marLeft w:val="0"/>
          <w:marRight w:val="0"/>
          <w:marTop w:val="0"/>
          <w:marBottom w:val="0"/>
          <w:divBdr>
            <w:top w:val="none" w:sz="0" w:space="0" w:color="auto"/>
            <w:left w:val="none" w:sz="0" w:space="0" w:color="auto"/>
            <w:bottom w:val="none" w:sz="0" w:space="0" w:color="auto"/>
            <w:right w:val="none" w:sz="0" w:space="0" w:color="auto"/>
          </w:divBdr>
        </w:div>
        <w:div w:id="214851736">
          <w:marLeft w:val="0"/>
          <w:marRight w:val="0"/>
          <w:marTop w:val="0"/>
          <w:marBottom w:val="0"/>
          <w:divBdr>
            <w:top w:val="none" w:sz="0" w:space="0" w:color="auto"/>
            <w:left w:val="none" w:sz="0" w:space="0" w:color="auto"/>
            <w:bottom w:val="none" w:sz="0" w:space="0" w:color="auto"/>
            <w:right w:val="none" w:sz="0" w:space="0" w:color="auto"/>
          </w:divBdr>
        </w:div>
        <w:div w:id="912743931">
          <w:marLeft w:val="0"/>
          <w:marRight w:val="0"/>
          <w:marTop w:val="0"/>
          <w:marBottom w:val="0"/>
          <w:divBdr>
            <w:top w:val="none" w:sz="0" w:space="0" w:color="auto"/>
            <w:left w:val="none" w:sz="0" w:space="0" w:color="auto"/>
            <w:bottom w:val="none" w:sz="0" w:space="0" w:color="auto"/>
            <w:right w:val="none" w:sz="0" w:space="0" w:color="auto"/>
          </w:divBdr>
        </w:div>
        <w:div w:id="1246107943">
          <w:marLeft w:val="0"/>
          <w:marRight w:val="0"/>
          <w:marTop w:val="0"/>
          <w:marBottom w:val="0"/>
          <w:divBdr>
            <w:top w:val="none" w:sz="0" w:space="0" w:color="auto"/>
            <w:left w:val="none" w:sz="0" w:space="0" w:color="auto"/>
            <w:bottom w:val="none" w:sz="0" w:space="0" w:color="auto"/>
            <w:right w:val="none" w:sz="0" w:space="0" w:color="auto"/>
          </w:divBdr>
        </w:div>
      </w:divsChild>
    </w:div>
    <w:div w:id="1083337445">
      <w:bodyDiv w:val="1"/>
      <w:marLeft w:val="0"/>
      <w:marRight w:val="0"/>
      <w:marTop w:val="0"/>
      <w:marBottom w:val="0"/>
      <w:divBdr>
        <w:top w:val="none" w:sz="0" w:space="0" w:color="auto"/>
        <w:left w:val="none" w:sz="0" w:space="0" w:color="auto"/>
        <w:bottom w:val="none" w:sz="0" w:space="0" w:color="auto"/>
        <w:right w:val="none" w:sz="0" w:space="0" w:color="auto"/>
      </w:divBdr>
    </w:div>
    <w:div w:id="1090200069">
      <w:bodyDiv w:val="1"/>
      <w:marLeft w:val="0"/>
      <w:marRight w:val="0"/>
      <w:marTop w:val="0"/>
      <w:marBottom w:val="0"/>
      <w:divBdr>
        <w:top w:val="none" w:sz="0" w:space="0" w:color="auto"/>
        <w:left w:val="none" w:sz="0" w:space="0" w:color="auto"/>
        <w:bottom w:val="none" w:sz="0" w:space="0" w:color="auto"/>
        <w:right w:val="none" w:sz="0" w:space="0" w:color="auto"/>
      </w:divBdr>
    </w:div>
    <w:div w:id="1092317575">
      <w:bodyDiv w:val="1"/>
      <w:marLeft w:val="0"/>
      <w:marRight w:val="0"/>
      <w:marTop w:val="0"/>
      <w:marBottom w:val="0"/>
      <w:divBdr>
        <w:top w:val="none" w:sz="0" w:space="0" w:color="auto"/>
        <w:left w:val="none" w:sz="0" w:space="0" w:color="auto"/>
        <w:bottom w:val="none" w:sz="0" w:space="0" w:color="auto"/>
        <w:right w:val="none" w:sz="0" w:space="0" w:color="auto"/>
      </w:divBdr>
    </w:div>
    <w:div w:id="1095904331">
      <w:bodyDiv w:val="1"/>
      <w:marLeft w:val="0"/>
      <w:marRight w:val="0"/>
      <w:marTop w:val="0"/>
      <w:marBottom w:val="0"/>
      <w:divBdr>
        <w:top w:val="none" w:sz="0" w:space="0" w:color="auto"/>
        <w:left w:val="none" w:sz="0" w:space="0" w:color="auto"/>
        <w:bottom w:val="none" w:sz="0" w:space="0" w:color="auto"/>
        <w:right w:val="none" w:sz="0" w:space="0" w:color="auto"/>
      </w:divBdr>
      <w:divsChild>
        <w:div w:id="1564564054">
          <w:marLeft w:val="547"/>
          <w:marRight w:val="0"/>
          <w:marTop w:val="200"/>
          <w:marBottom w:val="0"/>
          <w:divBdr>
            <w:top w:val="none" w:sz="0" w:space="0" w:color="auto"/>
            <w:left w:val="none" w:sz="0" w:space="0" w:color="auto"/>
            <w:bottom w:val="none" w:sz="0" w:space="0" w:color="auto"/>
            <w:right w:val="none" w:sz="0" w:space="0" w:color="auto"/>
          </w:divBdr>
        </w:div>
      </w:divsChild>
    </w:div>
    <w:div w:id="1096946166">
      <w:bodyDiv w:val="1"/>
      <w:marLeft w:val="0"/>
      <w:marRight w:val="0"/>
      <w:marTop w:val="0"/>
      <w:marBottom w:val="0"/>
      <w:divBdr>
        <w:top w:val="none" w:sz="0" w:space="0" w:color="auto"/>
        <w:left w:val="none" w:sz="0" w:space="0" w:color="auto"/>
        <w:bottom w:val="none" w:sz="0" w:space="0" w:color="auto"/>
        <w:right w:val="none" w:sz="0" w:space="0" w:color="auto"/>
      </w:divBdr>
    </w:div>
    <w:div w:id="1097093946">
      <w:bodyDiv w:val="1"/>
      <w:marLeft w:val="0"/>
      <w:marRight w:val="0"/>
      <w:marTop w:val="0"/>
      <w:marBottom w:val="0"/>
      <w:divBdr>
        <w:top w:val="none" w:sz="0" w:space="0" w:color="auto"/>
        <w:left w:val="none" w:sz="0" w:space="0" w:color="auto"/>
        <w:bottom w:val="none" w:sz="0" w:space="0" w:color="auto"/>
        <w:right w:val="none" w:sz="0" w:space="0" w:color="auto"/>
      </w:divBdr>
    </w:div>
    <w:div w:id="1133065215">
      <w:bodyDiv w:val="1"/>
      <w:marLeft w:val="0"/>
      <w:marRight w:val="0"/>
      <w:marTop w:val="0"/>
      <w:marBottom w:val="0"/>
      <w:divBdr>
        <w:top w:val="none" w:sz="0" w:space="0" w:color="auto"/>
        <w:left w:val="none" w:sz="0" w:space="0" w:color="auto"/>
        <w:bottom w:val="none" w:sz="0" w:space="0" w:color="auto"/>
        <w:right w:val="none" w:sz="0" w:space="0" w:color="auto"/>
      </w:divBdr>
    </w:div>
    <w:div w:id="1138760456">
      <w:bodyDiv w:val="1"/>
      <w:marLeft w:val="0"/>
      <w:marRight w:val="0"/>
      <w:marTop w:val="0"/>
      <w:marBottom w:val="0"/>
      <w:divBdr>
        <w:top w:val="none" w:sz="0" w:space="0" w:color="auto"/>
        <w:left w:val="none" w:sz="0" w:space="0" w:color="auto"/>
        <w:bottom w:val="none" w:sz="0" w:space="0" w:color="auto"/>
        <w:right w:val="none" w:sz="0" w:space="0" w:color="auto"/>
      </w:divBdr>
    </w:div>
    <w:div w:id="1144346189">
      <w:bodyDiv w:val="1"/>
      <w:marLeft w:val="0"/>
      <w:marRight w:val="0"/>
      <w:marTop w:val="0"/>
      <w:marBottom w:val="0"/>
      <w:divBdr>
        <w:top w:val="none" w:sz="0" w:space="0" w:color="auto"/>
        <w:left w:val="none" w:sz="0" w:space="0" w:color="auto"/>
        <w:bottom w:val="none" w:sz="0" w:space="0" w:color="auto"/>
        <w:right w:val="none" w:sz="0" w:space="0" w:color="auto"/>
      </w:divBdr>
    </w:div>
    <w:div w:id="1145704291">
      <w:bodyDiv w:val="1"/>
      <w:marLeft w:val="0"/>
      <w:marRight w:val="0"/>
      <w:marTop w:val="0"/>
      <w:marBottom w:val="0"/>
      <w:divBdr>
        <w:top w:val="none" w:sz="0" w:space="0" w:color="auto"/>
        <w:left w:val="none" w:sz="0" w:space="0" w:color="auto"/>
        <w:bottom w:val="none" w:sz="0" w:space="0" w:color="auto"/>
        <w:right w:val="none" w:sz="0" w:space="0" w:color="auto"/>
      </w:divBdr>
    </w:div>
    <w:div w:id="1157265887">
      <w:bodyDiv w:val="1"/>
      <w:marLeft w:val="0"/>
      <w:marRight w:val="0"/>
      <w:marTop w:val="0"/>
      <w:marBottom w:val="0"/>
      <w:divBdr>
        <w:top w:val="none" w:sz="0" w:space="0" w:color="auto"/>
        <w:left w:val="none" w:sz="0" w:space="0" w:color="auto"/>
        <w:bottom w:val="none" w:sz="0" w:space="0" w:color="auto"/>
        <w:right w:val="none" w:sz="0" w:space="0" w:color="auto"/>
      </w:divBdr>
    </w:div>
    <w:div w:id="1160192179">
      <w:bodyDiv w:val="1"/>
      <w:marLeft w:val="0"/>
      <w:marRight w:val="0"/>
      <w:marTop w:val="0"/>
      <w:marBottom w:val="0"/>
      <w:divBdr>
        <w:top w:val="none" w:sz="0" w:space="0" w:color="auto"/>
        <w:left w:val="none" w:sz="0" w:space="0" w:color="auto"/>
        <w:bottom w:val="none" w:sz="0" w:space="0" w:color="auto"/>
        <w:right w:val="none" w:sz="0" w:space="0" w:color="auto"/>
      </w:divBdr>
    </w:div>
    <w:div w:id="1165241166">
      <w:bodyDiv w:val="1"/>
      <w:marLeft w:val="0"/>
      <w:marRight w:val="0"/>
      <w:marTop w:val="0"/>
      <w:marBottom w:val="0"/>
      <w:divBdr>
        <w:top w:val="none" w:sz="0" w:space="0" w:color="auto"/>
        <w:left w:val="none" w:sz="0" w:space="0" w:color="auto"/>
        <w:bottom w:val="none" w:sz="0" w:space="0" w:color="auto"/>
        <w:right w:val="none" w:sz="0" w:space="0" w:color="auto"/>
      </w:divBdr>
    </w:div>
    <w:div w:id="1170365010">
      <w:bodyDiv w:val="1"/>
      <w:marLeft w:val="0"/>
      <w:marRight w:val="0"/>
      <w:marTop w:val="0"/>
      <w:marBottom w:val="0"/>
      <w:divBdr>
        <w:top w:val="none" w:sz="0" w:space="0" w:color="auto"/>
        <w:left w:val="none" w:sz="0" w:space="0" w:color="auto"/>
        <w:bottom w:val="none" w:sz="0" w:space="0" w:color="auto"/>
        <w:right w:val="none" w:sz="0" w:space="0" w:color="auto"/>
      </w:divBdr>
    </w:div>
    <w:div w:id="1178547133">
      <w:bodyDiv w:val="1"/>
      <w:marLeft w:val="0"/>
      <w:marRight w:val="0"/>
      <w:marTop w:val="0"/>
      <w:marBottom w:val="0"/>
      <w:divBdr>
        <w:top w:val="none" w:sz="0" w:space="0" w:color="auto"/>
        <w:left w:val="none" w:sz="0" w:space="0" w:color="auto"/>
        <w:bottom w:val="none" w:sz="0" w:space="0" w:color="auto"/>
        <w:right w:val="none" w:sz="0" w:space="0" w:color="auto"/>
      </w:divBdr>
    </w:div>
    <w:div w:id="1185244929">
      <w:bodyDiv w:val="1"/>
      <w:marLeft w:val="0"/>
      <w:marRight w:val="0"/>
      <w:marTop w:val="0"/>
      <w:marBottom w:val="0"/>
      <w:divBdr>
        <w:top w:val="none" w:sz="0" w:space="0" w:color="auto"/>
        <w:left w:val="none" w:sz="0" w:space="0" w:color="auto"/>
        <w:bottom w:val="none" w:sz="0" w:space="0" w:color="auto"/>
        <w:right w:val="none" w:sz="0" w:space="0" w:color="auto"/>
      </w:divBdr>
    </w:div>
    <w:div w:id="1187986654">
      <w:bodyDiv w:val="1"/>
      <w:marLeft w:val="0"/>
      <w:marRight w:val="0"/>
      <w:marTop w:val="0"/>
      <w:marBottom w:val="0"/>
      <w:divBdr>
        <w:top w:val="none" w:sz="0" w:space="0" w:color="auto"/>
        <w:left w:val="none" w:sz="0" w:space="0" w:color="auto"/>
        <w:bottom w:val="none" w:sz="0" w:space="0" w:color="auto"/>
        <w:right w:val="none" w:sz="0" w:space="0" w:color="auto"/>
      </w:divBdr>
    </w:div>
    <w:div w:id="1190874452">
      <w:bodyDiv w:val="1"/>
      <w:marLeft w:val="0"/>
      <w:marRight w:val="0"/>
      <w:marTop w:val="0"/>
      <w:marBottom w:val="0"/>
      <w:divBdr>
        <w:top w:val="none" w:sz="0" w:space="0" w:color="auto"/>
        <w:left w:val="none" w:sz="0" w:space="0" w:color="auto"/>
        <w:bottom w:val="none" w:sz="0" w:space="0" w:color="auto"/>
        <w:right w:val="none" w:sz="0" w:space="0" w:color="auto"/>
      </w:divBdr>
      <w:divsChild>
        <w:div w:id="523982915">
          <w:marLeft w:val="0"/>
          <w:marRight w:val="0"/>
          <w:marTop w:val="0"/>
          <w:marBottom w:val="0"/>
          <w:divBdr>
            <w:top w:val="none" w:sz="0" w:space="0" w:color="auto"/>
            <w:left w:val="none" w:sz="0" w:space="0" w:color="auto"/>
            <w:bottom w:val="none" w:sz="0" w:space="0" w:color="auto"/>
            <w:right w:val="none" w:sz="0" w:space="0" w:color="auto"/>
          </w:divBdr>
        </w:div>
      </w:divsChild>
    </w:div>
    <w:div w:id="1191188154">
      <w:bodyDiv w:val="1"/>
      <w:marLeft w:val="0"/>
      <w:marRight w:val="0"/>
      <w:marTop w:val="0"/>
      <w:marBottom w:val="0"/>
      <w:divBdr>
        <w:top w:val="none" w:sz="0" w:space="0" w:color="auto"/>
        <w:left w:val="none" w:sz="0" w:space="0" w:color="auto"/>
        <w:bottom w:val="none" w:sz="0" w:space="0" w:color="auto"/>
        <w:right w:val="none" w:sz="0" w:space="0" w:color="auto"/>
      </w:divBdr>
      <w:divsChild>
        <w:div w:id="26562317">
          <w:marLeft w:val="0"/>
          <w:marRight w:val="0"/>
          <w:marTop w:val="0"/>
          <w:marBottom w:val="0"/>
          <w:divBdr>
            <w:top w:val="none" w:sz="0" w:space="0" w:color="auto"/>
            <w:left w:val="none" w:sz="0" w:space="0" w:color="auto"/>
            <w:bottom w:val="none" w:sz="0" w:space="0" w:color="auto"/>
            <w:right w:val="none" w:sz="0" w:space="0" w:color="auto"/>
          </w:divBdr>
        </w:div>
        <w:div w:id="1034385740">
          <w:marLeft w:val="0"/>
          <w:marRight w:val="0"/>
          <w:marTop w:val="0"/>
          <w:marBottom w:val="0"/>
          <w:divBdr>
            <w:top w:val="none" w:sz="0" w:space="0" w:color="auto"/>
            <w:left w:val="none" w:sz="0" w:space="0" w:color="auto"/>
            <w:bottom w:val="none" w:sz="0" w:space="0" w:color="auto"/>
            <w:right w:val="none" w:sz="0" w:space="0" w:color="auto"/>
          </w:divBdr>
        </w:div>
        <w:div w:id="1438988474">
          <w:marLeft w:val="0"/>
          <w:marRight w:val="0"/>
          <w:marTop w:val="0"/>
          <w:marBottom w:val="0"/>
          <w:divBdr>
            <w:top w:val="none" w:sz="0" w:space="0" w:color="auto"/>
            <w:left w:val="none" w:sz="0" w:space="0" w:color="auto"/>
            <w:bottom w:val="none" w:sz="0" w:space="0" w:color="auto"/>
            <w:right w:val="none" w:sz="0" w:space="0" w:color="auto"/>
          </w:divBdr>
        </w:div>
        <w:div w:id="1747729576">
          <w:marLeft w:val="0"/>
          <w:marRight w:val="0"/>
          <w:marTop w:val="0"/>
          <w:marBottom w:val="0"/>
          <w:divBdr>
            <w:top w:val="none" w:sz="0" w:space="0" w:color="auto"/>
            <w:left w:val="none" w:sz="0" w:space="0" w:color="auto"/>
            <w:bottom w:val="none" w:sz="0" w:space="0" w:color="auto"/>
            <w:right w:val="none" w:sz="0" w:space="0" w:color="auto"/>
          </w:divBdr>
        </w:div>
        <w:div w:id="2123911826">
          <w:marLeft w:val="0"/>
          <w:marRight w:val="0"/>
          <w:marTop w:val="0"/>
          <w:marBottom w:val="0"/>
          <w:divBdr>
            <w:top w:val="none" w:sz="0" w:space="0" w:color="auto"/>
            <w:left w:val="none" w:sz="0" w:space="0" w:color="auto"/>
            <w:bottom w:val="none" w:sz="0" w:space="0" w:color="auto"/>
            <w:right w:val="none" w:sz="0" w:space="0" w:color="auto"/>
          </w:divBdr>
        </w:div>
      </w:divsChild>
    </w:div>
    <w:div w:id="1198348840">
      <w:bodyDiv w:val="1"/>
      <w:marLeft w:val="0"/>
      <w:marRight w:val="0"/>
      <w:marTop w:val="0"/>
      <w:marBottom w:val="0"/>
      <w:divBdr>
        <w:top w:val="none" w:sz="0" w:space="0" w:color="auto"/>
        <w:left w:val="none" w:sz="0" w:space="0" w:color="auto"/>
        <w:bottom w:val="none" w:sz="0" w:space="0" w:color="auto"/>
        <w:right w:val="none" w:sz="0" w:space="0" w:color="auto"/>
      </w:divBdr>
    </w:div>
    <w:div w:id="1212040058">
      <w:bodyDiv w:val="1"/>
      <w:marLeft w:val="0"/>
      <w:marRight w:val="0"/>
      <w:marTop w:val="0"/>
      <w:marBottom w:val="0"/>
      <w:divBdr>
        <w:top w:val="none" w:sz="0" w:space="0" w:color="auto"/>
        <w:left w:val="none" w:sz="0" w:space="0" w:color="auto"/>
        <w:bottom w:val="none" w:sz="0" w:space="0" w:color="auto"/>
        <w:right w:val="none" w:sz="0" w:space="0" w:color="auto"/>
      </w:divBdr>
    </w:div>
    <w:div w:id="1219627447">
      <w:bodyDiv w:val="1"/>
      <w:marLeft w:val="0"/>
      <w:marRight w:val="0"/>
      <w:marTop w:val="0"/>
      <w:marBottom w:val="0"/>
      <w:divBdr>
        <w:top w:val="none" w:sz="0" w:space="0" w:color="auto"/>
        <w:left w:val="none" w:sz="0" w:space="0" w:color="auto"/>
        <w:bottom w:val="none" w:sz="0" w:space="0" w:color="auto"/>
        <w:right w:val="none" w:sz="0" w:space="0" w:color="auto"/>
      </w:divBdr>
    </w:div>
    <w:div w:id="1220241305">
      <w:bodyDiv w:val="1"/>
      <w:marLeft w:val="0"/>
      <w:marRight w:val="0"/>
      <w:marTop w:val="0"/>
      <w:marBottom w:val="0"/>
      <w:divBdr>
        <w:top w:val="none" w:sz="0" w:space="0" w:color="auto"/>
        <w:left w:val="none" w:sz="0" w:space="0" w:color="auto"/>
        <w:bottom w:val="none" w:sz="0" w:space="0" w:color="auto"/>
        <w:right w:val="none" w:sz="0" w:space="0" w:color="auto"/>
      </w:divBdr>
    </w:div>
    <w:div w:id="1242062535">
      <w:bodyDiv w:val="1"/>
      <w:marLeft w:val="0"/>
      <w:marRight w:val="0"/>
      <w:marTop w:val="0"/>
      <w:marBottom w:val="0"/>
      <w:divBdr>
        <w:top w:val="none" w:sz="0" w:space="0" w:color="auto"/>
        <w:left w:val="none" w:sz="0" w:space="0" w:color="auto"/>
        <w:bottom w:val="none" w:sz="0" w:space="0" w:color="auto"/>
        <w:right w:val="none" w:sz="0" w:space="0" w:color="auto"/>
      </w:divBdr>
    </w:div>
    <w:div w:id="1247232112">
      <w:bodyDiv w:val="1"/>
      <w:marLeft w:val="0"/>
      <w:marRight w:val="0"/>
      <w:marTop w:val="0"/>
      <w:marBottom w:val="0"/>
      <w:divBdr>
        <w:top w:val="none" w:sz="0" w:space="0" w:color="auto"/>
        <w:left w:val="none" w:sz="0" w:space="0" w:color="auto"/>
        <w:bottom w:val="none" w:sz="0" w:space="0" w:color="auto"/>
        <w:right w:val="none" w:sz="0" w:space="0" w:color="auto"/>
      </w:divBdr>
      <w:divsChild>
        <w:div w:id="6030265">
          <w:marLeft w:val="0"/>
          <w:marRight w:val="0"/>
          <w:marTop w:val="0"/>
          <w:marBottom w:val="0"/>
          <w:divBdr>
            <w:top w:val="none" w:sz="0" w:space="0" w:color="auto"/>
            <w:left w:val="none" w:sz="0" w:space="0" w:color="auto"/>
            <w:bottom w:val="none" w:sz="0" w:space="0" w:color="auto"/>
            <w:right w:val="none" w:sz="0" w:space="0" w:color="auto"/>
          </w:divBdr>
          <w:divsChild>
            <w:div w:id="1242907920">
              <w:marLeft w:val="0"/>
              <w:marRight w:val="0"/>
              <w:marTop w:val="0"/>
              <w:marBottom w:val="0"/>
              <w:divBdr>
                <w:top w:val="none" w:sz="0" w:space="0" w:color="auto"/>
                <w:left w:val="none" w:sz="0" w:space="0" w:color="auto"/>
                <w:bottom w:val="none" w:sz="0" w:space="0" w:color="auto"/>
                <w:right w:val="none" w:sz="0" w:space="0" w:color="auto"/>
              </w:divBdr>
              <w:divsChild>
                <w:div w:id="1948846823">
                  <w:marLeft w:val="0"/>
                  <w:marRight w:val="0"/>
                  <w:marTop w:val="0"/>
                  <w:marBottom w:val="0"/>
                  <w:divBdr>
                    <w:top w:val="none" w:sz="0" w:space="0" w:color="auto"/>
                    <w:left w:val="none" w:sz="0" w:space="0" w:color="auto"/>
                    <w:bottom w:val="none" w:sz="0" w:space="0" w:color="auto"/>
                    <w:right w:val="none" w:sz="0" w:space="0" w:color="auto"/>
                  </w:divBdr>
                  <w:divsChild>
                    <w:div w:id="678118124">
                      <w:marLeft w:val="0"/>
                      <w:marRight w:val="0"/>
                      <w:marTop w:val="0"/>
                      <w:marBottom w:val="0"/>
                      <w:divBdr>
                        <w:top w:val="none" w:sz="0" w:space="0" w:color="auto"/>
                        <w:left w:val="none" w:sz="0" w:space="0" w:color="auto"/>
                        <w:bottom w:val="none" w:sz="0" w:space="0" w:color="auto"/>
                        <w:right w:val="none" w:sz="0" w:space="0" w:color="auto"/>
                      </w:divBdr>
                      <w:divsChild>
                        <w:div w:id="1555972001">
                          <w:marLeft w:val="0"/>
                          <w:marRight w:val="0"/>
                          <w:marTop w:val="0"/>
                          <w:marBottom w:val="0"/>
                          <w:divBdr>
                            <w:top w:val="none" w:sz="0" w:space="0" w:color="auto"/>
                            <w:left w:val="none" w:sz="0" w:space="0" w:color="auto"/>
                            <w:bottom w:val="none" w:sz="0" w:space="0" w:color="auto"/>
                            <w:right w:val="none" w:sz="0" w:space="0" w:color="auto"/>
                          </w:divBdr>
                          <w:divsChild>
                            <w:div w:id="351998496">
                              <w:marLeft w:val="0"/>
                              <w:marRight w:val="0"/>
                              <w:marTop w:val="0"/>
                              <w:marBottom w:val="0"/>
                              <w:divBdr>
                                <w:top w:val="none" w:sz="0" w:space="0" w:color="auto"/>
                                <w:left w:val="none" w:sz="0" w:space="0" w:color="auto"/>
                                <w:bottom w:val="none" w:sz="0" w:space="0" w:color="auto"/>
                                <w:right w:val="none" w:sz="0" w:space="0" w:color="auto"/>
                              </w:divBdr>
                              <w:divsChild>
                                <w:div w:id="1867524459">
                                  <w:marLeft w:val="0"/>
                                  <w:marRight w:val="0"/>
                                  <w:marTop w:val="0"/>
                                  <w:marBottom w:val="0"/>
                                  <w:divBdr>
                                    <w:top w:val="none" w:sz="0" w:space="0" w:color="auto"/>
                                    <w:left w:val="none" w:sz="0" w:space="0" w:color="auto"/>
                                    <w:bottom w:val="none" w:sz="0" w:space="0" w:color="auto"/>
                                    <w:right w:val="none" w:sz="0" w:space="0" w:color="auto"/>
                                  </w:divBdr>
                                  <w:divsChild>
                                    <w:div w:id="591009660">
                                      <w:marLeft w:val="0"/>
                                      <w:marRight w:val="0"/>
                                      <w:marTop w:val="0"/>
                                      <w:marBottom w:val="0"/>
                                      <w:divBdr>
                                        <w:top w:val="none" w:sz="0" w:space="0" w:color="auto"/>
                                        <w:left w:val="none" w:sz="0" w:space="0" w:color="auto"/>
                                        <w:bottom w:val="none" w:sz="0" w:space="0" w:color="auto"/>
                                        <w:right w:val="none" w:sz="0" w:space="0" w:color="auto"/>
                                      </w:divBdr>
                                      <w:divsChild>
                                        <w:div w:id="1542284209">
                                          <w:marLeft w:val="0"/>
                                          <w:marRight w:val="0"/>
                                          <w:marTop w:val="0"/>
                                          <w:marBottom w:val="0"/>
                                          <w:divBdr>
                                            <w:top w:val="none" w:sz="0" w:space="0" w:color="auto"/>
                                            <w:left w:val="none" w:sz="0" w:space="0" w:color="auto"/>
                                            <w:bottom w:val="none" w:sz="0" w:space="0" w:color="auto"/>
                                            <w:right w:val="none" w:sz="0" w:space="0" w:color="auto"/>
                                          </w:divBdr>
                                          <w:divsChild>
                                            <w:div w:id="80413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434865">
                                      <w:marLeft w:val="0"/>
                                      <w:marRight w:val="0"/>
                                      <w:marTop w:val="0"/>
                                      <w:marBottom w:val="0"/>
                                      <w:divBdr>
                                        <w:top w:val="none" w:sz="0" w:space="0" w:color="auto"/>
                                        <w:left w:val="none" w:sz="0" w:space="0" w:color="auto"/>
                                        <w:bottom w:val="none" w:sz="0" w:space="0" w:color="auto"/>
                                        <w:right w:val="none" w:sz="0" w:space="0" w:color="auto"/>
                                      </w:divBdr>
                                      <w:divsChild>
                                        <w:div w:id="439692400">
                                          <w:marLeft w:val="0"/>
                                          <w:marRight w:val="0"/>
                                          <w:marTop w:val="0"/>
                                          <w:marBottom w:val="0"/>
                                          <w:divBdr>
                                            <w:top w:val="none" w:sz="0" w:space="0" w:color="auto"/>
                                            <w:left w:val="none" w:sz="0" w:space="0" w:color="auto"/>
                                            <w:bottom w:val="none" w:sz="0" w:space="0" w:color="auto"/>
                                            <w:right w:val="none" w:sz="0" w:space="0" w:color="auto"/>
                                          </w:divBdr>
                                          <w:divsChild>
                                            <w:div w:id="602955496">
                                              <w:marLeft w:val="0"/>
                                              <w:marRight w:val="0"/>
                                              <w:marTop w:val="0"/>
                                              <w:marBottom w:val="0"/>
                                              <w:divBdr>
                                                <w:top w:val="none" w:sz="0" w:space="0" w:color="auto"/>
                                                <w:left w:val="none" w:sz="0" w:space="0" w:color="auto"/>
                                                <w:bottom w:val="none" w:sz="0" w:space="0" w:color="auto"/>
                                                <w:right w:val="none" w:sz="0" w:space="0" w:color="auto"/>
                                              </w:divBdr>
                                              <w:divsChild>
                                                <w:div w:id="1898517636">
                                                  <w:marLeft w:val="0"/>
                                                  <w:marRight w:val="0"/>
                                                  <w:marTop w:val="0"/>
                                                  <w:marBottom w:val="0"/>
                                                  <w:divBdr>
                                                    <w:top w:val="none" w:sz="0" w:space="0" w:color="auto"/>
                                                    <w:left w:val="none" w:sz="0" w:space="0" w:color="auto"/>
                                                    <w:bottom w:val="none" w:sz="0" w:space="0" w:color="auto"/>
                                                    <w:right w:val="none" w:sz="0" w:space="0" w:color="auto"/>
                                                  </w:divBdr>
                                                  <w:divsChild>
                                                    <w:div w:id="1693608890">
                                                      <w:marLeft w:val="0"/>
                                                      <w:marRight w:val="0"/>
                                                      <w:marTop w:val="0"/>
                                                      <w:marBottom w:val="0"/>
                                                      <w:divBdr>
                                                        <w:top w:val="none" w:sz="0" w:space="0" w:color="auto"/>
                                                        <w:left w:val="none" w:sz="0" w:space="0" w:color="auto"/>
                                                        <w:bottom w:val="none" w:sz="0" w:space="0" w:color="auto"/>
                                                        <w:right w:val="none" w:sz="0" w:space="0" w:color="auto"/>
                                                      </w:divBdr>
                                                      <w:divsChild>
                                                        <w:div w:id="1356728346">
                                                          <w:marLeft w:val="0"/>
                                                          <w:marRight w:val="0"/>
                                                          <w:marTop w:val="0"/>
                                                          <w:marBottom w:val="0"/>
                                                          <w:divBdr>
                                                            <w:top w:val="none" w:sz="0" w:space="0" w:color="auto"/>
                                                            <w:left w:val="none" w:sz="0" w:space="0" w:color="auto"/>
                                                            <w:bottom w:val="none" w:sz="0" w:space="0" w:color="auto"/>
                                                            <w:right w:val="none" w:sz="0" w:space="0" w:color="auto"/>
                                                          </w:divBdr>
                                                          <w:divsChild>
                                                            <w:div w:id="1639261769">
                                                              <w:marLeft w:val="0"/>
                                                              <w:marRight w:val="0"/>
                                                              <w:marTop w:val="0"/>
                                                              <w:marBottom w:val="0"/>
                                                              <w:divBdr>
                                                                <w:top w:val="none" w:sz="0" w:space="0" w:color="auto"/>
                                                                <w:left w:val="none" w:sz="0" w:space="0" w:color="auto"/>
                                                                <w:bottom w:val="none" w:sz="0" w:space="0" w:color="auto"/>
                                                                <w:right w:val="none" w:sz="0" w:space="0" w:color="auto"/>
                                                              </w:divBdr>
                                                              <w:divsChild>
                                                                <w:div w:id="669479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120807266">
          <w:marLeft w:val="0"/>
          <w:marRight w:val="0"/>
          <w:marTop w:val="0"/>
          <w:marBottom w:val="0"/>
          <w:divBdr>
            <w:top w:val="none" w:sz="0" w:space="0" w:color="auto"/>
            <w:left w:val="none" w:sz="0" w:space="0" w:color="auto"/>
            <w:bottom w:val="none" w:sz="0" w:space="0" w:color="auto"/>
            <w:right w:val="none" w:sz="0" w:space="0" w:color="auto"/>
          </w:divBdr>
          <w:divsChild>
            <w:div w:id="342443158">
              <w:marLeft w:val="0"/>
              <w:marRight w:val="0"/>
              <w:marTop w:val="0"/>
              <w:marBottom w:val="0"/>
              <w:divBdr>
                <w:top w:val="none" w:sz="0" w:space="0" w:color="auto"/>
                <w:left w:val="none" w:sz="0" w:space="0" w:color="auto"/>
                <w:bottom w:val="none" w:sz="0" w:space="0" w:color="auto"/>
                <w:right w:val="none" w:sz="0" w:space="0" w:color="auto"/>
              </w:divBdr>
              <w:divsChild>
                <w:div w:id="869882587">
                  <w:marLeft w:val="0"/>
                  <w:marRight w:val="0"/>
                  <w:marTop w:val="0"/>
                  <w:marBottom w:val="0"/>
                  <w:divBdr>
                    <w:top w:val="none" w:sz="0" w:space="0" w:color="auto"/>
                    <w:left w:val="none" w:sz="0" w:space="0" w:color="auto"/>
                    <w:bottom w:val="none" w:sz="0" w:space="0" w:color="auto"/>
                    <w:right w:val="none" w:sz="0" w:space="0" w:color="auto"/>
                  </w:divBdr>
                  <w:divsChild>
                    <w:div w:id="1492522167">
                      <w:marLeft w:val="0"/>
                      <w:marRight w:val="0"/>
                      <w:marTop w:val="0"/>
                      <w:marBottom w:val="0"/>
                      <w:divBdr>
                        <w:top w:val="none" w:sz="0" w:space="0" w:color="auto"/>
                        <w:left w:val="none" w:sz="0" w:space="0" w:color="auto"/>
                        <w:bottom w:val="none" w:sz="0" w:space="0" w:color="auto"/>
                        <w:right w:val="none" w:sz="0" w:space="0" w:color="auto"/>
                      </w:divBdr>
                      <w:divsChild>
                        <w:div w:id="726687963">
                          <w:marLeft w:val="0"/>
                          <w:marRight w:val="0"/>
                          <w:marTop w:val="0"/>
                          <w:marBottom w:val="0"/>
                          <w:divBdr>
                            <w:top w:val="none" w:sz="0" w:space="0" w:color="auto"/>
                            <w:left w:val="none" w:sz="0" w:space="0" w:color="auto"/>
                            <w:bottom w:val="none" w:sz="0" w:space="0" w:color="auto"/>
                            <w:right w:val="none" w:sz="0" w:space="0" w:color="auto"/>
                          </w:divBdr>
                          <w:divsChild>
                            <w:div w:id="1986277117">
                              <w:marLeft w:val="0"/>
                              <w:marRight w:val="0"/>
                              <w:marTop w:val="0"/>
                              <w:marBottom w:val="0"/>
                              <w:divBdr>
                                <w:top w:val="none" w:sz="0" w:space="0" w:color="auto"/>
                                <w:left w:val="none" w:sz="0" w:space="0" w:color="auto"/>
                                <w:bottom w:val="none" w:sz="0" w:space="0" w:color="auto"/>
                                <w:right w:val="none" w:sz="0" w:space="0" w:color="auto"/>
                              </w:divBdr>
                              <w:divsChild>
                                <w:div w:id="1425492543">
                                  <w:marLeft w:val="0"/>
                                  <w:marRight w:val="0"/>
                                  <w:marTop w:val="0"/>
                                  <w:marBottom w:val="0"/>
                                  <w:divBdr>
                                    <w:top w:val="none" w:sz="0" w:space="0" w:color="auto"/>
                                    <w:left w:val="none" w:sz="0" w:space="0" w:color="auto"/>
                                    <w:bottom w:val="none" w:sz="0" w:space="0" w:color="auto"/>
                                    <w:right w:val="none" w:sz="0" w:space="0" w:color="auto"/>
                                  </w:divBdr>
                                  <w:divsChild>
                                    <w:div w:id="44723697">
                                      <w:marLeft w:val="0"/>
                                      <w:marRight w:val="0"/>
                                      <w:marTop w:val="0"/>
                                      <w:marBottom w:val="0"/>
                                      <w:divBdr>
                                        <w:top w:val="none" w:sz="0" w:space="0" w:color="auto"/>
                                        <w:left w:val="none" w:sz="0" w:space="0" w:color="auto"/>
                                        <w:bottom w:val="none" w:sz="0" w:space="0" w:color="auto"/>
                                        <w:right w:val="none" w:sz="0" w:space="0" w:color="auto"/>
                                      </w:divBdr>
                                      <w:divsChild>
                                        <w:div w:id="2058779743">
                                          <w:marLeft w:val="0"/>
                                          <w:marRight w:val="0"/>
                                          <w:marTop w:val="0"/>
                                          <w:marBottom w:val="0"/>
                                          <w:divBdr>
                                            <w:top w:val="none" w:sz="0" w:space="0" w:color="auto"/>
                                            <w:left w:val="none" w:sz="0" w:space="0" w:color="auto"/>
                                            <w:bottom w:val="none" w:sz="0" w:space="0" w:color="auto"/>
                                            <w:right w:val="none" w:sz="0" w:space="0" w:color="auto"/>
                                          </w:divBdr>
                                        </w:div>
                                      </w:divsChild>
                                    </w:div>
                                    <w:div w:id="1053039858">
                                      <w:marLeft w:val="0"/>
                                      <w:marRight w:val="0"/>
                                      <w:marTop w:val="0"/>
                                      <w:marBottom w:val="0"/>
                                      <w:divBdr>
                                        <w:top w:val="none" w:sz="0" w:space="0" w:color="auto"/>
                                        <w:left w:val="none" w:sz="0" w:space="0" w:color="auto"/>
                                        <w:bottom w:val="none" w:sz="0" w:space="0" w:color="auto"/>
                                        <w:right w:val="none" w:sz="0" w:space="0" w:color="auto"/>
                                      </w:divBdr>
                                      <w:divsChild>
                                        <w:div w:id="1335064532">
                                          <w:marLeft w:val="0"/>
                                          <w:marRight w:val="0"/>
                                          <w:marTop w:val="0"/>
                                          <w:marBottom w:val="0"/>
                                          <w:divBdr>
                                            <w:top w:val="none" w:sz="0" w:space="0" w:color="auto"/>
                                            <w:left w:val="none" w:sz="0" w:space="0" w:color="auto"/>
                                            <w:bottom w:val="none" w:sz="0" w:space="0" w:color="auto"/>
                                            <w:right w:val="none" w:sz="0" w:space="0" w:color="auto"/>
                                          </w:divBdr>
                                          <w:divsChild>
                                            <w:div w:id="503664194">
                                              <w:marLeft w:val="0"/>
                                              <w:marRight w:val="0"/>
                                              <w:marTop w:val="0"/>
                                              <w:marBottom w:val="0"/>
                                              <w:divBdr>
                                                <w:top w:val="none" w:sz="0" w:space="0" w:color="auto"/>
                                                <w:left w:val="none" w:sz="0" w:space="0" w:color="auto"/>
                                                <w:bottom w:val="none" w:sz="0" w:space="0" w:color="auto"/>
                                                <w:right w:val="none" w:sz="0" w:space="0" w:color="auto"/>
                                              </w:divBdr>
                                              <w:divsChild>
                                                <w:div w:id="192966121">
                                                  <w:marLeft w:val="0"/>
                                                  <w:marRight w:val="0"/>
                                                  <w:marTop w:val="0"/>
                                                  <w:marBottom w:val="0"/>
                                                  <w:divBdr>
                                                    <w:top w:val="none" w:sz="0" w:space="0" w:color="auto"/>
                                                    <w:left w:val="none" w:sz="0" w:space="0" w:color="auto"/>
                                                    <w:bottom w:val="none" w:sz="0" w:space="0" w:color="auto"/>
                                                    <w:right w:val="none" w:sz="0" w:space="0" w:color="auto"/>
                                                  </w:divBdr>
                                                  <w:divsChild>
                                                    <w:div w:id="1893226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50578184">
      <w:bodyDiv w:val="1"/>
      <w:marLeft w:val="0"/>
      <w:marRight w:val="0"/>
      <w:marTop w:val="0"/>
      <w:marBottom w:val="0"/>
      <w:divBdr>
        <w:top w:val="none" w:sz="0" w:space="0" w:color="auto"/>
        <w:left w:val="none" w:sz="0" w:space="0" w:color="auto"/>
        <w:bottom w:val="none" w:sz="0" w:space="0" w:color="auto"/>
        <w:right w:val="none" w:sz="0" w:space="0" w:color="auto"/>
      </w:divBdr>
    </w:div>
    <w:div w:id="1251161305">
      <w:bodyDiv w:val="1"/>
      <w:marLeft w:val="0"/>
      <w:marRight w:val="0"/>
      <w:marTop w:val="0"/>
      <w:marBottom w:val="0"/>
      <w:divBdr>
        <w:top w:val="none" w:sz="0" w:space="0" w:color="auto"/>
        <w:left w:val="none" w:sz="0" w:space="0" w:color="auto"/>
        <w:bottom w:val="none" w:sz="0" w:space="0" w:color="auto"/>
        <w:right w:val="none" w:sz="0" w:space="0" w:color="auto"/>
      </w:divBdr>
    </w:div>
    <w:div w:id="1255016717">
      <w:bodyDiv w:val="1"/>
      <w:marLeft w:val="0"/>
      <w:marRight w:val="0"/>
      <w:marTop w:val="0"/>
      <w:marBottom w:val="0"/>
      <w:divBdr>
        <w:top w:val="none" w:sz="0" w:space="0" w:color="auto"/>
        <w:left w:val="none" w:sz="0" w:space="0" w:color="auto"/>
        <w:bottom w:val="none" w:sz="0" w:space="0" w:color="auto"/>
        <w:right w:val="none" w:sz="0" w:space="0" w:color="auto"/>
      </w:divBdr>
    </w:div>
    <w:div w:id="1266426066">
      <w:bodyDiv w:val="1"/>
      <w:marLeft w:val="0"/>
      <w:marRight w:val="0"/>
      <w:marTop w:val="0"/>
      <w:marBottom w:val="0"/>
      <w:divBdr>
        <w:top w:val="none" w:sz="0" w:space="0" w:color="auto"/>
        <w:left w:val="none" w:sz="0" w:space="0" w:color="auto"/>
        <w:bottom w:val="none" w:sz="0" w:space="0" w:color="auto"/>
        <w:right w:val="none" w:sz="0" w:space="0" w:color="auto"/>
      </w:divBdr>
    </w:div>
    <w:div w:id="1273244312">
      <w:bodyDiv w:val="1"/>
      <w:marLeft w:val="0"/>
      <w:marRight w:val="0"/>
      <w:marTop w:val="0"/>
      <w:marBottom w:val="0"/>
      <w:divBdr>
        <w:top w:val="none" w:sz="0" w:space="0" w:color="auto"/>
        <w:left w:val="none" w:sz="0" w:space="0" w:color="auto"/>
        <w:bottom w:val="none" w:sz="0" w:space="0" w:color="auto"/>
        <w:right w:val="none" w:sz="0" w:space="0" w:color="auto"/>
      </w:divBdr>
      <w:divsChild>
        <w:div w:id="11346423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5601264">
      <w:bodyDiv w:val="1"/>
      <w:marLeft w:val="0"/>
      <w:marRight w:val="0"/>
      <w:marTop w:val="0"/>
      <w:marBottom w:val="0"/>
      <w:divBdr>
        <w:top w:val="none" w:sz="0" w:space="0" w:color="auto"/>
        <w:left w:val="none" w:sz="0" w:space="0" w:color="auto"/>
        <w:bottom w:val="none" w:sz="0" w:space="0" w:color="auto"/>
        <w:right w:val="none" w:sz="0" w:space="0" w:color="auto"/>
      </w:divBdr>
      <w:divsChild>
        <w:div w:id="50620866">
          <w:blockQuote w:val="1"/>
          <w:marLeft w:val="720"/>
          <w:marRight w:val="720"/>
          <w:marTop w:val="100"/>
          <w:marBottom w:val="100"/>
          <w:divBdr>
            <w:top w:val="none" w:sz="0" w:space="0" w:color="auto"/>
            <w:left w:val="none" w:sz="0" w:space="0" w:color="auto"/>
            <w:bottom w:val="none" w:sz="0" w:space="0" w:color="auto"/>
            <w:right w:val="none" w:sz="0" w:space="0" w:color="auto"/>
          </w:divBdr>
        </w:div>
        <w:div w:id="1978595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7523395">
      <w:bodyDiv w:val="1"/>
      <w:marLeft w:val="0"/>
      <w:marRight w:val="0"/>
      <w:marTop w:val="0"/>
      <w:marBottom w:val="0"/>
      <w:divBdr>
        <w:top w:val="none" w:sz="0" w:space="0" w:color="auto"/>
        <w:left w:val="none" w:sz="0" w:space="0" w:color="auto"/>
        <w:bottom w:val="none" w:sz="0" w:space="0" w:color="auto"/>
        <w:right w:val="none" w:sz="0" w:space="0" w:color="auto"/>
      </w:divBdr>
    </w:div>
    <w:div w:id="1279798620">
      <w:bodyDiv w:val="1"/>
      <w:marLeft w:val="0"/>
      <w:marRight w:val="0"/>
      <w:marTop w:val="0"/>
      <w:marBottom w:val="0"/>
      <w:divBdr>
        <w:top w:val="none" w:sz="0" w:space="0" w:color="auto"/>
        <w:left w:val="none" w:sz="0" w:space="0" w:color="auto"/>
        <w:bottom w:val="none" w:sz="0" w:space="0" w:color="auto"/>
        <w:right w:val="none" w:sz="0" w:space="0" w:color="auto"/>
      </w:divBdr>
    </w:div>
    <w:div w:id="1281064032">
      <w:bodyDiv w:val="1"/>
      <w:marLeft w:val="0"/>
      <w:marRight w:val="0"/>
      <w:marTop w:val="0"/>
      <w:marBottom w:val="0"/>
      <w:divBdr>
        <w:top w:val="none" w:sz="0" w:space="0" w:color="auto"/>
        <w:left w:val="none" w:sz="0" w:space="0" w:color="auto"/>
        <w:bottom w:val="none" w:sz="0" w:space="0" w:color="auto"/>
        <w:right w:val="none" w:sz="0" w:space="0" w:color="auto"/>
      </w:divBdr>
    </w:div>
    <w:div w:id="1292248583">
      <w:bodyDiv w:val="1"/>
      <w:marLeft w:val="0"/>
      <w:marRight w:val="0"/>
      <w:marTop w:val="0"/>
      <w:marBottom w:val="0"/>
      <w:divBdr>
        <w:top w:val="none" w:sz="0" w:space="0" w:color="auto"/>
        <w:left w:val="none" w:sz="0" w:space="0" w:color="auto"/>
        <w:bottom w:val="none" w:sz="0" w:space="0" w:color="auto"/>
        <w:right w:val="none" w:sz="0" w:space="0" w:color="auto"/>
      </w:divBdr>
      <w:divsChild>
        <w:div w:id="79760042">
          <w:marLeft w:val="0"/>
          <w:marRight w:val="0"/>
          <w:marTop w:val="0"/>
          <w:marBottom w:val="0"/>
          <w:divBdr>
            <w:top w:val="none" w:sz="0" w:space="0" w:color="auto"/>
            <w:left w:val="none" w:sz="0" w:space="0" w:color="auto"/>
            <w:bottom w:val="none" w:sz="0" w:space="0" w:color="auto"/>
            <w:right w:val="none" w:sz="0" w:space="0" w:color="auto"/>
          </w:divBdr>
        </w:div>
        <w:div w:id="373500715">
          <w:marLeft w:val="0"/>
          <w:marRight w:val="0"/>
          <w:marTop w:val="0"/>
          <w:marBottom w:val="0"/>
          <w:divBdr>
            <w:top w:val="none" w:sz="0" w:space="0" w:color="auto"/>
            <w:left w:val="none" w:sz="0" w:space="0" w:color="auto"/>
            <w:bottom w:val="none" w:sz="0" w:space="0" w:color="auto"/>
            <w:right w:val="none" w:sz="0" w:space="0" w:color="auto"/>
          </w:divBdr>
        </w:div>
        <w:div w:id="419176941">
          <w:marLeft w:val="0"/>
          <w:marRight w:val="0"/>
          <w:marTop w:val="0"/>
          <w:marBottom w:val="0"/>
          <w:divBdr>
            <w:top w:val="none" w:sz="0" w:space="0" w:color="auto"/>
            <w:left w:val="none" w:sz="0" w:space="0" w:color="auto"/>
            <w:bottom w:val="none" w:sz="0" w:space="0" w:color="auto"/>
            <w:right w:val="none" w:sz="0" w:space="0" w:color="auto"/>
          </w:divBdr>
        </w:div>
        <w:div w:id="897328253">
          <w:marLeft w:val="0"/>
          <w:marRight w:val="0"/>
          <w:marTop w:val="0"/>
          <w:marBottom w:val="0"/>
          <w:divBdr>
            <w:top w:val="none" w:sz="0" w:space="0" w:color="auto"/>
            <w:left w:val="none" w:sz="0" w:space="0" w:color="auto"/>
            <w:bottom w:val="none" w:sz="0" w:space="0" w:color="auto"/>
            <w:right w:val="none" w:sz="0" w:space="0" w:color="auto"/>
          </w:divBdr>
        </w:div>
        <w:div w:id="1368139260">
          <w:marLeft w:val="0"/>
          <w:marRight w:val="0"/>
          <w:marTop w:val="0"/>
          <w:marBottom w:val="0"/>
          <w:divBdr>
            <w:top w:val="none" w:sz="0" w:space="0" w:color="auto"/>
            <w:left w:val="none" w:sz="0" w:space="0" w:color="auto"/>
            <w:bottom w:val="none" w:sz="0" w:space="0" w:color="auto"/>
            <w:right w:val="none" w:sz="0" w:space="0" w:color="auto"/>
          </w:divBdr>
        </w:div>
      </w:divsChild>
    </w:div>
    <w:div w:id="1294754909">
      <w:bodyDiv w:val="1"/>
      <w:marLeft w:val="0"/>
      <w:marRight w:val="0"/>
      <w:marTop w:val="0"/>
      <w:marBottom w:val="0"/>
      <w:divBdr>
        <w:top w:val="none" w:sz="0" w:space="0" w:color="auto"/>
        <w:left w:val="none" w:sz="0" w:space="0" w:color="auto"/>
        <w:bottom w:val="none" w:sz="0" w:space="0" w:color="auto"/>
        <w:right w:val="none" w:sz="0" w:space="0" w:color="auto"/>
      </w:divBdr>
    </w:div>
    <w:div w:id="1300962539">
      <w:bodyDiv w:val="1"/>
      <w:marLeft w:val="0"/>
      <w:marRight w:val="0"/>
      <w:marTop w:val="0"/>
      <w:marBottom w:val="0"/>
      <w:divBdr>
        <w:top w:val="none" w:sz="0" w:space="0" w:color="auto"/>
        <w:left w:val="none" w:sz="0" w:space="0" w:color="auto"/>
        <w:bottom w:val="none" w:sz="0" w:space="0" w:color="auto"/>
        <w:right w:val="none" w:sz="0" w:space="0" w:color="auto"/>
      </w:divBdr>
    </w:div>
    <w:div w:id="1304772269">
      <w:bodyDiv w:val="1"/>
      <w:marLeft w:val="0"/>
      <w:marRight w:val="0"/>
      <w:marTop w:val="0"/>
      <w:marBottom w:val="0"/>
      <w:divBdr>
        <w:top w:val="none" w:sz="0" w:space="0" w:color="auto"/>
        <w:left w:val="none" w:sz="0" w:space="0" w:color="auto"/>
        <w:bottom w:val="none" w:sz="0" w:space="0" w:color="auto"/>
        <w:right w:val="none" w:sz="0" w:space="0" w:color="auto"/>
      </w:divBdr>
    </w:div>
    <w:div w:id="1310938524">
      <w:bodyDiv w:val="1"/>
      <w:marLeft w:val="0"/>
      <w:marRight w:val="0"/>
      <w:marTop w:val="0"/>
      <w:marBottom w:val="0"/>
      <w:divBdr>
        <w:top w:val="none" w:sz="0" w:space="0" w:color="auto"/>
        <w:left w:val="none" w:sz="0" w:space="0" w:color="auto"/>
        <w:bottom w:val="none" w:sz="0" w:space="0" w:color="auto"/>
        <w:right w:val="none" w:sz="0" w:space="0" w:color="auto"/>
      </w:divBdr>
    </w:div>
    <w:div w:id="1314070255">
      <w:bodyDiv w:val="1"/>
      <w:marLeft w:val="0"/>
      <w:marRight w:val="0"/>
      <w:marTop w:val="0"/>
      <w:marBottom w:val="0"/>
      <w:divBdr>
        <w:top w:val="none" w:sz="0" w:space="0" w:color="auto"/>
        <w:left w:val="none" w:sz="0" w:space="0" w:color="auto"/>
        <w:bottom w:val="none" w:sz="0" w:space="0" w:color="auto"/>
        <w:right w:val="none" w:sz="0" w:space="0" w:color="auto"/>
      </w:divBdr>
    </w:div>
    <w:div w:id="1326938709">
      <w:bodyDiv w:val="1"/>
      <w:marLeft w:val="0"/>
      <w:marRight w:val="0"/>
      <w:marTop w:val="0"/>
      <w:marBottom w:val="0"/>
      <w:divBdr>
        <w:top w:val="none" w:sz="0" w:space="0" w:color="auto"/>
        <w:left w:val="none" w:sz="0" w:space="0" w:color="auto"/>
        <w:bottom w:val="none" w:sz="0" w:space="0" w:color="auto"/>
        <w:right w:val="none" w:sz="0" w:space="0" w:color="auto"/>
      </w:divBdr>
    </w:div>
    <w:div w:id="1330791829">
      <w:bodyDiv w:val="1"/>
      <w:marLeft w:val="0"/>
      <w:marRight w:val="0"/>
      <w:marTop w:val="0"/>
      <w:marBottom w:val="0"/>
      <w:divBdr>
        <w:top w:val="none" w:sz="0" w:space="0" w:color="auto"/>
        <w:left w:val="none" w:sz="0" w:space="0" w:color="auto"/>
        <w:bottom w:val="none" w:sz="0" w:space="0" w:color="auto"/>
        <w:right w:val="none" w:sz="0" w:space="0" w:color="auto"/>
      </w:divBdr>
    </w:div>
    <w:div w:id="1331955215">
      <w:bodyDiv w:val="1"/>
      <w:marLeft w:val="0"/>
      <w:marRight w:val="0"/>
      <w:marTop w:val="0"/>
      <w:marBottom w:val="0"/>
      <w:divBdr>
        <w:top w:val="none" w:sz="0" w:space="0" w:color="auto"/>
        <w:left w:val="none" w:sz="0" w:space="0" w:color="auto"/>
        <w:bottom w:val="none" w:sz="0" w:space="0" w:color="auto"/>
        <w:right w:val="none" w:sz="0" w:space="0" w:color="auto"/>
      </w:divBdr>
    </w:div>
    <w:div w:id="1333147649">
      <w:bodyDiv w:val="1"/>
      <w:marLeft w:val="0"/>
      <w:marRight w:val="0"/>
      <w:marTop w:val="0"/>
      <w:marBottom w:val="0"/>
      <w:divBdr>
        <w:top w:val="none" w:sz="0" w:space="0" w:color="auto"/>
        <w:left w:val="none" w:sz="0" w:space="0" w:color="auto"/>
        <w:bottom w:val="none" w:sz="0" w:space="0" w:color="auto"/>
        <w:right w:val="none" w:sz="0" w:space="0" w:color="auto"/>
      </w:divBdr>
    </w:div>
    <w:div w:id="1344437411">
      <w:bodyDiv w:val="1"/>
      <w:marLeft w:val="0"/>
      <w:marRight w:val="0"/>
      <w:marTop w:val="0"/>
      <w:marBottom w:val="0"/>
      <w:divBdr>
        <w:top w:val="none" w:sz="0" w:space="0" w:color="auto"/>
        <w:left w:val="none" w:sz="0" w:space="0" w:color="auto"/>
        <w:bottom w:val="none" w:sz="0" w:space="0" w:color="auto"/>
        <w:right w:val="none" w:sz="0" w:space="0" w:color="auto"/>
      </w:divBdr>
      <w:divsChild>
        <w:div w:id="1628388500">
          <w:marLeft w:val="0"/>
          <w:marRight w:val="0"/>
          <w:marTop w:val="0"/>
          <w:marBottom w:val="0"/>
          <w:divBdr>
            <w:top w:val="none" w:sz="0" w:space="0" w:color="auto"/>
            <w:left w:val="none" w:sz="0" w:space="0" w:color="auto"/>
            <w:bottom w:val="none" w:sz="0" w:space="0" w:color="auto"/>
            <w:right w:val="none" w:sz="0" w:space="0" w:color="auto"/>
          </w:divBdr>
          <w:divsChild>
            <w:div w:id="2053772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542721">
      <w:bodyDiv w:val="1"/>
      <w:marLeft w:val="0"/>
      <w:marRight w:val="0"/>
      <w:marTop w:val="0"/>
      <w:marBottom w:val="0"/>
      <w:divBdr>
        <w:top w:val="none" w:sz="0" w:space="0" w:color="auto"/>
        <w:left w:val="none" w:sz="0" w:space="0" w:color="auto"/>
        <w:bottom w:val="none" w:sz="0" w:space="0" w:color="auto"/>
        <w:right w:val="none" w:sz="0" w:space="0" w:color="auto"/>
      </w:divBdr>
    </w:div>
    <w:div w:id="1363048834">
      <w:bodyDiv w:val="1"/>
      <w:marLeft w:val="0"/>
      <w:marRight w:val="0"/>
      <w:marTop w:val="0"/>
      <w:marBottom w:val="0"/>
      <w:divBdr>
        <w:top w:val="none" w:sz="0" w:space="0" w:color="auto"/>
        <w:left w:val="none" w:sz="0" w:space="0" w:color="auto"/>
        <w:bottom w:val="none" w:sz="0" w:space="0" w:color="auto"/>
        <w:right w:val="none" w:sz="0" w:space="0" w:color="auto"/>
      </w:divBdr>
    </w:div>
    <w:div w:id="1370688169">
      <w:bodyDiv w:val="1"/>
      <w:marLeft w:val="0"/>
      <w:marRight w:val="0"/>
      <w:marTop w:val="0"/>
      <w:marBottom w:val="0"/>
      <w:divBdr>
        <w:top w:val="none" w:sz="0" w:space="0" w:color="auto"/>
        <w:left w:val="none" w:sz="0" w:space="0" w:color="auto"/>
        <w:bottom w:val="none" w:sz="0" w:space="0" w:color="auto"/>
        <w:right w:val="none" w:sz="0" w:space="0" w:color="auto"/>
      </w:divBdr>
    </w:div>
    <w:div w:id="1370834085">
      <w:bodyDiv w:val="1"/>
      <w:marLeft w:val="0"/>
      <w:marRight w:val="0"/>
      <w:marTop w:val="0"/>
      <w:marBottom w:val="0"/>
      <w:divBdr>
        <w:top w:val="none" w:sz="0" w:space="0" w:color="auto"/>
        <w:left w:val="none" w:sz="0" w:space="0" w:color="auto"/>
        <w:bottom w:val="none" w:sz="0" w:space="0" w:color="auto"/>
        <w:right w:val="none" w:sz="0" w:space="0" w:color="auto"/>
      </w:divBdr>
    </w:div>
    <w:div w:id="1375234906">
      <w:bodyDiv w:val="1"/>
      <w:marLeft w:val="0"/>
      <w:marRight w:val="0"/>
      <w:marTop w:val="0"/>
      <w:marBottom w:val="0"/>
      <w:divBdr>
        <w:top w:val="none" w:sz="0" w:space="0" w:color="auto"/>
        <w:left w:val="none" w:sz="0" w:space="0" w:color="auto"/>
        <w:bottom w:val="none" w:sz="0" w:space="0" w:color="auto"/>
        <w:right w:val="none" w:sz="0" w:space="0" w:color="auto"/>
      </w:divBdr>
    </w:div>
    <w:div w:id="1381050729">
      <w:bodyDiv w:val="1"/>
      <w:marLeft w:val="0"/>
      <w:marRight w:val="0"/>
      <w:marTop w:val="0"/>
      <w:marBottom w:val="0"/>
      <w:divBdr>
        <w:top w:val="none" w:sz="0" w:space="0" w:color="auto"/>
        <w:left w:val="none" w:sz="0" w:space="0" w:color="auto"/>
        <w:bottom w:val="none" w:sz="0" w:space="0" w:color="auto"/>
        <w:right w:val="none" w:sz="0" w:space="0" w:color="auto"/>
      </w:divBdr>
    </w:div>
    <w:div w:id="1394113708">
      <w:bodyDiv w:val="1"/>
      <w:marLeft w:val="0"/>
      <w:marRight w:val="0"/>
      <w:marTop w:val="0"/>
      <w:marBottom w:val="0"/>
      <w:divBdr>
        <w:top w:val="none" w:sz="0" w:space="0" w:color="auto"/>
        <w:left w:val="none" w:sz="0" w:space="0" w:color="auto"/>
        <w:bottom w:val="none" w:sz="0" w:space="0" w:color="auto"/>
        <w:right w:val="none" w:sz="0" w:space="0" w:color="auto"/>
      </w:divBdr>
    </w:div>
    <w:div w:id="1420567256">
      <w:bodyDiv w:val="1"/>
      <w:marLeft w:val="0"/>
      <w:marRight w:val="0"/>
      <w:marTop w:val="0"/>
      <w:marBottom w:val="0"/>
      <w:divBdr>
        <w:top w:val="none" w:sz="0" w:space="0" w:color="auto"/>
        <w:left w:val="none" w:sz="0" w:space="0" w:color="auto"/>
        <w:bottom w:val="none" w:sz="0" w:space="0" w:color="auto"/>
        <w:right w:val="none" w:sz="0" w:space="0" w:color="auto"/>
      </w:divBdr>
      <w:divsChild>
        <w:div w:id="179465582">
          <w:marLeft w:val="0"/>
          <w:marRight w:val="0"/>
          <w:marTop w:val="0"/>
          <w:marBottom w:val="0"/>
          <w:divBdr>
            <w:top w:val="none" w:sz="0" w:space="0" w:color="auto"/>
            <w:left w:val="none" w:sz="0" w:space="0" w:color="auto"/>
            <w:bottom w:val="none" w:sz="0" w:space="0" w:color="auto"/>
            <w:right w:val="none" w:sz="0" w:space="0" w:color="auto"/>
          </w:divBdr>
        </w:div>
      </w:divsChild>
    </w:div>
    <w:div w:id="1421367911">
      <w:bodyDiv w:val="1"/>
      <w:marLeft w:val="0"/>
      <w:marRight w:val="0"/>
      <w:marTop w:val="0"/>
      <w:marBottom w:val="0"/>
      <w:divBdr>
        <w:top w:val="none" w:sz="0" w:space="0" w:color="auto"/>
        <w:left w:val="none" w:sz="0" w:space="0" w:color="auto"/>
        <w:bottom w:val="none" w:sz="0" w:space="0" w:color="auto"/>
        <w:right w:val="none" w:sz="0" w:space="0" w:color="auto"/>
      </w:divBdr>
    </w:div>
    <w:div w:id="1441335558">
      <w:bodyDiv w:val="1"/>
      <w:marLeft w:val="0"/>
      <w:marRight w:val="0"/>
      <w:marTop w:val="0"/>
      <w:marBottom w:val="0"/>
      <w:divBdr>
        <w:top w:val="none" w:sz="0" w:space="0" w:color="auto"/>
        <w:left w:val="none" w:sz="0" w:space="0" w:color="auto"/>
        <w:bottom w:val="none" w:sz="0" w:space="0" w:color="auto"/>
        <w:right w:val="none" w:sz="0" w:space="0" w:color="auto"/>
      </w:divBdr>
      <w:divsChild>
        <w:div w:id="745037095">
          <w:marLeft w:val="0"/>
          <w:marRight w:val="0"/>
          <w:marTop w:val="0"/>
          <w:marBottom w:val="0"/>
          <w:divBdr>
            <w:top w:val="none" w:sz="0" w:space="0" w:color="auto"/>
            <w:left w:val="none" w:sz="0" w:space="0" w:color="auto"/>
            <w:bottom w:val="none" w:sz="0" w:space="0" w:color="auto"/>
            <w:right w:val="none" w:sz="0" w:space="0" w:color="auto"/>
          </w:divBdr>
          <w:divsChild>
            <w:div w:id="1798402898">
              <w:marLeft w:val="0"/>
              <w:marRight w:val="0"/>
              <w:marTop w:val="0"/>
              <w:marBottom w:val="0"/>
              <w:divBdr>
                <w:top w:val="none" w:sz="0" w:space="0" w:color="auto"/>
                <w:left w:val="none" w:sz="0" w:space="0" w:color="auto"/>
                <w:bottom w:val="none" w:sz="0" w:space="0" w:color="auto"/>
                <w:right w:val="none" w:sz="0" w:space="0" w:color="auto"/>
              </w:divBdr>
              <w:divsChild>
                <w:div w:id="518934466">
                  <w:marLeft w:val="0"/>
                  <w:marRight w:val="0"/>
                  <w:marTop w:val="0"/>
                  <w:marBottom w:val="0"/>
                  <w:divBdr>
                    <w:top w:val="none" w:sz="0" w:space="0" w:color="auto"/>
                    <w:left w:val="none" w:sz="0" w:space="0" w:color="auto"/>
                    <w:bottom w:val="none" w:sz="0" w:space="0" w:color="auto"/>
                    <w:right w:val="none" w:sz="0" w:space="0" w:color="auto"/>
                  </w:divBdr>
                  <w:divsChild>
                    <w:div w:id="78791838">
                      <w:marLeft w:val="0"/>
                      <w:marRight w:val="0"/>
                      <w:marTop w:val="0"/>
                      <w:marBottom w:val="0"/>
                      <w:divBdr>
                        <w:top w:val="none" w:sz="0" w:space="0" w:color="auto"/>
                        <w:left w:val="none" w:sz="0" w:space="0" w:color="auto"/>
                        <w:bottom w:val="none" w:sz="0" w:space="0" w:color="auto"/>
                        <w:right w:val="none" w:sz="0" w:space="0" w:color="auto"/>
                      </w:divBdr>
                      <w:divsChild>
                        <w:div w:id="2025863909">
                          <w:marLeft w:val="0"/>
                          <w:marRight w:val="0"/>
                          <w:marTop w:val="0"/>
                          <w:marBottom w:val="0"/>
                          <w:divBdr>
                            <w:top w:val="none" w:sz="0" w:space="0" w:color="auto"/>
                            <w:left w:val="none" w:sz="0" w:space="0" w:color="auto"/>
                            <w:bottom w:val="none" w:sz="0" w:space="0" w:color="auto"/>
                            <w:right w:val="none" w:sz="0" w:space="0" w:color="auto"/>
                          </w:divBdr>
                          <w:divsChild>
                            <w:div w:id="706417889">
                              <w:marLeft w:val="0"/>
                              <w:marRight w:val="0"/>
                              <w:marTop w:val="0"/>
                              <w:marBottom w:val="0"/>
                              <w:divBdr>
                                <w:top w:val="none" w:sz="0" w:space="0" w:color="auto"/>
                                <w:left w:val="none" w:sz="0" w:space="0" w:color="auto"/>
                                <w:bottom w:val="none" w:sz="0" w:space="0" w:color="auto"/>
                                <w:right w:val="none" w:sz="0" w:space="0" w:color="auto"/>
                              </w:divBdr>
                              <w:divsChild>
                                <w:div w:id="1536888667">
                                  <w:marLeft w:val="0"/>
                                  <w:marRight w:val="0"/>
                                  <w:marTop w:val="0"/>
                                  <w:marBottom w:val="0"/>
                                  <w:divBdr>
                                    <w:top w:val="none" w:sz="0" w:space="0" w:color="auto"/>
                                    <w:left w:val="none" w:sz="0" w:space="0" w:color="auto"/>
                                    <w:bottom w:val="none" w:sz="0" w:space="0" w:color="auto"/>
                                    <w:right w:val="none" w:sz="0" w:space="0" w:color="auto"/>
                                  </w:divBdr>
                                  <w:divsChild>
                                    <w:div w:id="181236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3042451">
                      <w:marLeft w:val="0"/>
                      <w:marRight w:val="0"/>
                      <w:marTop w:val="0"/>
                      <w:marBottom w:val="0"/>
                      <w:divBdr>
                        <w:top w:val="none" w:sz="0" w:space="0" w:color="auto"/>
                        <w:left w:val="none" w:sz="0" w:space="0" w:color="auto"/>
                        <w:bottom w:val="none" w:sz="0" w:space="0" w:color="auto"/>
                        <w:right w:val="none" w:sz="0" w:space="0" w:color="auto"/>
                      </w:divBdr>
                      <w:divsChild>
                        <w:div w:id="16395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1989303">
      <w:bodyDiv w:val="1"/>
      <w:marLeft w:val="0"/>
      <w:marRight w:val="0"/>
      <w:marTop w:val="0"/>
      <w:marBottom w:val="0"/>
      <w:divBdr>
        <w:top w:val="none" w:sz="0" w:space="0" w:color="auto"/>
        <w:left w:val="none" w:sz="0" w:space="0" w:color="auto"/>
        <w:bottom w:val="none" w:sz="0" w:space="0" w:color="auto"/>
        <w:right w:val="none" w:sz="0" w:space="0" w:color="auto"/>
      </w:divBdr>
    </w:div>
    <w:div w:id="1446777334">
      <w:bodyDiv w:val="1"/>
      <w:marLeft w:val="0"/>
      <w:marRight w:val="0"/>
      <w:marTop w:val="0"/>
      <w:marBottom w:val="0"/>
      <w:divBdr>
        <w:top w:val="none" w:sz="0" w:space="0" w:color="auto"/>
        <w:left w:val="none" w:sz="0" w:space="0" w:color="auto"/>
        <w:bottom w:val="none" w:sz="0" w:space="0" w:color="auto"/>
        <w:right w:val="none" w:sz="0" w:space="0" w:color="auto"/>
      </w:divBdr>
    </w:div>
    <w:div w:id="1465273372">
      <w:bodyDiv w:val="1"/>
      <w:marLeft w:val="0"/>
      <w:marRight w:val="0"/>
      <w:marTop w:val="0"/>
      <w:marBottom w:val="0"/>
      <w:divBdr>
        <w:top w:val="none" w:sz="0" w:space="0" w:color="auto"/>
        <w:left w:val="none" w:sz="0" w:space="0" w:color="auto"/>
        <w:bottom w:val="none" w:sz="0" w:space="0" w:color="auto"/>
        <w:right w:val="none" w:sz="0" w:space="0" w:color="auto"/>
      </w:divBdr>
    </w:div>
    <w:div w:id="1467892988">
      <w:bodyDiv w:val="1"/>
      <w:marLeft w:val="0"/>
      <w:marRight w:val="0"/>
      <w:marTop w:val="0"/>
      <w:marBottom w:val="0"/>
      <w:divBdr>
        <w:top w:val="none" w:sz="0" w:space="0" w:color="auto"/>
        <w:left w:val="none" w:sz="0" w:space="0" w:color="auto"/>
        <w:bottom w:val="none" w:sz="0" w:space="0" w:color="auto"/>
        <w:right w:val="none" w:sz="0" w:space="0" w:color="auto"/>
      </w:divBdr>
    </w:div>
    <w:div w:id="1471822499">
      <w:bodyDiv w:val="1"/>
      <w:marLeft w:val="0"/>
      <w:marRight w:val="0"/>
      <w:marTop w:val="0"/>
      <w:marBottom w:val="0"/>
      <w:divBdr>
        <w:top w:val="none" w:sz="0" w:space="0" w:color="auto"/>
        <w:left w:val="none" w:sz="0" w:space="0" w:color="auto"/>
        <w:bottom w:val="none" w:sz="0" w:space="0" w:color="auto"/>
        <w:right w:val="none" w:sz="0" w:space="0" w:color="auto"/>
      </w:divBdr>
    </w:div>
    <w:div w:id="1480076861">
      <w:bodyDiv w:val="1"/>
      <w:marLeft w:val="0"/>
      <w:marRight w:val="0"/>
      <w:marTop w:val="0"/>
      <w:marBottom w:val="0"/>
      <w:divBdr>
        <w:top w:val="none" w:sz="0" w:space="0" w:color="auto"/>
        <w:left w:val="none" w:sz="0" w:space="0" w:color="auto"/>
        <w:bottom w:val="none" w:sz="0" w:space="0" w:color="auto"/>
        <w:right w:val="none" w:sz="0" w:space="0" w:color="auto"/>
      </w:divBdr>
      <w:divsChild>
        <w:div w:id="1047686187">
          <w:marLeft w:val="0"/>
          <w:marRight w:val="0"/>
          <w:marTop w:val="0"/>
          <w:marBottom w:val="0"/>
          <w:divBdr>
            <w:top w:val="none" w:sz="0" w:space="0" w:color="auto"/>
            <w:left w:val="none" w:sz="0" w:space="0" w:color="auto"/>
            <w:bottom w:val="none" w:sz="0" w:space="0" w:color="auto"/>
            <w:right w:val="none" w:sz="0" w:space="0" w:color="auto"/>
          </w:divBdr>
          <w:divsChild>
            <w:div w:id="901717069">
              <w:marLeft w:val="0"/>
              <w:marRight w:val="0"/>
              <w:marTop w:val="0"/>
              <w:marBottom w:val="0"/>
              <w:divBdr>
                <w:top w:val="none" w:sz="0" w:space="0" w:color="auto"/>
                <w:left w:val="none" w:sz="0" w:space="0" w:color="auto"/>
                <w:bottom w:val="none" w:sz="0" w:space="0" w:color="auto"/>
                <w:right w:val="none" w:sz="0" w:space="0" w:color="auto"/>
              </w:divBdr>
              <w:divsChild>
                <w:div w:id="1370911190">
                  <w:marLeft w:val="0"/>
                  <w:marRight w:val="0"/>
                  <w:marTop w:val="0"/>
                  <w:marBottom w:val="0"/>
                  <w:divBdr>
                    <w:top w:val="none" w:sz="0" w:space="0" w:color="auto"/>
                    <w:left w:val="none" w:sz="0" w:space="0" w:color="auto"/>
                    <w:bottom w:val="none" w:sz="0" w:space="0" w:color="auto"/>
                    <w:right w:val="none" w:sz="0" w:space="0" w:color="auto"/>
                  </w:divBdr>
                  <w:divsChild>
                    <w:div w:id="1867520834">
                      <w:marLeft w:val="0"/>
                      <w:marRight w:val="0"/>
                      <w:marTop w:val="0"/>
                      <w:marBottom w:val="0"/>
                      <w:divBdr>
                        <w:top w:val="none" w:sz="0" w:space="0" w:color="auto"/>
                        <w:left w:val="none" w:sz="0" w:space="0" w:color="auto"/>
                        <w:bottom w:val="none" w:sz="0" w:space="0" w:color="auto"/>
                        <w:right w:val="none" w:sz="0" w:space="0" w:color="auto"/>
                      </w:divBdr>
                      <w:divsChild>
                        <w:div w:id="394014626">
                          <w:marLeft w:val="0"/>
                          <w:marRight w:val="0"/>
                          <w:marTop w:val="0"/>
                          <w:marBottom w:val="0"/>
                          <w:divBdr>
                            <w:top w:val="none" w:sz="0" w:space="0" w:color="auto"/>
                            <w:left w:val="none" w:sz="0" w:space="0" w:color="auto"/>
                            <w:bottom w:val="none" w:sz="0" w:space="0" w:color="auto"/>
                            <w:right w:val="none" w:sz="0" w:space="0" w:color="auto"/>
                          </w:divBdr>
                          <w:divsChild>
                            <w:div w:id="1592395233">
                              <w:marLeft w:val="0"/>
                              <w:marRight w:val="0"/>
                              <w:marTop w:val="0"/>
                              <w:marBottom w:val="0"/>
                              <w:divBdr>
                                <w:top w:val="none" w:sz="0" w:space="0" w:color="auto"/>
                                <w:left w:val="none" w:sz="0" w:space="0" w:color="auto"/>
                                <w:bottom w:val="none" w:sz="0" w:space="0" w:color="auto"/>
                                <w:right w:val="none" w:sz="0" w:space="0" w:color="auto"/>
                              </w:divBdr>
                              <w:divsChild>
                                <w:div w:id="640156411">
                                  <w:marLeft w:val="0"/>
                                  <w:marRight w:val="0"/>
                                  <w:marTop w:val="0"/>
                                  <w:marBottom w:val="0"/>
                                  <w:divBdr>
                                    <w:top w:val="none" w:sz="0" w:space="0" w:color="auto"/>
                                    <w:left w:val="none" w:sz="0" w:space="0" w:color="auto"/>
                                    <w:bottom w:val="none" w:sz="0" w:space="0" w:color="auto"/>
                                    <w:right w:val="none" w:sz="0" w:space="0" w:color="auto"/>
                                  </w:divBdr>
                                  <w:divsChild>
                                    <w:div w:id="2838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8858378">
      <w:bodyDiv w:val="1"/>
      <w:marLeft w:val="0"/>
      <w:marRight w:val="0"/>
      <w:marTop w:val="0"/>
      <w:marBottom w:val="0"/>
      <w:divBdr>
        <w:top w:val="none" w:sz="0" w:space="0" w:color="auto"/>
        <w:left w:val="none" w:sz="0" w:space="0" w:color="auto"/>
        <w:bottom w:val="none" w:sz="0" w:space="0" w:color="auto"/>
        <w:right w:val="none" w:sz="0" w:space="0" w:color="auto"/>
      </w:divBdr>
    </w:div>
    <w:div w:id="1505127314">
      <w:bodyDiv w:val="1"/>
      <w:marLeft w:val="0"/>
      <w:marRight w:val="0"/>
      <w:marTop w:val="0"/>
      <w:marBottom w:val="0"/>
      <w:divBdr>
        <w:top w:val="none" w:sz="0" w:space="0" w:color="auto"/>
        <w:left w:val="none" w:sz="0" w:space="0" w:color="auto"/>
        <w:bottom w:val="none" w:sz="0" w:space="0" w:color="auto"/>
        <w:right w:val="none" w:sz="0" w:space="0" w:color="auto"/>
      </w:divBdr>
    </w:div>
    <w:div w:id="1508791149">
      <w:bodyDiv w:val="1"/>
      <w:marLeft w:val="0"/>
      <w:marRight w:val="0"/>
      <w:marTop w:val="0"/>
      <w:marBottom w:val="0"/>
      <w:divBdr>
        <w:top w:val="none" w:sz="0" w:space="0" w:color="auto"/>
        <w:left w:val="none" w:sz="0" w:space="0" w:color="auto"/>
        <w:bottom w:val="none" w:sz="0" w:space="0" w:color="auto"/>
        <w:right w:val="none" w:sz="0" w:space="0" w:color="auto"/>
      </w:divBdr>
    </w:div>
    <w:div w:id="1510563833">
      <w:bodyDiv w:val="1"/>
      <w:marLeft w:val="0"/>
      <w:marRight w:val="0"/>
      <w:marTop w:val="0"/>
      <w:marBottom w:val="0"/>
      <w:divBdr>
        <w:top w:val="none" w:sz="0" w:space="0" w:color="auto"/>
        <w:left w:val="none" w:sz="0" w:space="0" w:color="auto"/>
        <w:bottom w:val="none" w:sz="0" w:space="0" w:color="auto"/>
        <w:right w:val="none" w:sz="0" w:space="0" w:color="auto"/>
      </w:divBdr>
    </w:div>
    <w:div w:id="1523206880">
      <w:bodyDiv w:val="1"/>
      <w:marLeft w:val="0"/>
      <w:marRight w:val="0"/>
      <w:marTop w:val="0"/>
      <w:marBottom w:val="0"/>
      <w:divBdr>
        <w:top w:val="none" w:sz="0" w:space="0" w:color="auto"/>
        <w:left w:val="none" w:sz="0" w:space="0" w:color="auto"/>
        <w:bottom w:val="none" w:sz="0" w:space="0" w:color="auto"/>
        <w:right w:val="none" w:sz="0" w:space="0" w:color="auto"/>
      </w:divBdr>
    </w:div>
    <w:div w:id="1535003823">
      <w:bodyDiv w:val="1"/>
      <w:marLeft w:val="0"/>
      <w:marRight w:val="0"/>
      <w:marTop w:val="0"/>
      <w:marBottom w:val="0"/>
      <w:divBdr>
        <w:top w:val="none" w:sz="0" w:space="0" w:color="auto"/>
        <w:left w:val="none" w:sz="0" w:space="0" w:color="auto"/>
        <w:bottom w:val="none" w:sz="0" w:space="0" w:color="auto"/>
        <w:right w:val="none" w:sz="0" w:space="0" w:color="auto"/>
      </w:divBdr>
    </w:div>
    <w:div w:id="1566066043">
      <w:bodyDiv w:val="1"/>
      <w:marLeft w:val="0"/>
      <w:marRight w:val="0"/>
      <w:marTop w:val="0"/>
      <w:marBottom w:val="0"/>
      <w:divBdr>
        <w:top w:val="none" w:sz="0" w:space="0" w:color="auto"/>
        <w:left w:val="none" w:sz="0" w:space="0" w:color="auto"/>
        <w:bottom w:val="none" w:sz="0" w:space="0" w:color="auto"/>
        <w:right w:val="none" w:sz="0" w:space="0" w:color="auto"/>
      </w:divBdr>
    </w:div>
    <w:div w:id="1567956284">
      <w:bodyDiv w:val="1"/>
      <w:marLeft w:val="0"/>
      <w:marRight w:val="0"/>
      <w:marTop w:val="0"/>
      <w:marBottom w:val="0"/>
      <w:divBdr>
        <w:top w:val="none" w:sz="0" w:space="0" w:color="auto"/>
        <w:left w:val="none" w:sz="0" w:space="0" w:color="auto"/>
        <w:bottom w:val="none" w:sz="0" w:space="0" w:color="auto"/>
        <w:right w:val="none" w:sz="0" w:space="0" w:color="auto"/>
      </w:divBdr>
    </w:div>
    <w:div w:id="1568875972">
      <w:bodyDiv w:val="1"/>
      <w:marLeft w:val="0"/>
      <w:marRight w:val="0"/>
      <w:marTop w:val="0"/>
      <w:marBottom w:val="0"/>
      <w:divBdr>
        <w:top w:val="none" w:sz="0" w:space="0" w:color="auto"/>
        <w:left w:val="none" w:sz="0" w:space="0" w:color="auto"/>
        <w:bottom w:val="none" w:sz="0" w:space="0" w:color="auto"/>
        <w:right w:val="none" w:sz="0" w:space="0" w:color="auto"/>
      </w:divBdr>
    </w:div>
    <w:div w:id="1585719808">
      <w:bodyDiv w:val="1"/>
      <w:marLeft w:val="0"/>
      <w:marRight w:val="0"/>
      <w:marTop w:val="0"/>
      <w:marBottom w:val="0"/>
      <w:divBdr>
        <w:top w:val="none" w:sz="0" w:space="0" w:color="auto"/>
        <w:left w:val="none" w:sz="0" w:space="0" w:color="auto"/>
        <w:bottom w:val="none" w:sz="0" w:space="0" w:color="auto"/>
        <w:right w:val="none" w:sz="0" w:space="0" w:color="auto"/>
      </w:divBdr>
    </w:div>
    <w:div w:id="1589272405">
      <w:bodyDiv w:val="1"/>
      <w:marLeft w:val="0"/>
      <w:marRight w:val="0"/>
      <w:marTop w:val="0"/>
      <w:marBottom w:val="0"/>
      <w:divBdr>
        <w:top w:val="none" w:sz="0" w:space="0" w:color="auto"/>
        <w:left w:val="none" w:sz="0" w:space="0" w:color="auto"/>
        <w:bottom w:val="none" w:sz="0" w:space="0" w:color="auto"/>
        <w:right w:val="none" w:sz="0" w:space="0" w:color="auto"/>
      </w:divBdr>
    </w:div>
    <w:div w:id="1591965979">
      <w:bodyDiv w:val="1"/>
      <w:marLeft w:val="0"/>
      <w:marRight w:val="0"/>
      <w:marTop w:val="0"/>
      <w:marBottom w:val="0"/>
      <w:divBdr>
        <w:top w:val="none" w:sz="0" w:space="0" w:color="auto"/>
        <w:left w:val="none" w:sz="0" w:space="0" w:color="auto"/>
        <w:bottom w:val="none" w:sz="0" w:space="0" w:color="auto"/>
        <w:right w:val="none" w:sz="0" w:space="0" w:color="auto"/>
      </w:divBdr>
    </w:div>
    <w:div w:id="1610893084">
      <w:bodyDiv w:val="1"/>
      <w:marLeft w:val="0"/>
      <w:marRight w:val="0"/>
      <w:marTop w:val="0"/>
      <w:marBottom w:val="0"/>
      <w:divBdr>
        <w:top w:val="none" w:sz="0" w:space="0" w:color="auto"/>
        <w:left w:val="none" w:sz="0" w:space="0" w:color="auto"/>
        <w:bottom w:val="none" w:sz="0" w:space="0" w:color="auto"/>
        <w:right w:val="none" w:sz="0" w:space="0" w:color="auto"/>
      </w:divBdr>
    </w:div>
    <w:div w:id="1640527929">
      <w:bodyDiv w:val="1"/>
      <w:marLeft w:val="0"/>
      <w:marRight w:val="0"/>
      <w:marTop w:val="0"/>
      <w:marBottom w:val="0"/>
      <w:divBdr>
        <w:top w:val="none" w:sz="0" w:space="0" w:color="auto"/>
        <w:left w:val="none" w:sz="0" w:space="0" w:color="auto"/>
        <w:bottom w:val="none" w:sz="0" w:space="0" w:color="auto"/>
        <w:right w:val="none" w:sz="0" w:space="0" w:color="auto"/>
      </w:divBdr>
    </w:div>
    <w:div w:id="1643728126">
      <w:bodyDiv w:val="1"/>
      <w:marLeft w:val="0"/>
      <w:marRight w:val="0"/>
      <w:marTop w:val="0"/>
      <w:marBottom w:val="0"/>
      <w:divBdr>
        <w:top w:val="none" w:sz="0" w:space="0" w:color="auto"/>
        <w:left w:val="none" w:sz="0" w:space="0" w:color="auto"/>
        <w:bottom w:val="none" w:sz="0" w:space="0" w:color="auto"/>
        <w:right w:val="none" w:sz="0" w:space="0" w:color="auto"/>
      </w:divBdr>
    </w:div>
    <w:div w:id="1645818006">
      <w:bodyDiv w:val="1"/>
      <w:marLeft w:val="0"/>
      <w:marRight w:val="0"/>
      <w:marTop w:val="0"/>
      <w:marBottom w:val="0"/>
      <w:divBdr>
        <w:top w:val="none" w:sz="0" w:space="0" w:color="auto"/>
        <w:left w:val="none" w:sz="0" w:space="0" w:color="auto"/>
        <w:bottom w:val="none" w:sz="0" w:space="0" w:color="auto"/>
        <w:right w:val="none" w:sz="0" w:space="0" w:color="auto"/>
      </w:divBdr>
    </w:div>
    <w:div w:id="1661107604">
      <w:bodyDiv w:val="1"/>
      <w:marLeft w:val="0"/>
      <w:marRight w:val="0"/>
      <w:marTop w:val="0"/>
      <w:marBottom w:val="0"/>
      <w:divBdr>
        <w:top w:val="none" w:sz="0" w:space="0" w:color="auto"/>
        <w:left w:val="none" w:sz="0" w:space="0" w:color="auto"/>
        <w:bottom w:val="none" w:sz="0" w:space="0" w:color="auto"/>
        <w:right w:val="none" w:sz="0" w:space="0" w:color="auto"/>
      </w:divBdr>
    </w:div>
    <w:div w:id="1662539204">
      <w:bodyDiv w:val="1"/>
      <w:marLeft w:val="0"/>
      <w:marRight w:val="0"/>
      <w:marTop w:val="0"/>
      <w:marBottom w:val="0"/>
      <w:divBdr>
        <w:top w:val="none" w:sz="0" w:space="0" w:color="auto"/>
        <w:left w:val="none" w:sz="0" w:space="0" w:color="auto"/>
        <w:bottom w:val="none" w:sz="0" w:space="0" w:color="auto"/>
        <w:right w:val="none" w:sz="0" w:space="0" w:color="auto"/>
      </w:divBdr>
    </w:div>
    <w:div w:id="1670257805">
      <w:bodyDiv w:val="1"/>
      <w:marLeft w:val="0"/>
      <w:marRight w:val="0"/>
      <w:marTop w:val="0"/>
      <w:marBottom w:val="0"/>
      <w:divBdr>
        <w:top w:val="none" w:sz="0" w:space="0" w:color="auto"/>
        <w:left w:val="none" w:sz="0" w:space="0" w:color="auto"/>
        <w:bottom w:val="none" w:sz="0" w:space="0" w:color="auto"/>
        <w:right w:val="none" w:sz="0" w:space="0" w:color="auto"/>
      </w:divBdr>
    </w:div>
    <w:div w:id="1672641754">
      <w:bodyDiv w:val="1"/>
      <w:marLeft w:val="0"/>
      <w:marRight w:val="0"/>
      <w:marTop w:val="0"/>
      <w:marBottom w:val="0"/>
      <w:divBdr>
        <w:top w:val="none" w:sz="0" w:space="0" w:color="auto"/>
        <w:left w:val="none" w:sz="0" w:space="0" w:color="auto"/>
        <w:bottom w:val="none" w:sz="0" w:space="0" w:color="auto"/>
        <w:right w:val="none" w:sz="0" w:space="0" w:color="auto"/>
      </w:divBdr>
    </w:div>
    <w:div w:id="1694307574">
      <w:bodyDiv w:val="1"/>
      <w:marLeft w:val="0"/>
      <w:marRight w:val="0"/>
      <w:marTop w:val="0"/>
      <w:marBottom w:val="0"/>
      <w:divBdr>
        <w:top w:val="none" w:sz="0" w:space="0" w:color="auto"/>
        <w:left w:val="none" w:sz="0" w:space="0" w:color="auto"/>
        <w:bottom w:val="none" w:sz="0" w:space="0" w:color="auto"/>
        <w:right w:val="none" w:sz="0" w:space="0" w:color="auto"/>
      </w:divBdr>
    </w:div>
    <w:div w:id="1702051626">
      <w:bodyDiv w:val="1"/>
      <w:marLeft w:val="0"/>
      <w:marRight w:val="0"/>
      <w:marTop w:val="0"/>
      <w:marBottom w:val="0"/>
      <w:divBdr>
        <w:top w:val="none" w:sz="0" w:space="0" w:color="auto"/>
        <w:left w:val="none" w:sz="0" w:space="0" w:color="auto"/>
        <w:bottom w:val="none" w:sz="0" w:space="0" w:color="auto"/>
        <w:right w:val="none" w:sz="0" w:space="0" w:color="auto"/>
      </w:divBdr>
    </w:div>
    <w:div w:id="1715229232">
      <w:bodyDiv w:val="1"/>
      <w:marLeft w:val="0"/>
      <w:marRight w:val="0"/>
      <w:marTop w:val="0"/>
      <w:marBottom w:val="0"/>
      <w:divBdr>
        <w:top w:val="none" w:sz="0" w:space="0" w:color="auto"/>
        <w:left w:val="none" w:sz="0" w:space="0" w:color="auto"/>
        <w:bottom w:val="none" w:sz="0" w:space="0" w:color="auto"/>
        <w:right w:val="none" w:sz="0" w:space="0" w:color="auto"/>
      </w:divBdr>
      <w:divsChild>
        <w:div w:id="11781550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7465736">
      <w:bodyDiv w:val="1"/>
      <w:marLeft w:val="0"/>
      <w:marRight w:val="0"/>
      <w:marTop w:val="0"/>
      <w:marBottom w:val="0"/>
      <w:divBdr>
        <w:top w:val="none" w:sz="0" w:space="0" w:color="auto"/>
        <w:left w:val="none" w:sz="0" w:space="0" w:color="auto"/>
        <w:bottom w:val="none" w:sz="0" w:space="0" w:color="auto"/>
        <w:right w:val="none" w:sz="0" w:space="0" w:color="auto"/>
      </w:divBdr>
    </w:div>
    <w:div w:id="1718359031">
      <w:bodyDiv w:val="1"/>
      <w:marLeft w:val="0"/>
      <w:marRight w:val="0"/>
      <w:marTop w:val="0"/>
      <w:marBottom w:val="0"/>
      <w:divBdr>
        <w:top w:val="none" w:sz="0" w:space="0" w:color="auto"/>
        <w:left w:val="none" w:sz="0" w:space="0" w:color="auto"/>
        <w:bottom w:val="none" w:sz="0" w:space="0" w:color="auto"/>
        <w:right w:val="none" w:sz="0" w:space="0" w:color="auto"/>
      </w:divBdr>
    </w:div>
    <w:div w:id="1748844343">
      <w:bodyDiv w:val="1"/>
      <w:marLeft w:val="0"/>
      <w:marRight w:val="0"/>
      <w:marTop w:val="0"/>
      <w:marBottom w:val="0"/>
      <w:divBdr>
        <w:top w:val="none" w:sz="0" w:space="0" w:color="auto"/>
        <w:left w:val="none" w:sz="0" w:space="0" w:color="auto"/>
        <w:bottom w:val="none" w:sz="0" w:space="0" w:color="auto"/>
        <w:right w:val="none" w:sz="0" w:space="0" w:color="auto"/>
      </w:divBdr>
      <w:divsChild>
        <w:div w:id="2038038721">
          <w:marLeft w:val="0"/>
          <w:marRight w:val="0"/>
          <w:marTop w:val="0"/>
          <w:marBottom w:val="0"/>
          <w:divBdr>
            <w:top w:val="none" w:sz="0" w:space="0" w:color="auto"/>
            <w:left w:val="none" w:sz="0" w:space="0" w:color="auto"/>
            <w:bottom w:val="none" w:sz="0" w:space="0" w:color="auto"/>
            <w:right w:val="none" w:sz="0" w:space="0" w:color="auto"/>
          </w:divBdr>
          <w:divsChild>
            <w:div w:id="1652949395">
              <w:marLeft w:val="0"/>
              <w:marRight w:val="0"/>
              <w:marTop w:val="0"/>
              <w:marBottom w:val="0"/>
              <w:divBdr>
                <w:top w:val="none" w:sz="0" w:space="0" w:color="auto"/>
                <w:left w:val="none" w:sz="0" w:space="0" w:color="auto"/>
                <w:bottom w:val="none" w:sz="0" w:space="0" w:color="auto"/>
                <w:right w:val="none" w:sz="0" w:space="0" w:color="auto"/>
              </w:divBdr>
              <w:divsChild>
                <w:div w:id="125855914">
                  <w:marLeft w:val="0"/>
                  <w:marRight w:val="0"/>
                  <w:marTop w:val="0"/>
                  <w:marBottom w:val="0"/>
                  <w:divBdr>
                    <w:top w:val="none" w:sz="0" w:space="0" w:color="auto"/>
                    <w:left w:val="none" w:sz="0" w:space="0" w:color="auto"/>
                    <w:bottom w:val="none" w:sz="0" w:space="0" w:color="auto"/>
                    <w:right w:val="none" w:sz="0" w:space="0" w:color="auto"/>
                  </w:divBdr>
                  <w:divsChild>
                    <w:div w:id="1079600238">
                      <w:marLeft w:val="0"/>
                      <w:marRight w:val="0"/>
                      <w:marTop w:val="0"/>
                      <w:marBottom w:val="0"/>
                      <w:divBdr>
                        <w:top w:val="none" w:sz="0" w:space="0" w:color="auto"/>
                        <w:left w:val="none" w:sz="0" w:space="0" w:color="auto"/>
                        <w:bottom w:val="none" w:sz="0" w:space="0" w:color="auto"/>
                        <w:right w:val="none" w:sz="0" w:space="0" w:color="auto"/>
                      </w:divBdr>
                      <w:divsChild>
                        <w:div w:id="75841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5473999">
      <w:bodyDiv w:val="1"/>
      <w:marLeft w:val="0"/>
      <w:marRight w:val="0"/>
      <w:marTop w:val="0"/>
      <w:marBottom w:val="0"/>
      <w:divBdr>
        <w:top w:val="none" w:sz="0" w:space="0" w:color="auto"/>
        <w:left w:val="none" w:sz="0" w:space="0" w:color="auto"/>
        <w:bottom w:val="none" w:sz="0" w:space="0" w:color="auto"/>
        <w:right w:val="none" w:sz="0" w:space="0" w:color="auto"/>
      </w:divBdr>
    </w:div>
    <w:div w:id="1756584230">
      <w:bodyDiv w:val="1"/>
      <w:marLeft w:val="0"/>
      <w:marRight w:val="0"/>
      <w:marTop w:val="0"/>
      <w:marBottom w:val="0"/>
      <w:divBdr>
        <w:top w:val="none" w:sz="0" w:space="0" w:color="auto"/>
        <w:left w:val="none" w:sz="0" w:space="0" w:color="auto"/>
        <w:bottom w:val="none" w:sz="0" w:space="0" w:color="auto"/>
        <w:right w:val="none" w:sz="0" w:space="0" w:color="auto"/>
      </w:divBdr>
    </w:div>
    <w:div w:id="1763985664">
      <w:bodyDiv w:val="1"/>
      <w:marLeft w:val="0"/>
      <w:marRight w:val="0"/>
      <w:marTop w:val="0"/>
      <w:marBottom w:val="0"/>
      <w:divBdr>
        <w:top w:val="none" w:sz="0" w:space="0" w:color="auto"/>
        <w:left w:val="none" w:sz="0" w:space="0" w:color="auto"/>
        <w:bottom w:val="none" w:sz="0" w:space="0" w:color="auto"/>
        <w:right w:val="none" w:sz="0" w:space="0" w:color="auto"/>
      </w:divBdr>
    </w:div>
    <w:div w:id="1765034838">
      <w:bodyDiv w:val="1"/>
      <w:marLeft w:val="0"/>
      <w:marRight w:val="0"/>
      <w:marTop w:val="0"/>
      <w:marBottom w:val="0"/>
      <w:divBdr>
        <w:top w:val="none" w:sz="0" w:space="0" w:color="auto"/>
        <w:left w:val="none" w:sz="0" w:space="0" w:color="auto"/>
        <w:bottom w:val="none" w:sz="0" w:space="0" w:color="auto"/>
        <w:right w:val="none" w:sz="0" w:space="0" w:color="auto"/>
      </w:divBdr>
    </w:div>
    <w:div w:id="1765422240">
      <w:bodyDiv w:val="1"/>
      <w:marLeft w:val="0"/>
      <w:marRight w:val="0"/>
      <w:marTop w:val="0"/>
      <w:marBottom w:val="0"/>
      <w:divBdr>
        <w:top w:val="none" w:sz="0" w:space="0" w:color="auto"/>
        <w:left w:val="none" w:sz="0" w:space="0" w:color="auto"/>
        <w:bottom w:val="none" w:sz="0" w:space="0" w:color="auto"/>
        <w:right w:val="none" w:sz="0" w:space="0" w:color="auto"/>
      </w:divBdr>
    </w:div>
    <w:div w:id="1766421473">
      <w:bodyDiv w:val="1"/>
      <w:marLeft w:val="0"/>
      <w:marRight w:val="0"/>
      <w:marTop w:val="0"/>
      <w:marBottom w:val="0"/>
      <w:divBdr>
        <w:top w:val="none" w:sz="0" w:space="0" w:color="auto"/>
        <w:left w:val="none" w:sz="0" w:space="0" w:color="auto"/>
        <w:bottom w:val="none" w:sz="0" w:space="0" w:color="auto"/>
        <w:right w:val="none" w:sz="0" w:space="0" w:color="auto"/>
      </w:divBdr>
    </w:div>
    <w:div w:id="1777796288">
      <w:bodyDiv w:val="1"/>
      <w:marLeft w:val="0"/>
      <w:marRight w:val="0"/>
      <w:marTop w:val="0"/>
      <w:marBottom w:val="0"/>
      <w:divBdr>
        <w:top w:val="none" w:sz="0" w:space="0" w:color="auto"/>
        <w:left w:val="none" w:sz="0" w:space="0" w:color="auto"/>
        <w:bottom w:val="none" w:sz="0" w:space="0" w:color="auto"/>
        <w:right w:val="none" w:sz="0" w:space="0" w:color="auto"/>
      </w:divBdr>
    </w:div>
    <w:div w:id="1787237245">
      <w:bodyDiv w:val="1"/>
      <w:marLeft w:val="0"/>
      <w:marRight w:val="0"/>
      <w:marTop w:val="0"/>
      <w:marBottom w:val="0"/>
      <w:divBdr>
        <w:top w:val="none" w:sz="0" w:space="0" w:color="auto"/>
        <w:left w:val="none" w:sz="0" w:space="0" w:color="auto"/>
        <w:bottom w:val="none" w:sz="0" w:space="0" w:color="auto"/>
        <w:right w:val="none" w:sz="0" w:space="0" w:color="auto"/>
      </w:divBdr>
    </w:div>
    <w:div w:id="1804927321">
      <w:bodyDiv w:val="1"/>
      <w:marLeft w:val="0"/>
      <w:marRight w:val="0"/>
      <w:marTop w:val="0"/>
      <w:marBottom w:val="0"/>
      <w:divBdr>
        <w:top w:val="none" w:sz="0" w:space="0" w:color="auto"/>
        <w:left w:val="none" w:sz="0" w:space="0" w:color="auto"/>
        <w:bottom w:val="none" w:sz="0" w:space="0" w:color="auto"/>
        <w:right w:val="none" w:sz="0" w:space="0" w:color="auto"/>
      </w:divBdr>
    </w:div>
    <w:div w:id="1806661376">
      <w:bodyDiv w:val="1"/>
      <w:marLeft w:val="0"/>
      <w:marRight w:val="0"/>
      <w:marTop w:val="0"/>
      <w:marBottom w:val="0"/>
      <w:divBdr>
        <w:top w:val="none" w:sz="0" w:space="0" w:color="auto"/>
        <w:left w:val="none" w:sz="0" w:space="0" w:color="auto"/>
        <w:bottom w:val="none" w:sz="0" w:space="0" w:color="auto"/>
        <w:right w:val="none" w:sz="0" w:space="0" w:color="auto"/>
      </w:divBdr>
    </w:div>
    <w:div w:id="1817254983">
      <w:bodyDiv w:val="1"/>
      <w:marLeft w:val="0"/>
      <w:marRight w:val="0"/>
      <w:marTop w:val="0"/>
      <w:marBottom w:val="0"/>
      <w:divBdr>
        <w:top w:val="none" w:sz="0" w:space="0" w:color="auto"/>
        <w:left w:val="none" w:sz="0" w:space="0" w:color="auto"/>
        <w:bottom w:val="none" w:sz="0" w:space="0" w:color="auto"/>
        <w:right w:val="none" w:sz="0" w:space="0" w:color="auto"/>
      </w:divBdr>
    </w:div>
    <w:div w:id="1825272438">
      <w:bodyDiv w:val="1"/>
      <w:marLeft w:val="0"/>
      <w:marRight w:val="0"/>
      <w:marTop w:val="0"/>
      <w:marBottom w:val="0"/>
      <w:divBdr>
        <w:top w:val="none" w:sz="0" w:space="0" w:color="auto"/>
        <w:left w:val="none" w:sz="0" w:space="0" w:color="auto"/>
        <w:bottom w:val="none" w:sz="0" w:space="0" w:color="auto"/>
        <w:right w:val="none" w:sz="0" w:space="0" w:color="auto"/>
      </w:divBdr>
    </w:div>
    <w:div w:id="1830098664">
      <w:bodyDiv w:val="1"/>
      <w:marLeft w:val="0"/>
      <w:marRight w:val="0"/>
      <w:marTop w:val="0"/>
      <w:marBottom w:val="0"/>
      <w:divBdr>
        <w:top w:val="none" w:sz="0" w:space="0" w:color="auto"/>
        <w:left w:val="none" w:sz="0" w:space="0" w:color="auto"/>
        <w:bottom w:val="none" w:sz="0" w:space="0" w:color="auto"/>
        <w:right w:val="none" w:sz="0" w:space="0" w:color="auto"/>
      </w:divBdr>
    </w:div>
    <w:div w:id="1837257297">
      <w:bodyDiv w:val="1"/>
      <w:marLeft w:val="0"/>
      <w:marRight w:val="0"/>
      <w:marTop w:val="0"/>
      <w:marBottom w:val="0"/>
      <w:divBdr>
        <w:top w:val="none" w:sz="0" w:space="0" w:color="auto"/>
        <w:left w:val="none" w:sz="0" w:space="0" w:color="auto"/>
        <w:bottom w:val="none" w:sz="0" w:space="0" w:color="auto"/>
        <w:right w:val="none" w:sz="0" w:space="0" w:color="auto"/>
      </w:divBdr>
    </w:div>
    <w:div w:id="1837456561">
      <w:bodyDiv w:val="1"/>
      <w:marLeft w:val="0"/>
      <w:marRight w:val="0"/>
      <w:marTop w:val="0"/>
      <w:marBottom w:val="0"/>
      <w:divBdr>
        <w:top w:val="none" w:sz="0" w:space="0" w:color="auto"/>
        <w:left w:val="none" w:sz="0" w:space="0" w:color="auto"/>
        <w:bottom w:val="none" w:sz="0" w:space="0" w:color="auto"/>
        <w:right w:val="none" w:sz="0" w:space="0" w:color="auto"/>
      </w:divBdr>
    </w:div>
    <w:div w:id="1845049552">
      <w:bodyDiv w:val="1"/>
      <w:marLeft w:val="0"/>
      <w:marRight w:val="0"/>
      <w:marTop w:val="0"/>
      <w:marBottom w:val="0"/>
      <w:divBdr>
        <w:top w:val="none" w:sz="0" w:space="0" w:color="auto"/>
        <w:left w:val="none" w:sz="0" w:space="0" w:color="auto"/>
        <w:bottom w:val="none" w:sz="0" w:space="0" w:color="auto"/>
        <w:right w:val="none" w:sz="0" w:space="0" w:color="auto"/>
      </w:divBdr>
    </w:div>
    <w:div w:id="1852336523">
      <w:bodyDiv w:val="1"/>
      <w:marLeft w:val="0"/>
      <w:marRight w:val="0"/>
      <w:marTop w:val="0"/>
      <w:marBottom w:val="0"/>
      <w:divBdr>
        <w:top w:val="none" w:sz="0" w:space="0" w:color="auto"/>
        <w:left w:val="none" w:sz="0" w:space="0" w:color="auto"/>
        <w:bottom w:val="none" w:sz="0" w:space="0" w:color="auto"/>
        <w:right w:val="none" w:sz="0" w:space="0" w:color="auto"/>
      </w:divBdr>
    </w:div>
    <w:div w:id="1855143419">
      <w:bodyDiv w:val="1"/>
      <w:marLeft w:val="0"/>
      <w:marRight w:val="0"/>
      <w:marTop w:val="0"/>
      <w:marBottom w:val="0"/>
      <w:divBdr>
        <w:top w:val="none" w:sz="0" w:space="0" w:color="auto"/>
        <w:left w:val="none" w:sz="0" w:space="0" w:color="auto"/>
        <w:bottom w:val="none" w:sz="0" w:space="0" w:color="auto"/>
        <w:right w:val="none" w:sz="0" w:space="0" w:color="auto"/>
      </w:divBdr>
    </w:div>
    <w:div w:id="1855992146">
      <w:bodyDiv w:val="1"/>
      <w:marLeft w:val="0"/>
      <w:marRight w:val="0"/>
      <w:marTop w:val="0"/>
      <w:marBottom w:val="0"/>
      <w:divBdr>
        <w:top w:val="none" w:sz="0" w:space="0" w:color="auto"/>
        <w:left w:val="none" w:sz="0" w:space="0" w:color="auto"/>
        <w:bottom w:val="none" w:sz="0" w:space="0" w:color="auto"/>
        <w:right w:val="none" w:sz="0" w:space="0" w:color="auto"/>
      </w:divBdr>
    </w:div>
    <w:div w:id="1864706434">
      <w:bodyDiv w:val="1"/>
      <w:marLeft w:val="0"/>
      <w:marRight w:val="0"/>
      <w:marTop w:val="0"/>
      <w:marBottom w:val="0"/>
      <w:divBdr>
        <w:top w:val="none" w:sz="0" w:space="0" w:color="auto"/>
        <w:left w:val="none" w:sz="0" w:space="0" w:color="auto"/>
        <w:bottom w:val="none" w:sz="0" w:space="0" w:color="auto"/>
        <w:right w:val="none" w:sz="0" w:space="0" w:color="auto"/>
      </w:divBdr>
    </w:div>
    <w:div w:id="1868172423">
      <w:bodyDiv w:val="1"/>
      <w:marLeft w:val="0"/>
      <w:marRight w:val="0"/>
      <w:marTop w:val="0"/>
      <w:marBottom w:val="0"/>
      <w:divBdr>
        <w:top w:val="none" w:sz="0" w:space="0" w:color="auto"/>
        <w:left w:val="none" w:sz="0" w:space="0" w:color="auto"/>
        <w:bottom w:val="none" w:sz="0" w:space="0" w:color="auto"/>
        <w:right w:val="none" w:sz="0" w:space="0" w:color="auto"/>
      </w:divBdr>
    </w:div>
    <w:div w:id="1876842117">
      <w:bodyDiv w:val="1"/>
      <w:marLeft w:val="0"/>
      <w:marRight w:val="0"/>
      <w:marTop w:val="0"/>
      <w:marBottom w:val="0"/>
      <w:divBdr>
        <w:top w:val="none" w:sz="0" w:space="0" w:color="auto"/>
        <w:left w:val="none" w:sz="0" w:space="0" w:color="auto"/>
        <w:bottom w:val="none" w:sz="0" w:space="0" w:color="auto"/>
        <w:right w:val="none" w:sz="0" w:space="0" w:color="auto"/>
      </w:divBdr>
    </w:div>
    <w:div w:id="1880627613">
      <w:bodyDiv w:val="1"/>
      <w:marLeft w:val="0"/>
      <w:marRight w:val="0"/>
      <w:marTop w:val="0"/>
      <w:marBottom w:val="0"/>
      <w:divBdr>
        <w:top w:val="none" w:sz="0" w:space="0" w:color="auto"/>
        <w:left w:val="none" w:sz="0" w:space="0" w:color="auto"/>
        <w:bottom w:val="none" w:sz="0" w:space="0" w:color="auto"/>
        <w:right w:val="none" w:sz="0" w:space="0" w:color="auto"/>
      </w:divBdr>
    </w:div>
    <w:div w:id="1884125332">
      <w:bodyDiv w:val="1"/>
      <w:marLeft w:val="0"/>
      <w:marRight w:val="0"/>
      <w:marTop w:val="0"/>
      <w:marBottom w:val="0"/>
      <w:divBdr>
        <w:top w:val="none" w:sz="0" w:space="0" w:color="auto"/>
        <w:left w:val="none" w:sz="0" w:space="0" w:color="auto"/>
        <w:bottom w:val="none" w:sz="0" w:space="0" w:color="auto"/>
        <w:right w:val="none" w:sz="0" w:space="0" w:color="auto"/>
      </w:divBdr>
    </w:div>
    <w:div w:id="1887327757">
      <w:bodyDiv w:val="1"/>
      <w:marLeft w:val="0"/>
      <w:marRight w:val="0"/>
      <w:marTop w:val="0"/>
      <w:marBottom w:val="0"/>
      <w:divBdr>
        <w:top w:val="none" w:sz="0" w:space="0" w:color="auto"/>
        <w:left w:val="none" w:sz="0" w:space="0" w:color="auto"/>
        <w:bottom w:val="none" w:sz="0" w:space="0" w:color="auto"/>
        <w:right w:val="none" w:sz="0" w:space="0" w:color="auto"/>
      </w:divBdr>
    </w:div>
    <w:div w:id="1894001495">
      <w:bodyDiv w:val="1"/>
      <w:marLeft w:val="0"/>
      <w:marRight w:val="0"/>
      <w:marTop w:val="0"/>
      <w:marBottom w:val="0"/>
      <w:divBdr>
        <w:top w:val="none" w:sz="0" w:space="0" w:color="auto"/>
        <w:left w:val="none" w:sz="0" w:space="0" w:color="auto"/>
        <w:bottom w:val="none" w:sz="0" w:space="0" w:color="auto"/>
        <w:right w:val="none" w:sz="0" w:space="0" w:color="auto"/>
      </w:divBdr>
    </w:div>
    <w:div w:id="1904368187">
      <w:bodyDiv w:val="1"/>
      <w:marLeft w:val="0"/>
      <w:marRight w:val="0"/>
      <w:marTop w:val="0"/>
      <w:marBottom w:val="0"/>
      <w:divBdr>
        <w:top w:val="none" w:sz="0" w:space="0" w:color="auto"/>
        <w:left w:val="none" w:sz="0" w:space="0" w:color="auto"/>
        <w:bottom w:val="none" w:sz="0" w:space="0" w:color="auto"/>
        <w:right w:val="none" w:sz="0" w:space="0" w:color="auto"/>
      </w:divBdr>
    </w:div>
    <w:div w:id="1906333116">
      <w:bodyDiv w:val="1"/>
      <w:marLeft w:val="0"/>
      <w:marRight w:val="0"/>
      <w:marTop w:val="0"/>
      <w:marBottom w:val="0"/>
      <w:divBdr>
        <w:top w:val="none" w:sz="0" w:space="0" w:color="auto"/>
        <w:left w:val="none" w:sz="0" w:space="0" w:color="auto"/>
        <w:bottom w:val="none" w:sz="0" w:space="0" w:color="auto"/>
        <w:right w:val="none" w:sz="0" w:space="0" w:color="auto"/>
      </w:divBdr>
    </w:div>
    <w:div w:id="1906526473">
      <w:bodyDiv w:val="1"/>
      <w:marLeft w:val="0"/>
      <w:marRight w:val="0"/>
      <w:marTop w:val="0"/>
      <w:marBottom w:val="0"/>
      <w:divBdr>
        <w:top w:val="none" w:sz="0" w:space="0" w:color="auto"/>
        <w:left w:val="none" w:sz="0" w:space="0" w:color="auto"/>
        <w:bottom w:val="none" w:sz="0" w:space="0" w:color="auto"/>
        <w:right w:val="none" w:sz="0" w:space="0" w:color="auto"/>
      </w:divBdr>
    </w:div>
    <w:div w:id="1911427082">
      <w:bodyDiv w:val="1"/>
      <w:marLeft w:val="0"/>
      <w:marRight w:val="0"/>
      <w:marTop w:val="0"/>
      <w:marBottom w:val="0"/>
      <w:divBdr>
        <w:top w:val="none" w:sz="0" w:space="0" w:color="auto"/>
        <w:left w:val="none" w:sz="0" w:space="0" w:color="auto"/>
        <w:bottom w:val="none" w:sz="0" w:space="0" w:color="auto"/>
        <w:right w:val="none" w:sz="0" w:space="0" w:color="auto"/>
      </w:divBdr>
    </w:div>
    <w:div w:id="1923560619">
      <w:bodyDiv w:val="1"/>
      <w:marLeft w:val="0"/>
      <w:marRight w:val="0"/>
      <w:marTop w:val="0"/>
      <w:marBottom w:val="0"/>
      <w:divBdr>
        <w:top w:val="none" w:sz="0" w:space="0" w:color="auto"/>
        <w:left w:val="none" w:sz="0" w:space="0" w:color="auto"/>
        <w:bottom w:val="none" w:sz="0" w:space="0" w:color="auto"/>
        <w:right w:val="none" w:sz="0" w:space="0" w:color="auto"/>
      </w:divBdr>
    </w:div>
    <w:div w:id="1934700284">
      <w:bodyDiv w:val="1"/>
      <w:marLeft w:val="0"/>
      <w:marRight w:val="0"/>
      <w:marTop w:val="0"/>
      <w:marBottom w:val="0"/>
      <w:divBdr>
        <w:top w:val="none" w:sz="0" w:space="0" w:color="auto"/>
        <w:left w:val="none" w:sz="0" w:space="0" w:color="auto"/>
        <w:bottom w:val="none" w:sz="0" w:space="0" w:color="auto"/>
        <w:right w:val="none" w:sz="0" w:space="0" w:color="auto"/>
      </w:divBdr>
      <w:divsChild>
        <w:div w:id="231086482">
          <w:marLeft w:val="0"/>
          <w:marRight w:val="0"/>
          <w:marTop w:val="0"/>
          <w:marBottom w:val="0"/>
          <w:divBdr>
            <w:top w:val="none" w:sz="0" w:space="0" w:color="auto"/>
            <w:left w:val="none" w:sz="0" w:space="0" w:color="auto"/>
            <w:bottom w:val="none" w:sz="0" w:space="0" w:color="auto"/>
            <w:right w:val="none" w:sz="0" w:space="0" w:color="auto"/>
          </w:divBdr>
        </w:div>
        <w:div w:id="309867002">
          <w:marLeft w:val="0"/>
          <w:marRight w:val="0"/>
          <w:marTop w:val="0"/>
          <w:marBottom w:val="0"/>
          <w:divBdr>
            <w:top w:val="none" w:sz="0" w:space="0" w:color="auto"/>
            <w:left w:val="none" w:sz="0" w:space="0" w:color="auto"/>
            <w:bottom w:val="none" w:sz="0" w:space="0" w:color="auto"/>
            <w:right w:val="none" w:sz="0" w:space="0" w:color="auto"/>
          </w:divBdr>
        </w:div>
        <w:div w:id="536090449">
          <w:marLeft w:val="0"/>
          <w:marRight w:val="0"/>
          <w:marTop w:val="0"/>
          <w:marBottom w:val="0"/>
          <w:divBdr>
            <w:top w:val="none" w:sz="0" w:space="0" w:color="auto"/>
            <w:left w:val="none" w:sz="0" w:space="0" w:color="auto"/>
            <w:bottom w:val="none" w:sz="0" w:space="0" w:color="auto"/>
            <w:right w:val="none" w:sz="0" w:space="0" w:color="auto"/>
          </w:divBdr>
        </w:div>
        <w:div w:id="905726155">
          <w:marLeft w:val="0"/>
          <w:marRight w:val="0"/>
          <w:marTop w:val="0"/>
          <w:marBottom w:val="0"/>
          <w:divBdr>
            <w:top w:val="none" w:sz="0" w:space="0" w:color="auto"/>
            <w:left w:val="none" w:sz="0" w:space="0" w:color="auto"/>
            <w:bottom w:val="none" w:sz="0" w:space="0" w:color="auto"/>
            <w:right w:val="none" w:sz="0" w:space="0" w:color="auto"/>
          </w:divBdr>
        </w:div>
        <w:div w:id="1764496089">
          <w:marLeft w:val="0"/>
          <w:marRight w:val="0"/>
          <w:marTop w:val="0"/>
          <w:marBottom w:val="0"/>
          <w:divBdr>
            <w:top w:val="none" w:sz="0" w:space="0" w:color="auto"/>
            <w:left w:val="none" w:sz="0" w:space="0" w:color="auto"/>
            <w:bottom w:val="none" w:sz="0" w:space="0" w:color="auto"/>
            <w:right w:val="none" w:sz="0" w:space="0" w:color="auto"/>
          </w:divBdr>
        </w:div>
      </w:divsChild>
    </w:div>
    <w:div w:id="1935238862">
      <w:bodyDiv w:val="1"/>
      <w:marLeft w:val="0"/>
      <w:marRight w:val="0"/>
      <w:marTop w:val="0"/>
      <w:marBottom w:val="0"/>
      <w:divBdr>
        <w:top w:val="none" w:sz="0" w:space="0" w:color="auto"/>
        <w:left w:val="none" w:sz="0" w:space="0" w:color="auto"/>
        <w:bottom w:val="none" w:sz="0" w:space="0" w:color="auto"/>
        <w:right w:val="none" w:sz="0" w:space="0" w:color="auto"/>
      </w:divBdr>
    </w:div>
    <w:div w:id="1948733828">
      <w:bodyDiv w:val="1"/>
      <w:marLeft w:val="0"/>
      <w:marRight w:val="0"/>
      <w:marTop w:val="0"/>
      <w:marBottom w:val="0"/>
      <w:divBdr>
        <w:top w:val="none" w:sz="0" w:space="0" w:color="auto"/>
        <w:left w:val="none" w:sz="0" w:space="0" w:color="auto"/>
        <w:bottom w:val="none" w:sz="0" w:space="0" w:color="auto"/>
        <w:right w:val="none" w:sz="0" w:space="0" w:color="auto"/>
      </w:divBdr>
    </w:div>
    <w:div w:id="1965578002">
      <w:bodyDiv w:val="1"/>
      <w:marLeft w:val="0"/>
      <w:marRight w:val="0"/>
      <w:marTop w:val="0"/>
      <w:marBottom w:val="0"/>
      <w:divBdr>
        <w:top w:val="none" w:sz="0" w:space="0" w:color="auto"/>
        <w:left w:val="none" w:sz="0" w:space="0" w:color="auto"/>
        <w:bottom w:val="none" w:sz="0" w:space="0" w:color="auto"/>
        <w:right w:val="none" w:sz="0" w:space="0" w:color="auto"/>
      </w:divBdr>
    </w:div>
    <w:div w:id="1968731011">
      <w:bodyDiv w:val="1"/>
      <w:marLeft w:val="0"/>
      <w:marRight w:val="0"/>
      <w:marTop w:val="0"/>
      <w:marBottom w:val="0"/>
      <w:divBdr>
        <w:top w:val="none" w:sz="0" w:space="0" w:color="auto"/>
        <w:left w:val="none" w:sz="0" w:space="0" w:color="auto"/>
        <w:bottom w:val="none" w:sz="0" w:space="0" w:color="auto"/>
        <w:right w:val="none" w:sz="0" w:space="0" w:color="auto"/>
      </w:divBdr>
    </w:div>
    <w:div w:id="1975282943">
      <w:bodyDiv w:val="1"/>
      <w:marLeft w:val="0"/>
      <w:marRight w:val="0"/>
      <w:marTop w:val="0"/>
      <w:marBottom w:val="0"/>
      <w:divBdr>
        <w:top w:val="none" w:sz="0" w:space="0" w:color="auto"/>
        <w:left w:val="none" w:sz="0" w:space="0" w:color="auto"/>
        <w:bottom w:val="none" w:sz="0" w:space="0" w:color="auto"/>
        <w:right w:val="none" w:sz="0" w:space="0" w:color="auto"/>
      </w:divBdr>
    </w:div>
    <w:div w:id="1978757782">
      <w:bodyDiv w:val="1"/>
      <w:marLeft w:val="0"/>
      <w:marRight w:val="0"/>
      <w:marTop w:val="0"/>
      <w:marBottom w:val="0"/>
      <w:divBdr>
        <w:top w:val="none" w:sz="0" w:space="0" w:color="auto"/>
        <w:left w:val="none" w:sz="0" w:space="0" w:color="auto"/>
        <w:bottom w:val="none" w:sz="0" w:space="0" w:color="auto"/>
        <w:right w:val="none" w:sz="0" w:space="0" w:color="auto"/>
      </w:divBdr>
    </w:div>
    <w:div w:id="1986158543">
      <w:bodyDiv w:val="1"/>
      <w:marLeft w:val="0"/>
      <w:marRight w:val="0"/>
      <w:marTop w:val="0"/>
      <w:marBottom w:val="0"/>
      <w:divBdr>
        <w:top w:val="none" w:sz="0" w:space="0" w:color="auto"/>
        <w:left w:val="none" w:sz="0" w:space="0" w:color="auto"/>
        <w:bottom w:val="none" w:sz="0" w:space="0" w:color="auto"/>
        <w:right w:val="none" w:sz="0" w:space="0" w:color="auto"/>
      </w:divBdr>
    </w:div>
    <w:div w:id="1988897950">
      <w:bodyDiv w:val="1"/>
      <w:marLeft w:val="0"/>
      <w:marRight w:val="0"/>
      <w:marTop w:val="0"/>
      <w:marBottom w:val="0"/>
      <w:divBdr>
        <w:top w:val="none" w:sz="0" w:space="0" w:color="auto"/>
        <w:left w:val="none" w:sz="0" w:space="0" w:color="auto"/>
        <w:bottom w:val="none" w:sz="0" w:space="0" w:color="auto"/>
        <w:right w:val="none" w:sz="0" w:space="0" w:color="auto"/>
      </w:divBdr>
    </w:div>
    <w:div w:id="1999307775">
      <w:bodyDiv w:val="1"/>
      <w:marLeft w:val="0"/>
      <w:marRight w:val="0"/>
      <w:marTop w:val="0"/>
      <w:marBottom w:val="0"/>
      <w:divBdr>
        <w:top w:val="none" w:sz="0" w:space="0" w:color="auto"/>
        <w:left w:val="none" w:sz="0" w:space="0" w:color="auto"/>
        <w:bottom w:val="none" w:sz="0" w:space="0" w:color="auto"/>
        <w:right w:val="none" w:sz="0" w:space="0" w:color="auto"/>
      </w:divBdr>
      <w:divsChild>
        <w:div w:id="283268235">
          <w:marLeft w:val="547"/>
          <w:marRight w:val="0"/>
          <w:marTop w:val="200"/>
          <w:marBottom w:val="0"/>
          <w:divBdr>
            <w:top w:val="none" w:sz="0" w:space="0" w:color="auto"/>
            <w:left w:val="none" w:sz="0" w:space="0" w:color="auto"/>
            <w:bottom w:val="none" w:sz="0" w:space="0" w:color="auto"/>
            <w:right w:val="none" w:sz="0" w:space="0" w:color="auto"/>
          </w:divBdr>
        </w:div>
      </w:divsChild>
    </w:div>
    <w:div w:id="2001419628">
      <w:bodyDiv w:val="1"/>
      <w:marLeft w:val="0"/>
      <w:marRight w:val="0"/>
      <w:marTop w:val="0"/>
      <w:marBottom w:val="0"/>
      <w:divBdr>
        <w:top w:val="none" w:sz="0" w:space="0" w:color="auto"/>
        <w:left w:val="none" w:sz="0" w:space="0" w:color="auto"/>
        <w:bottom w:val="none" w:sz="0" w:space="0" w:color="auto"/>
        <w:right w:val="none" w:sz="0" w:space="0" w:color="auto"/>
      </w:divBdr>
    </w:div>
    <w:div w:id="2010401140">
      <w:bodyDiv w:val="1"/>
      <w:marLeft w:val="0"/>
      <w:marRight w:val="0"/>
      <w:marTop w:val="0"/>
      <w:marBottom w:val="0"/>
      <w:divBdr>
        <w:top w:val="none" w:sz="0" w:space="0" w:color="auto"/>
        <w:left w:val="none" w:sz="0" w:space="0" w:color="auto"/>
        <w:bottom w:val="none" w:sz="0" w:space="0" w:color="auto"/>
        <w:right w:val="none" w:sz="0" w:space="0" w:color="auto"/>
      </w:divBdr>
    </w:div>
    <w:div w:id="2019917386">
      <w:bodyDiv w:val="1"/>
      <w:marLeft w:val="0"/>
      <w:marRight w:val="0"/>
      <w:marTop w:val="0"/>
      <w:marBottom w:val="0"/>
      <w:divBdr>
        <w:top w:val="none" w:sz="0" w:space="0" w:color="auto"/>
        <w:left w:val="none" w:sz="0" w:space="0" w:color="auto"/>
        <w:bottom w:val="none" w:sz="0" w:space="0" w:color="auto"/>
        <w:right w:val="none" w:sz="0" w:space="0" w:color="auto"/>
      </w:divBdr>
    </w:div>
    <w:div w:id="2020497117">
      <w:bodyDiv w:val="1"/>
      <w:marLeft w:val="0"/>
      <w:marRight w:val="0"/>
      <w:marTop w:val="0"/>
      <w:marBottom w:val="0"/>
      <w:divBdr>
        <w:top w:val="none" w:sz="0" w:space="0" w:color="auto"/>
        <w:left w:val="none" w:sz="0" w:space="0" w:color="auto"/>
        <w:bottom w:val="none" w:sz="0" w:space="0" w:color="auto"/>
        <w:right w:val="none" w:sz="0" w:space="0" w:color="auto"/>
      </w:divBdr>
    </w:div>
    <w:div w:id="2022468916">
      <w:bodyDiv w:val="1"/>
      <w:marLeft w:val="0"/>
      <w:marRight w:val="0"/>
      <w:marTop w:val="0"/>
      <w:marBottom w:val="0"/>
      <w:divBdr>
        <w:top w:val="none" w:sz="0" w:space="0" w:color="auto"/>
        <w:left w:val="none" w:sz="0" w:space="0" w:color="auto"/>
        <w:bottom w:val="none" w:sz="0" w:space="0" w:color="auto"/>
        <w:right w:val="none" w:sz="0" w:space="0" w:color="auto"/>
      </w:divBdr>
    </w:div>
    <w:div w:id="2026439679">
      <w:bodyDiv w:val="1"/>
      <w:marLeft w:val="0"/>
      <w:marRight w:val="0"/>
      <w:marTop w:val="0"/>
      <w:marBottom w:val="0"/>
      <w:divBdr>
        <w:top w:val="none" w:sz="0" w:space="0" w:color="auto"/>
        <w:left w:val="none" w:sz="0" w:space="0" w:color="auto"/>
        <w:bottom w:val="none" w:sz="0" w:space="0" w:color="auto"/>
        <w:right w:val="none" w:sz="0" w:space="0" w:color="auto"/>
      </w:divBdr>
    </w:div>
    <w:div w:id="2034726539">
      <w:bodyDiv w:val="1"/>
      <w:marLeft w:val="0"/>
      <w:marRight w:val="0"/>
      <w:marTop w:val="0"/>
      <w:marBottom w:val="0"/>
      <w:divBdr>
        <w:top w:val="none" w:sz="0" w:space="0" w:color="auto"/>
        <w:left w:val="none" w:sz="0" w:space="0" w:color="auto"/>
        <w:bottom w:val="none" w:sz="0" w:space="0" w:color="auto"/>
        <w:right w:val="none" w:sz="0" w:space="0" w:color="auto"/>
      </w:divBdr>
    </w:div>
    <w:div w:id="2040424035">
      <w:bodyDiv w:val="1"/>
      <w:marLeft w:val="0"/>
      <w:marRight w:val="0"/>
      <w:marTop w:val="0"/>
      <w:marBottom w:val="0"/>
      <w:divBdr>
        <w:top w:val="none" w:sz="0" w:space="0" w:color="auto"/>
        <w:left w:val="none" w:sz="0" w:space="0" w:color="auto"/>
        <w:bottom w:val="none" w:sz="0" w:space="0" w:color="auto"/>
        <w:right w:val="none" w:sz="0" w:space="0" w:color="auto"/>
      </w:divBdr>
    </w:div>
    <w:div w:id="2077778389">
      <w:bodyDiv w:val="1"/>
      <w:marLeft w:val="0"/>
      <w:marRight w:val="0"/>
      <w:marTop w:val="0"/>
      <w:marBottom w:val="0"/>
      <w:divBdr>
        <w:top w:val="none" w:sz="0" w:space="0" w:color="auto"/>
        <w:left w:val="none" w:sz="0" w:space="0" w:color="auto"/>
        <w:bottom w:val="none" w:sz="0" w:space="0" w:color="auto"/>
        <w:right w:val="none" w:sz="0" w:space="0" w:color="auto"/>
      </w:divBdr>
    </w:div>
    <w:div w:id="2086487240">
      <w:bodyDiv w:val="1"/>
      <w:marLeft w:val="0"/>
      <w:marRight w:val="0"/>
      <w:marTop w:val="0"/>
      <w:marBottom w:val="0"/>
      <w:divBdr>
        <w:top w:val="none" w:sz="0" w:space="0" w:color="auto"/>
        <w:left w:val="none" w:sz="0" w:space="0" w:color="auto"/>
        <w:bottom w:val="none" w:sz="0" w:space="0" w:color="auto"/>
        <w:right w:val="none" w:sz="0" w:space="0" w:color="auto"/>
      </w:divBdr>
    </w:div>
    <w:div w:id="2097052799">
      <w:bodyDiv w:val="1"/>
      <w:marLeft w:val="0"/>
      <w:marRight w:val="0"/>
      <w:marTop w:val="0"/>
      <w:marBottom w:val="0"/>
      <w:divBdr>
        <w:top w:val="none" w:sz="0" w:space="0" w:color="auto"/>
        <w:left w:val="none" w:sz="0" w:space="0" w:color="auto"/>
        <w:bottom w:val="none" w:sz="0" w:space="0" w:color="auto"/>
        <w:right w:val="none" w:sz="0" w:space="0" w:color="auto"/>
      </w:divBdr>
    </w:div>
    <w:div w:id="2098406870">
      <w:bodyDiv w:val="1"/>
      <w:marLeft w:val="0"/>
      <w:marRight w:val="0"/>
      <w:marTop w:val="0"/>
      <w:marBottom w:val="0"/>
      <w:divBdr>
        <w:top w:val="none" w:sz="0" w:space="0" w:color="auto"/>
        <w:left w:val="none" w:sz="0" w:space="0" w:color="auto"/>
        <w:bottom w:val="none" w:sz="0" w:space="0" w:color="auto"/>
        <w:right w:val="none" w:sz="0" w:space="0" w:color="auto"/>
      </w:divBdr>
    </w:div>
    <w:div w:id="2102339179">
      <w:bodyDiv w:val="1"/>
      <w:marLeft w:val="0"/>
      <w:marRight w:val="0"/>
      <w:marTop w:val="0"/>
      <w:marBottom w:val="0"/>
      <w:divBdr>
        <w:top w:val="none" w:sz="0" w:space="0" w:color="auto"/>
        <w:left w:val="none" w:sz="0" w:space="0" w:color="auto"/>
        <w:bottom w:val="none" w:sz="0" w:space="0" w:color="auto"/>
        <w:right w:val="none" w:sz="0" w:space="0" w:color="auto"/>
      </w:divBdr>
    </w:div>
    <w:div w:id="2103791244">
      <w:bodyDiv w:val="1"/>
      <w:marLeft w:val="0"/>
      <w:marRight w:val="0"/>
      <w:marTop w:val="0"/>
      <w:marBottom w:val="0"/>
      <w:divBdr>
        <w:top w:val="none" w:sz="0" w:space="0" w:color="auto"/>
        <w:left w:val="none" w:sz="0" w:space="0" w:color="auto"/>
        <w:bottom w:val="none" w:sz="0" w:space="0" w:color="auto"/>
        <w:right w:val="none" w:sz="0" w:space="0" w:color="auto"/>
      </w:divBdr>
    </w:div>
    <w:div w:id="2110923623">
      <w:bodyDiv w:val="1"/>
      <w:marLeft w:val="0"/>
      <w:marRight w:val="0"/>
      <w:marTop w:val="0"/>
      <w:marBottom w:val="0"/>
      <w:divBdr>
        <w:top w:val="none" w:sz="0" w:space="0" w:color="auto"/>
        <w:left w:val="none" w:sz="0" w:space="0" w:color="auto"/>
        <w:bottom w:val="none" w:sz="0" w:space="0" w:color="auto"/>
        <w:right w:val="none" w:sz="0" w:space="0" w:color="auto"/>
      </w:divBdr>
      <w:divsChild>
        <w:div w:id="1741713414">
          <w:marLeft w:val="0"/>
          <w:marRight w:val="0"/>
          <w:marTop w:val="0"/>
          <w:marBottom w:val="0"/>
          <w:divBdr>
            <w:top w:val="none" w:sz="0" w:space="0" w:color="auto"/>
            <w:left w:val="none" w:sz="0" w:space="0" w:color="auto"/>
            <w:bottom w:val="none" w:sz="0" w:space="0" w:color="auto"/>
            <w:right w:val="none" w:sz="0" w:space="0" w:color="auto"/>
          </w:divBdr>
        </w:div>
      </w:divsChild>
    </w:div>
    <w:div w:id="2112429849">
      <w:bodyDiv w:val="1"/>
      <w:marLeft w:val="0"/>
      <w:marRight w:val="0"/>
      <w:marTop w:val="0"/>
      <w:marBottom w:val="0"/>
      <w:divBdr>
        <w:top w:val="none" w:sz="0" w:space="0" w:color="auto"/>
        <w:left w:val="none" w:sz="0" w:space="0" w:color="auto"/>
        <w:bottom w:val="none" w:sz="0" w:space="0" w:color="auto"/>
        <w:right w:val="none" w:sz="0" w:space="0" w:color="auto"/>
      </w:divBdr>
    </w:div>
    <w:div w:id="2118405359">
      <w:bodyDiv w:val="1"/>
      <w:marLeft w:val="0"/>
      <w:marRight w:val="0"/>
      <w:marTop w:val="0"/>
      <w:marBottom w:val="0"/>
      <w:divBdr>
        <w:top w:val="none" w:sz="0" w:space="0" w:color="auto"/>
        <w:left w:val="none" w:sz="0" w:space="0" w:color="auto"/>
        <w:bottom w:val="none" w:sz="0" w:space="0" w:color="auto"/>
        <w:right w:val="none" w:sz="0" w:space="0" w:color="auto"/>
      </w:divBdr>
    </w:div>
    <w:div w:id="2124184445">
      <w:bodyDiv w:val="1"/>
      <w:marLeft w:val="0"/>
      <w:marRight w:val="0"/>
      <w:marTop w:val="0"/>
      <w:marBottom w:val="0"/>
      <w:divBdr>
        <w:top w:val="none" w:sz="0" w:space="0" w:color="auto"/>
        <w:left w:val="none" w:sz="0" w:space="0" w:color="auto"/>
        <w:bottom w:val="none" w:sz="0" w:space="0" w:color="auto"/>
        <w:right w:val="none" w:sz="0" w:space="0" w:color="auto"/>
      </w:divBdr>
    </w:div>
    <w:div w:id="2132357701">
      <w:bodyDiv w:val="1"/>
      <w:marLeft w:val="0"/>
      <w:marRight w:val="0"/>
      <w:marTop w:val="0"/>
      <w:marBottom w:val="0"/>
      <w:divBdr>
        <w:top w:val="none" w:sz="0" w:space="0" w:color="auto"/>
        <w:left w:val="none" w:sz="0" w:space="0" w:color="auto"/>
        <w:bottom w:val="none" w:sz="0" w:space="0" w:color="auto"/>
        <w:right w:val="none" w:sz="0" w:space="0" w:color="auto"/>
      </w:divBdr>
    </w:div>
    <w:div w:id="21429205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svg"/><Relationship Id="rId21" Type="http://schemas.openxmlformats.org/officeDocument/2006/relationships/image" Target="media/image9.svg"/><Relationship Id="rId42" Type="http://schemas.openxmlformats.org/officeDocument/2006/relationships/image" Target="media/image30.png"/><Relationship Id="rId63" Type="http://schemas.openxmlformats.org/officeDocument/2006/relationships/image" Target="media/image51.svg"/><Relationship Id="rId84" Type="http://schemas.openxmlformats.org/officeDocument/2006/relationships/image" Target="media/image72.png"/><Relationship Id="rId138" Type="http://schemas.openxmlformats.org/officeDocument/2006/relationships/image" Target="media/image126.png"/><Relationship Id="rId159" Type="http://schemas.openxmlformats.org/officeDocument/2006/relationships/image" Target="media/image147.png"/><Relationship Id="rId107" Type="http://schemas.openxmlformats.org/officeDocument/2006/relationships/image" Target="media/image95.sv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1.svg"/><Relationship Id="rId74" Type="http://schemas.openxmlformats.org/officeDocument/2006/relationships/image" Target="media/image62.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customXml" Target="../customXml/item5.xml"/><Relationship Id="rId95" Type="http://schemas.openxmlformats.org/officeDocument/2006/relationships/image" Target="media/image83.png"/><Relationship Id="rId160" Type="http://schemas.openxmlformats.org/officeDocument/2006/relationships/image" Target="media/image148.png"/><Relationship Id="rId22" Type="http://schemas.openxmlformats.org/officeDocument/2006/relationships/image" Target="media/image10.png"/><Relationship Id="rId43" Type="http://schemas.openxmlformats.org/officeDocument/2006/relationships/image" Target="media/image31.svg"/><Relationship Id="rId64" Type="http://schemas.openxmlformats.org/officeDocument/2006/relationships/image" Target="media/image52.png"/><Relationship Id="rId118" Type="http://schemas.openxmlformats.org/officeDocument/2006/relationships/image" Target="media/image106.png"/><Relationship Id="rId139" Type="http://schemas.openxmlformats.org/officeDocument/2006/relationships/image" Target="media/image127.svg"/><Relationship Id="rId85" Type="http://schemas.openxmlformats.org/officeDocument/2006/relationships/image" Target="media/image73.png"/><Relationship Id="rId150" Type="http://schemas.openxmlformats.org/officeDocument/2006/relationships/image" Target="media/image138.svg"/><Relationship Id="rId12" Type="http://schemas.openxmlformats.org/officeDocument/2006/relationships/endnotes" Target="endnotes.xml"/><Relationship Id="rId17" Type="http://schemas.openxmlformats.org/officeDocument/2006/relationships/image" Target="media/image5.png"/><Relationship Id="rId33" Type="http://schemas.openxmlformats.org/officeDocument/2006/relationships/image" Target="media/image21.svg"/><Relationship Id="rId38" Type="http://schemas.openxmlformats.org/officeDocument/2006/relationships/image" Target="media/image26.png"/><Relationship Id="rId59" Type="http://schemas.openxmlformats.org/officeDocument/2006/relationships/image" Target="media/image47.svg"/><Relationship Id="rId103" Type="http://schemas.openxmlformats.org/officeDocument/2006/relationships/image" Target="media/image91.svg"/><Relationship Id="rId108" Type="http://schemas.openxmlformats.org/officeDocument/2006/relationships/image" Target="media/image96.png"/><Relationship Id="rId124" Type="http://schemas.openxmlformats.org/officeDocument/2006/relationships/image" Target="media/image112.png"/><Relationship Id="rId129" Type="http://schemas.openxmlformats.org/officeDocument/2006/relationships/image" Target="media/image117.svg"/><Relationship Id="rId54" Type="http://schemas.openxmlformats.org/officeDocument/2006/relationships/image" Target="media/image42.png"/><Relationship Id="rId70" Type="http://schemas.openxmlformats.org/officeDocument/2006/relationships/image" Target="media/image58.svg"/><Relationship Id="rId75" Type="http://schemas.openxmlformats.org/officeDocument/2006/relationships/image" Target="media/image63.sv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8.png"/><Relationship Id="rId145" Type="http://schemas.openxmlformats.org/officeDocument/2006/relationships/image" Target="media/image133.png"/><Relationship Id="rId161" Type="http://schemas.openxmlformats.org/officeDocument/2006/relationships/image" Target="media/image149.png"/><Relationship Id="rId16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svg"/><Relationship Id="rId114" Type="http://schemas.openxmlformats.org/officeDocument/2006/relationships/image" Target="media/image102.png"/><Relationship Id="rId119" Type="http://schemas.openxmlformats.org/officeDocument/2006/relationships/image" Target="media/image107.sv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svg"/><Relationship Id="rId86" Type="http://schemas.openxmlformats.org/officeDocument/2006/relationships/image" Target="media/image74.png"/><Relationship Id="rId130" Type="http://schemas.openxmlformats.org/officeDocument/2006/relationships/image" Target="media/image118.png"/><Relationship Id="rId135" Type="http://schemas.openxmlformats.org/officeDocument/2006/relationships/image" Target="media/image123.svg"/><Relationship Id="rId151" Type="http://schemas.openxmlformats.org/officeDocument/2006/relationships/image" Target="media/image139.png"/><Relationship Id="rId156" Type="http://schemas.openxmlformats.org/officeDocument/2006/relationships/image" Target="media/image144.sv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svg"/><Relationship Id="rId109" Type="http://schemas.openxmlformats.org/officeDocument/2006/relationships/image" Target="media/image97.sv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svg"/><Relationship Id="rId76" Type="http://schemas.openxmlformats.org/officeDocument/2006/relationships/image" Target="media/image64.png"/><Relationship Id="rId97" Type="http://schemas.openxmlformats.org/officeDocument/2006/relationships/image" Target="media/image85.sv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svg"/><Relationship Id="rId141" Type="http://schemas.openxmlformats.org/officeDocument/2006/relationships/image" Target="media/image129.svg"/><Relationship Id="rId146" Type="http://schemas.openxmlformats.org/officeDocument/2006/relationships/image" Target="media/image134.png"/><Relationship Id="rId167" Type="http://schemas.openxmlformats.org/officeDocument/2006/relationships/theme" Target="theme/theme1.xml"/><Relationship Id="rId7" Type="http://schemas.openxmlformats.org/officeDocument/2006/relationships/numbering" Target="numbering.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17.sv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sv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svg"/><Relationship Id="rId131" Type="http://schemas.openxmlformats.org/officeDocument/2006/relationships/image" Target="media/image119.svg"/><Relationship Id="rId136" Type="http://schemas.openxmlformats.org/officeDocument/2006/relationships/image" Target="media/image124.png"/><Relationship Id="rId157" Type="http://schemas.openxmlformats.org/officeDocument/2006/relationships/image" Target="media/image145.pn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40.sv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svg"/><Relationship Id="rId56" Type="http://schemas.openxmlformats.org/officeDocument/2006/relationships/image" Target="media/image44.png"/><Relationship Id="rId77" Type="http://schemas.openxmlformats.org/officeDocument/2006/relationships/image" Target="media/image65.svg"/><Relationship Id="rId100" Type="http://schemas.openxmlformats.org/officeDocument/2006/relationships/image" Target="media/image88.png"/><Relationship Id="rId105" Type="http://schemas.openxmlformats.org/officeDocument/2006/relationships/image" Target="media/image93.svg"/><Relationship Id="rId126" Type="http://schemas.openxmlformats.org/officeDocument/2006/relationships/image" Target="media/image114.png"/><Relationship Id="rId147" Type="http://schemas.openxmlformats.org/officeDocument/2006/relationships/image" Target="media/image135.png"/><Relationship Id="rId8" Type="http://schemas.openxmlformats.org/officeDocument/2006/relationships/styles" Target="styles.xml"/><Relationship Id="rId51" Type="http://schemas.openxmlformats.org/officeDocument/2006/relationships/image" Target="media/image39.svg"/><Relationship Id="rId72" Type="http://schemas.openxmlformats.org/officeDocument/2006/relationships/image" Target="media/image60.sv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svg"/><Relationship Id="rId142" Type="http://schemas.openxmlformats.org/officeDocument/2006/relationships/image" Target="media/image130.png"/><Relationship Id="rId163" Type="http://schemas.openxmlformats.org/officeDocument/2006/relationships/footer" Target="footer1.xml"/><Relationship Id="rId3" Type="http://schemas.openxmlformats.org/officeDocument/2006/relationships/customXml" Target="../customXml/item3.xml"/><Relationship Id="rId25" Type="http://schemas.openxmlformats.org/officeDocument/2006/relationships/image" Target="media/image13.sv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5.svg"/><Relationship Id="rId158" Type="http://schemas.openxmlformats.org/officeDocument/2006/relationships/image" Target="media/image146.png"/><Relationship Id="rId20" Type="http://schemas.openxmlformats.org/officeDocument/2006/relationships/image" Target="media/image8.png"/><Relationship Id="rId41" Type="http://schemas.openxmlformats.org/officeDocument/2006/relationships/image" Target="media/image29.sv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svg"/><Relationship Id="rId132" Type="http://schemas.openxmlformats.org/officeDocument/2006/relationships/image" Target="media/image120.png"/><Relationship Id="rId153" Type="http://schemas.openxmlformats.org/officeDocument/2006/relationships/image" Target="media/image141.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svg"/><Relationship Id="rId106" Type="http://schemas.openxmlformats.org/officeDocument/2006/relationships/image" Target="media/image94.png"/><Relationship Id="rId127" Type="http://schemas.openxmlformats.org/officeDocument/2006/relationships/image" Target="media/image115.svg"/><Relationship Id="rId10" Type="http://schemas.openxmlformats.org/officeDocument/2006/relationships/webSettings" Target="webSettings.xml"/><Relationship Id="rId31" Type="http://schemas.openxmlformats.org/officeDocument/2006/relationships/image" Target="media/image19.sv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svg"/><Relationship Id="rId99" Type="http://schemas.openxmlformats.org/officeDocument/2006/relationships/image" Target="media/image87.svg"/><Relationship Id="rId101" Type="http://schemas.openxmlformats.org/officeDocument/2006/relationships/image" Target="media/image89.sv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image" Target="media/image14.png"/><Relationship Id="rId47" Type="http://schemas.openxmlformats.org/officeDocument/2006/relationships/image" Target="media/image35.svg"/><Relationship Id="rId68" Type="http://schemas.openxmlformats.org/officeDocument/2006/relationships/image" Target="media/image56.sv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svg"/><Relationship Id="rId154" Type="http://schemas.openxmlformats.org/officeDocument/2006/relationships/image" Target="media/image142.svg"/><Relationship Id="rId16" Type="http://schemas.openxmlformats.org/officeDocument/2006/relationships/image" Target="media/image4.svg"/><Relationship Id="rId37" Type="http://schemas.openxmlformats.org/officeDocument/2006/relationships/image" Target="media/image25.sv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svg"/><Relationship Id="rId144" Type="http://schemas.openxmlformats.org/officeDocument/2006/relationships/image" Target="media/image132.png"/><Relationship Id="rId90" Type="http://schemas.openxmlformats.org/officeDocument/2006/relationships/image" Target="media/image78.png"/><Relationship Id="rId165" Type="http://schemas.openxmlformats.org/officeDocument/2006/relationships/footer" Target="footer2.xml"/><Relationship Id="rId27" Type="http://schemas.openxmlformats.org/officeDocument/2006/relationships/image" Target="media/image15.sv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1.svg"/><Relationship Id="rId134" Type="http://schemas.openxmlformats.org/officeDocument/2006/relationships/image" Target="media/image122.png"/><Relationship Id="rId80" Type="http://schemas.openxmlformats.org/officeDocument/2006/relationships/image" Target="media/image68.png"/><Relationship Id="rId155" Type="http://schemas.openxmlformats.org/officeDocument/2006/relationships/image" Target="media/image143.png"/></Relationships>
</file>

<file path=word/_rels/footnotes.xml.rels><?xml version="1.0" encoding="UTF-8" standalone="yes"?>
<Relationships xmlns="http://schemas.openxmlformats.org/package/2006/relationships"><Relationship Id="rId3" Type="http://schemas.openxmlformats.org/officeDocument/2006/relationships/hyperlink" Target="https://gfi.org/wp-content/uploads/2023/01/SCI23024_FERM-manufacturing-capacity-analysis_Final.pdf" TargetMode="External"/><Relationship Id="rId2" Type="http://schemas.openxmlformats.org/officeDocument/2006/relationships/hyperlink" Target="https://www.science.org/doi/10.1126/sciadv.ado0955" TargetMode="External"/><Relationship Id="rId1" Type="http://schemas.openxmlformats.org/officeDocument/2006/relationships/hyperlink" Target="https://www.systemiq.earth/systems/circular-materials/planet-positive-chemicals/" TargetMode="External"/><Relationship Id="rId5" Type="http://schemas.openxmlformats.org/officeDocument/2006/relationships/hyperlink" Target="https://www.energy-transitions.org/publications/power-systems-transformation/" TargetMode="External"/><Relationship Id="rId4" Type="http://schemas.openxmlformats.org/officeDocument/2006/relationships/hyperlink" Target="https://web-assets.bcg.com/b6/15/6a10d22c481e8bebaf0c2fab8294/bcg-breaking-the-cost-barrier-on-biomanufacturing-rev.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5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dreaBath\AppData\Local\Temp\Templafy\WordVsto\pqyhg2tl.dotx" TargetMode="External"/></Relationships>
</file>

<file path=word/theme/theme1.xml><?xml version="1.0" encoding="utf-8"?>
<a:theme xmlns:a="http://schemas.openxmlformats.org/drawingml/2006/main" name="Office Theme">
  <a:themeElements>
    <a:clrScheme name="Systemiq 2024">
      <a:dk1>
        <a:srgbClr val="000000"/>
      </a:dk1>
      <a:lt1>
        <a:srgbClr val="FFFFFF"/>
      </a:lt1>
      <a:dk2>
        <a:srgbClr val="00146D"/>
      </a:dk2>
      <a:lt2>
        <a:srgbClr val="FFFFFF"/>
      </a:lt2>
      <a:accent1>
        <a:srgbClr val="00B0F0"/>
      </a:accent1>
      <a:accent2>
        <a:srgbClr val="B2D235"/>
      </a:accent2>
      <a:accent3>
        <a:srgbClr val="FEDD00"/>
      </a:accent3>
      <a:accent4>
        <a:srgbClr val="FF6D70"/>
      </a:accent4>
      <a:accent5>
        <a:srgbClr val="585854"/>
      </a:accent5>
      <a:accent6>
        <a:srgbClr val="BCBEBB"/>
      </a:accent6>
      <a:hlink>
        <a:srgbClr val="00146D"/>
      </a:hlink>
      <a:folHlink>
        <a:srgbClr val="B2D235"/>
      </a:folHlink>
    </a:clrScheme>
    <a:fontScheme name="Systemiq 2024">
      <a:majorFont>
        <a:latin typeface="Arial Nova"/>
        <a:ea typeface=""/>
        <a:cs typeface=""/>
      </a:majorFont>
      <a:minorFont>
        <a:latin typeface="Arial Nov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TemplafyFormConfiguration><![CDATA[{"formFields":[],"formDataEntries":[]}]]></TemplafyFormConfiguration>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f6f44a7d-d6f5-4042-8792-19cb5f90fb06" xsi:nil="true"/>
    <lcf76f155ced4ddcb4097134ff3c332f xmlns="66ed9c45-22dc-462d-afd9-7e97c4d3402b">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b:Source>
    <b:Tag>IEA23</b:Tag>
    <b:SourceType>Book</b:SourceType>
    <b:Guid>{B096A815-AC58-4032-B5B3-1C3005A073BD}</b:Guid>
    <b:Author>
      <b:Author>
        <b:NameList>
          <b:Person>
            <b:Last>IEA</b:Last>
          </b:Person>
        </b:NameList>
      </b:Author>
    </b:Author>
    <b:Title>Emissions from Oil and Gas Operations in Net Zero Transitions: A World Energy Outlook Special Report on the Oil and Gas Industry and COP28</b:Title>
    <b:Year>2023</b:Year>
    <b:RefOrder>1</b:RefOrder>
  </b:Source>
</b:Sources>
</file>

<file path=customXml/item5.xml><?xml version="1.0" encoding="utf-8"?>
<ct:contentTypeSchema xmlns:ct="http://schemas.microsoft.com/office/2006/metadata/contentType" xmlns:ma="http://schemas.microsoft.com/office/2006/metadata/properties/metaAttributes" ct:_="" ma:_="" ma:contentTypeName="Document" ma:contentTypeID="0x01010085A69A861FBDCC489E7430507140FEBA" ma:contentTypeVersion="12" ma:contentTypeDescription="Create a new document." ma:contentTypeScope="" ma:versionID="985f8572de40f61df574010b7c775858">
  <xsd:schema xmlns:xsd="http://www.w3.org/2001/XMLSchema" xmlns:xs="http://www.w3.org/2001/XMLSchema" xmlns:p="http://schemas.microsoft.com/office/2006/metadata/properties" xmlns:ns2="66ed9c45-22dc-462d-afd9-7e97c4d3402b" xmlns:ns3="f6f44a7d-d6f5-4042-8792-19cb5f90fb06" targetNamespace="http://schemas.microsoft.com/office/2006/metadata/properties" ma:root="true" ma:fieldsID="19e54679cabb24a8ddaa3fd87a0caf80" ns2:_="" ns3:_="">
    <xsd:import namespace="66ed9c45-22dc-462d-afd9-7e97c4d3402b"/>
    <xsd:import namespace="f6f44a7d-d6f5-4042-8792-19cb5f90fb0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ed9c45-22dc-462d-afd9-7e97c4d3402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6fd27762-0251-4a48-b483-e1f79c0a6546"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f6f44a7d-d6f5-4042-8792-19cb5f90fb06"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2f1cb957-661d-4683-93b6-7eb55a432899}" ma:internalName="TaxCatchAll" ma:showField="CatchAllData" ma:web="f6f44a7d-d6f5-4042-8792-19cb5f90fb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TemplafyTemplateConfiguration><![CDATA[{"elementsMetadata":[],"transformationConfigurations":[],"templateName":"Blank 2025","templateDescription":"","enableDocumentContentUpdater":false,"version":"2.0"}]]></TemplafyTemplateConfiguration>
</file>

<file path=customXml/itemProps1.xml><?xml version="1.0" encoding="utf-8"?>
<ds:datastoreItem xmlns:ds="http://schemas.openxmlformats.org/officeDocument/2006/customXml" ds:itemID="{87650393-6D62-4389-9392-7A461D945B4A}">
  <ds:schemaRefs/>
</ds:datastoreItem>
</file>

<file path=customXml/itemProps2.xml><?xml version="1.0" encoding="utf-8"?>
<ds:datastoreItem xmlns:ds="http://schemas.openxmlformats.org/officeDocument/2006/customXml" ds:itemID="{18668D68-3B14-4EA4-B430-AAC759AD770F}">
  <ds:schemaRefs>
    <ds:schemaRef ds:uri="http://schemas.microsoft.com/sharepoint/v3/contenttype/forms"/>
  </ds:schemaRefs>
</ds:datastoreItem>
</file>

<file path=customXml/itemProps3.xml><?xml version="1.0" encoding="utf-8"?>
<ds:datastoreItem xmlns:ds="http://schemas.openxmlformats.org/officeDocument/2006/customXml" ds:itemID="{55625DAD-E70A-492C-9E6B-F92C8759A4B4}">
  <ds:schemaRefs>
    <ds:schemaRef ds:uri="http://schemas.microsoft.com/office/2006/metadata/properties"/>
    <ds:schemaRef ds:uri="http://schemas.microsoft.com/office/infopath/2007/PartnerControls"/>
    <ds:schemaRef ds:uri="f6f44a7d-d6f5-4042-8792-19cb5f90fb06"/>
    <ds:schemaRef ds:uri="66ed9c45-22dc-462d-afd9-7e97c4d3402b"/>
  </ds:schemaRefs>
</ds:datastoreItem>
</file>

<file path=customXml/itemProps4.xml><?xml version="1.0" encoding="utf-8"?>
<ds:datastoreItem xmlns:ds="http://schemas.openxmlformats.org/officeDocument/2006/customXml" ds:itemID="{D8135979-7CF6-49B9-B7E4-9B712F1FEA1E}">
  <ds:schemaRefs>
    <ds:schemaRef ds:uri="http://schemas.openxmlformats.org/officeDocument/2006/bibliography"/>
  </ds:schemaRefs>
</ds:datastoreItem>
</file>

<file path=customXml/itemProps5.xml><?xml version="1.0" encoding="utf-8"?>
<ds:datastoreItem xmlns:ds="http://schemas.openxmlformats.org/officeDocument/2006/customXml" ds:itemID="{5BD73C16-9E45-41EB-A062-DD14F7715B6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6ed9c45-22dc-462d-afd9-7e97c4d3402b"/>
    <ds:schemaRef ds:uri="f6f44a7d-d6f5-4042-8792-19cb5f90fb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9E91728E-AD6A-4FEF-8322-6EBE3E21DDB5}">
  <ds:schemaRefs/>
</ds:datastoreItem>
</file>

<file path=docProps/app.xml><?xml version="1.0" encoding="utf-8"?>
<Properties xmlns="http://schemas.openxmlformats.org/officeDocument/2006/extended-properties" xmlns:vt="http://schemas.openxmlformats.org/officeDocument/2006/docPropsVTypes">
  <Template>pqyhg2tl</Template>
  <TotalTime>0</TotalTime>
  <Pages>1</Pages>
  <Words>30778</Words>
  <Characters>175439</Characters>
  <Application>Microsoft Office Word</Application>
  <DocSecurity>0</DocSecurity>
  <Lines>1461</Lines>
  <Paragraphs>411</Paragraphs>
  <ScaleCrop>false</ScaleCrop>
  <HeadingPairs>
    <vt:vector size="2" baseType="variant">
      <vt:variant>
        <vt:lpstr>Title</vt:lpstr>
      </vt:variant>
      <vt:variant>
        <vt:i4>1</vt:i4>
      </vt:variant>
    </vt:vector>
  </HeadingPairs>
  <TitlesOfParts>
    <vt:vector size="1" baseType="lpstr">
      <vt:lpstr/>
    </vt:vector>
  </TitlesOfParts>
  <Company>Systemiq</Company>
  <LinksUpToDate>false</LinksUpToDate>
  <CharactersWithSpaces>205806</CharactersWithSpaces>
  <SharedDoc>false</SharedDoc>
  <HLinks>
    <vt:vector size="270" baseType="variant">
      <vt:variant>
        <vt:i4>1245232</vt:i4>
      </vt:variant>
      <vt:variant>
        <vt:i4>236</vt:i4>
      </vt:variant>
      <vt:variant>
        <vt:i4>0</vt:i4>
      </vt:variant>
      <vt:variant>
        <vt:i4>5</vt:i4>
      </vt:variant>
      <vt:variant>
        <vt:lpwstr/>
      </vt:variant>
      <vt:variant>
        <vt:lpwstr>_Toc205554250</vt:lpwstr>
      </vt:variant>
      <vt:variant>
        <vt:i4>1179696</vt:i4>
      </vt:variant>
      <vt:variant>
        <vt:i4>230</vt:i4>
      </vt:variant>
      <vt:variant>
        <vt:i4>0</vt:i4>
      </vt:variant>
      <vt:variant>
        <vt:i4>5</vt:i4>
      </vt:variant>
      <vt:variant>
        <vt:lpwstr/>
      </vt:variant>
      <vt:variant>
        <vt:lpwstr>_Toc205554249</vt:lpwstr>
      </vt:variant>
      <vt:variant>
        <vt:i4>1179696</vt:i4>
      </vt:variant>
      <vt:variant>
        <vt:i4>224</vt:i4>
      </vt:variant>
      <vt:variant>
        <vt:i4>0</vt:i4>
      </vt:variant>
      <vt:variant>
        <vt:i4>5</vt:i4>
      </vt:variant>
      <vt:variant>
        <vt:lpwstr/>
      </vt:variant>
      <vt:variant>
        <vt:lpwstr>_Toc205554248</vt:lpwstr>
      </vt:variant>
      <vt:variant>
        <vt:i4>1179696</vt:i4>
      </vt:variant>
      <vt:variant>
        <vt:i4>218</vt:i4>
      </vt:variant>
      <vt:variant>
        <vt:i4>0</vt:i4>
      </vt:variant>
      <vt:variant>
        <vt:i4>5</vt:i4>
      </vt:variant>
      <vt:variant>
        <vt:lpwstr/>
      </vt:variant>
      <vt:variant>
        <vt:lpwstr>_Toc205554247</vt:lpwstr>
      </vt:variant>
      <vt:variant>
        <vt:i4>1179696</vt:i4>
      </vt:variant>
      <vt:variant>
        <vt:i4>212</vt:i4>
      </vt:variant>
      <vt:variant>
        <vt:i4>0</vt:i4>
      </vt:variant>
      <vt:variant>
        <vt:i4>5</vt:i4>
      </vt:variant>
      <vt:variant>
        <vt:lpwstr/>
      </vt:variant>
      <vt:variant>
        <vt:lpwstr>_Toc205554246</vt:lpwstr>
      </vt:variant>
      <vt:variant>
        <vt:i4>1179696</vt:i4>
      </vt:variant>
      <vt:variant>
        <vt:i4>206</vt:i4>
      </vt:variant>
      <vt:variant>
        <vt:i4>0</vt:i4>
      </vt:variant>
      <vt:variant>
        <vt:i4>5</vt:i4>
      </vt:variant>
      <vt:variant>
        <vt:lpwstr/>
      </vt:variant>
      <vt:variant>
        <vt:lpwstr>_Toc205554245</vt:lpwstr>
      </vt:variant>
      <vt:variant>
        <vt:i4>1179696</vt:i4>
      </vt:variant>
      <vt:variant>
        <vt:i4>200</vt:i4>
      </vt:variant>
      <vt:variant>
        <vt:i4>0</vt:i4>
      </vt:variant>
      <vt:variant>
        <vt:i4>5</vt:i4>
      </vt:variant>
      <vt:variant>
        <vt:lpwstr/>
      </vt:variant>
      <vt:variant>
        <vt:lpwstr>_Toc205554244</vt:lpwstr>
      </vt:variant>
      <vt:variant>
        <vt:i4>1179696</vt:i4>
      </vt:variant>
      <vt:variant>
        <vt:i4>194</vt:i4>
      </vt:variant>
      <vt:variant>
        <vt:i4>0</vt:i4>
      </vt:variant>
      <vt:variant>
        <vt:i4>5</vt:i4>
      </vt:variant>
      <vt:variant>
        <vt:lpwstr/>
      </vt:variant>
      <vt:variant>
        <vt:lpwstr>_Toc205554243</vt:lpwstr>
      </vt:variant>
      <vt:variant>
        <vt:i4>1179696</vt:i4>
      </vt:variant>
      <vt:variant>
        <vt:i4>188</vt:i4>
      </vt:variant>
      <vt:variant>
        <vt:i4>0</vt:i4>
      </vt:variant>
      <vt:variant>
        <vt:i4>5</vt:i4>
      </vt:variant>
      <vt:variant>
        <vt:lpwstr/>
      </vt:variant>
      <vt:variant>
        <vt:lpwstr>_Toc205554242</vt:lpwstr>
      </vt:variant>
      <vt:variant>
        <vt:i4>1179696</vt:i4>
      </vt:variant>
      <vt:variant>
        <vt:i4>182</vt:i4>
      </vt:variant>
      <vt:variant>
        <vt:i4>0</vt:i4>
      </vt:variant>
      <vt:variant>
        <vt:i4>5</vt:i4>
      </vt:variant>
      <vt:variant>
        <vt:lpwstr/>
      </vt:variant>
      <vt:variant>
        <vt:lpwstr>_Toc205554241</vt:lpwstr>
      </vt:variant>
      <vt:variant>
        <vt:i4>1179696</vt:i4>
      </vt:variant>
      <vt:variant>
        <vt:i4>176</vt:i4>
      </vt:variant>
      <vt:variant>
        <vt:i4>0</vt:i4>
      </vt:variant>
      <vt:variant>
        <vt:i4>5</vt:i4>
      </vt:variant>
      <vt:variant>
        <vt:lpwstr/>
      </vt:variant>
      <vt:variant>
        <vt:lpwstr>_Toc205554240</vt:lpwstr>
      </vt:variant>
      <vt:variant>
        <vt:i4>1376304</vt:i4>
      </vt:variant>
      <vt:variant>
        <vt:i4>170</vt:i4>
      </vt:variant>
      <vt:variant>
        <vt:i4>0</vt:i4>
      </vt:variant>
      <vt:variant>
        <vt:i4>5</vt:i4>
      </vt:variant>
      <vt:variant>
        <vt:lpwstr/>
      </vt:variant>
      <vt:variant>
        <vt:lpwstr>_Toc205554239</vt:lpwstr>
      </vt:variant>
      <vt:variant>
        <vt:i4>1376304</vt:i4>
      </vt:variant>
      <vt:variant>
        <vt:i4>164</vt:i4>
      </vt:variant>
      <vt:variant>
        <vt:i4>0</vt:i4>
      </vt:variant>
      <vt:variant>
        <vt:i4>5</vt:i4>
      </vt:variant>
      <vt:variant>
        <vt:lpwstr/>
      </vt:variant>
      <vt:variant>
        <vt:lpwstr>_Toc205554238</vt:lpwstr>
      </vt:variant>
      <vt:variant>
        <vt:i4>1376304</vt:i4>
      </vt:variant>
      <vt:variant>
        <vt:i4>158</vt:i4>
      </vt:variant>
      <vt:variant>
        <vt:i4>0</vt:i4>
      </vt:variant>
      <vt:variant>
        <vt:i4>5</vt:i4>
      </vt:variant>
      <vt:variant>
        <vt:lpwstr/>
      </vt:variant>
      <vt:variant>
        <vt:lpwstr>_Toc205554237</vt:lpwstr>
      </vt:variant>
      <vt:variant>
        <vt:i4>1376304</vt:i4>
      </vt:variant>
      <vt:variant>
        <vt:i4>152</vt:i4>
      </vt:variant>
      <vt:variant>
        <vt:i4>0</vt:i4>
      </vt:variant>
      <vt:variant>
        <vt:i4>5</vt:i4>
      </vt:variant>
      <vt:variant>
        <vt:lpwstr/>
      </vt:variant>
      <vt:variant>
        <vt:lpwstr>_Toc205554236</vt:lpwstr>
      </vt:variant>
      <vt:variant>
        <vt:i4>1376304</vt:i4>
      </vt:variant>
      <vt:variant>
        <vt:i4>146</vt:i4>
      </vt:variant>
      <vt:variant>
        <vt:i4>0</vt:i4>
      </vt:variant>
      <vt:variant>
        <vt:i4>5</vt:i4>
      </vt:variant>
      <vt:variant>
        <vt:lpwstr/>
      </vt:variant>
      <vt:variant>
        <vt:lpwstr>_Toc205554235</vt:lpwstr>
      </vt:variant>
      <vt:variant>
        <vt:i4>1376304</vt:i4>
      </vt:variant>
      <vt:variant>
        <vt:i4>140</vt:i4>
      </vt:variant>
      <vt:variant>
        <vt:i4>0</vt:i4>
      </vt:variant>
      <vt:variant>
        <vt:i4>5</vt:i4>
      </vt:variant>
      <vt:variant>
        <vt:lpwstr/>
      </vt:variant>
      <vt:variant>
        <vt:lpwstr>_Toc205554234</vt:lpwstr>
      </vt:variant>
      <vt:variant>
        <vt:i4>1376304</vt:i4>
      </vt:variant>
      <vt:variant>
        <vt:i4>134</vt:i4>
      </vt:variant>
      <vt:variant>
        <vt:i4>0</vt:i4>
      </vt:variant>
      <vt:variant>
        <vt:i4>5</vt:i4>
      </vt:variant>
      <vt:variant>
        <vt:lpwstr/>
      </vt:variant>
      <vt:variant>
        <vt:lpwstr>_Toc205554233</vt:lpwstr>
      </vt:variant>
      <vt:variant>
        <vt:i4>1376304</vt:i4>
      </vt:variant>
      <vt:variant>
        <vt:i4>128</vt:i4>
      </vt:variant>
      <vt:variant>
        <vt:i4>0</vt:i4>
      </vt:variant>
      <vt:variant>
        <vt:i4>5</vt:i4>
      </vt:variant>
      <vt:variant>
        <vt:lpwstr/>
      </vt:variant>
      <vt:variant>
        <vt:lpwstr>_Toc205554232</vt:lpwstr>
      </vt:variant>
      <vt:variant>
        <vt:i4>1376304</vt:i4>
      </vt:variant>
      <vt:variant>
        <vt:i4>122</vt:i4>
      </vt:variant>
      <vt:variant>
        <vt:i4>0</vt:i4>
      </vt:variant>
      <vt:variant>
        <vt:i4>5</vt:i4>
      </vt:variant>
      <vt:variant>
        <vt:lpwstr/>
      </vt:variant>
      <vt:variant>
        <vt:lpwstr>_Toc205554231</vt:lpwstr>
      </vt:variant>
      <vt:variant>
        <vt:i4>1376304</vt:i4>
      </vt:variant>
      <vt:variant>
        <vt:i4>116</vt:i4>
      </vt:variant>
      <vt:variant>
        <vt:i4>0</vt:i4>
      </vt:variant>
      <vt:variant>
        <vt:i4>5</vt:i4>
      </vt:variant>
      <vt:variant>
        <vt:lpwstr/>
      </vt:variant>
      <vt:variant>
        <vt:lpwstr>_Toc205554230</vt:lpwstr>
      </vt:variant>
      <vt:variant>
        <vt:i4>1310768</vt:i4>
      </vt:variant>
      <vt:variant>
        <vt:i4>110</vt:i4>
      </vt:variant>
      <vt:variant>
        <vt:i4>0</vt:i4>
      </vt:variant>
      <vt:variant>
        <vt:i4>5</vt:i4>
      </vt:variant>
      <vt:variant>
        <vt:lpwstr/>
      </vt:variant>
      <vt:variant>
        <vt:lpwstr>_Toc205554229</vt:lpwstr>
      </vt:variant>
      <vt:variant>
        <vt:i4>1310768</vt:i4>
      </vt:variant>
      <vt:variant>
        <vt:i4>104</vt:i4>
      </vt:variant>
      <vt:variant>
        <vt:i4>0</vt:i4>
      </vt:variant>
      <vt:variant>
        <vt:i4>5</vt:i4>
      </vt:variant>
      <vt:variant>
        <vt:lpwstr/>
      </vt:variant>
      <vt:variant>
        <vt:lpwstr>_Toc205554228</vt:lpwstr>
      </vt:variant>
      <vt:variant>
        <vt:i4>1310768</vt:i4>
      </vt:variant>
      <vt:variant>
        <vt:i4>98</vt:i4>
      </vt:variant>
      <vt:variant>
        <vt:i4>0</vt:i4>
      </vt:variant>
      <vt:variant>
        <vt:i4>5</vt:i4>
      </vt:variant>
      <vt:variant>
        <vt:lpwstr/>
      </vt:variant>
      <vt:variant>
        <vt:lpwstr>_Toc205554227</vt:lpwstr>
      </vt:variant>
      <vt:variant>
        <vt:i4>1310768</vt:i4>
      </vt:variant>
      <vt:variant>
        <vt:i4>92</vt:i4>
      </vt:variant>
      <vt:variant>
        <vt:i4>0</vt:i4>
      </vt:variant>
      <vt:variant>
        <vt:i4>5</vt:i4>
      </vt:variant>
      <vt:variant>
        <vt:lpwstr/>
      </vt:variant>
      <vt:variant>
        <vt:lpwstr>_Toc205554226</vt:lpwstr>
      </vt:variant>
      <vt:variant>
        <vt:i4>1310768</vt:i4>
      </vt:variant>
      <vt:variant>
        <vt:i4>86</vt:i4>
      </vt:variant>
      <vt:variant>
        <vt:i4>0</vt:i4>
      </vt:variant>
      <vt:variant>
        <vt:i4>5</vt:i4>
      </vt:variant>
      <vt:variant>
        <vt:lpwstr/>
      </vt:variant>
      <vt:variant>
        <vt:lpwstr>_Toc205554225</vt:lpwstr>
      </vt:variant>
      <vt:variant>
        <vt:i4>1310768</vt:i4>
      </vt:variant>
      <vt:variant>
        <vt:i4>80</vt:i4>
      </vt:variant>
      <vt:variant>
        <vt:i4>0</vt:i4>
      </vt:variant>
      <vt:variant>
        <vt:i4>5</vt:i4>
      </vt:variant>
      <vt:variant>
        <vt:lpwstr/>
      </vt:variant>
      <vt:variant>
        <vt:lpwstr>_Toc205554224</vt:lpwstr>
      </vt:variant>
      <vt:variant>
        <vt:i4>1310768</vt:i4>
      </vt:variant>
      <vt:variant>
        <vt:i4>74</vt:i4>
      </vt:variant>
      <vt:variant>
        <vt:i4>0</vt:i4>
      </vt:variant>
      <vt:variant>
        <vt:i4>5</vt:i4>
      </vt:variant>
      <vt:variant>
        <vt:lpwstr/>
      </vt:variant>
      <vt:variant>
        <vt:lpwstr>_Toc205554223</vt:lpwstr>
      </vt:variant>
      <vt:variant>
        <vt:i4>1310768</vt:i4>
      </vt:variant>
      <vt:variant>
        <vt:i4>68</vt:i4>
      </vt:variant>
      <vt:variant>
        <vt:i4>0</vt:i4>
      </vt:variant>
      <vt:variant>
        <vt:i4>5</vt:i4>
      </vt:variant>
      <vt:variant>
        <vt:lpwstr/>
      </vt:variant>
      <vt:variant>
        <vt:lpwstr>_Toc205554222</vt:lpwstr>
      </vt:variant>
      <vt:variant>
        <vt:i4>1310768</vt:i4>
      </vt:variant>
      <vt:variant>
        <vt:i4>62</vt:i4>
      </vt:variant>
      <vt:variant>
        <vt:i4>0</vt:i4>
      </vt:variant>
      <vt:variant>
        <vt:i4>5</vt:i4>
      </vt:variant>
      <vt:variant>
        <vt:lpwstr/>
      </vt:variant>
      <vt:variant>
        <vt:lpwstr>_Toc205554221</vt:lpwstr>
      </vt:variant>
      <vt:variant>
        <vt:i4>1310768</vt:i4>
      </vt:variant>
      <vt:variant>
        <vt:i4>56</vt:i4>
      </vt:variant>
      <vt:variant>
        <vt:i4>0</vt:i4>
      </vt:variant>
      <vt:variant>
        <vt:i4>5</vt:i4>
      </vt:variant>
      <vt:variant>
        <vt:lpwstr/>
      </vt:variant>
      <vt:variant>
        <vt:lpwstr>_Toc205554220</vt:lpwstr>
      </vt:variant>
      <vt:variant>
        <vt:i4>1507376</vt:i4>
      </vt:variant>
      <vt:variant>
        <vt:i4>50</vt:i4>
      </vt:variant>
      <vt:variant>
        <vt:i4>0</vt:i4>
      </vt:variant>
      <vt:variant>
        <vt:i4>5</vt:i4>
      </vt:variant>
      <vt:variant>
        <vt:lpwstr/>
      </vt:variant>
      <vt:variant>
        <vt:lpwstr>_Toc205554219</vt:lpwstr>
      </vt:variant>
      <vt:variant>
        <vt:i4>1507376</vt:i4>
      </vt:variant>
      <vt:variant>
        <vt:i4>44</vt:i4>
      </vt:variant>
      <vt:variant>
        <vt:i4>0</vt:i4>
      </vt:variant>
      <vt:variant>
        <vt:i4>5</vt:i4>
      </vt:variant>
      <vt:variant>
        <vt:lpwstr/>
      </vt:variant>
      <vt:variant>
        <vt:lpwstr>_Toc205554218</vt:lpwstr>
      </vt:variant>
      <vt:variant>
        <vt:i4>1507376</vt:i4>
      </vt:variant>
      <vt:variant>
        <vt:i4>38</vt:i4>
      </vt:variant>
      <vt:variant>
        <vt:i4>0</vt:i4>
      </vt:variant>
      <vt:variant>
        <vt:i4>5</vt:i4>
      </vt:variant>
      <vt:variant>
        <vt:lpwstr/>
      </vt:variant>
      <vt:variant>
        <vt:lpwstr>_Toc205554217</vt:lpwstr>
      </vt:variant>
      <vt:variant>
        <vt:i4>1507376</vt:i4>
      </vt:variant>
      <vt:variant>
        <vt:i4>32</vt:i4>
      </vt:variant>
      <vt:variant>
        <vt:i4>0</vt:i4>
      </vt:variant>
      <vt:variant>
        <vt:i4>5</vt:i4>
      </vt:variant>
      <vt:variant>
        <vt:lpwstr/>
      </vt:variant>
      <vt:variant>
        <vt:lpwstr>_Toc205554216</vt:lpwstr>
      </vt:variant>
      <vt:variant>
        <vt:i4>1507376</vt:i4>
      </vt:variant>
      <vt:variant>
        <vt:i4>26</vt:i4>
      </vt:variant>
      <vt:variant>
        <vt:i4>0</vt:i4>
      </vt:variant>
      <vt:variant>
        <vt:i4>5</vt:i4>
      </vt:variant>
      <vt:variant>
        <vt:lpwstr/>
      </vt:variant>
      <vt:variant>
        <vt:lpwstr>_Toc205554215</vt:lpwstr>
      </vt:variant>
      <vt:variant>
        <vt:i4>1507376</vt:i4>
      </vt:variant>
      <vt:variant>
        <vt:i4>20</vt:i4>
      </vt:variant>
      <vt:variant>
        <vt:i4>0</vt:i4>
      </vt:variant>
      <vt:variant>
        <vt:i4>5</vt:i4>
      </vt:variant>
      <vt:variant>
        <vt:lpwstr/>
      </vt:variant>
      <vt:variant>
        <vt:lpwstr>_Toc205554214</vt:lpwstr>
      </vt:variant>
      <vt:variant>
        <vt:i4>1507376</vt:i4>
      </vt:variant>
      <vt:variant>
        <vt:i4>14</vt:i4>
      </vt:variant>
      <vt:variant>
        <vt:i4>0</vt:i4>
      </vt:variant>
      <vt:variant>
        <vt:i4>5</vt:i4>
      </vt:variant>
      <vt:variant>
        <vt:lpwstr/>
      </vt:variant>
      <vt:variant>
        <vt:lpwstr>_Toc205554213</vt:lpwstr>
      </vt:variant>
      <vt:variant>
        <vt:i4>1507376</vt:i4>
      </vt:variant>
      <vt:variant>
        <vt:i4>8</vt:i4>
      </vt:variant>
      <vt:variant>
        <vt:i4>0</vt:i4>
      </vt:variant>
      <vt:variant>
        <vt:i4>5</vt:i4>
      </vt:variant>
      <vt:variant>
        <vt:lpwstr/>
      </vt:variant>
      <vt:variant>
        <vt:lpwstr>_Toc205554212</vt:lpwstr>
      </vt:variant>
      <vt:variant>
        <vt:i4>1507376</vt:i4>
      </vt:variant>
      <vt:variant>
        <vt:i4>2</vt:i4>
      </vt:variant>
      <vt:variant>
        <vt:i4>0</vt:i4>
      </vt:variant>
      <vt:variant>
        <vt:i4>5</vt:i4>
      </vt:variant>
      <vt:variant>
        <vt:lpwstr/>
      </vt:variant>
      <vt:variant>
        <vt:lpwstr>_Toc205554211</vt:lpwstr>
      </vt:variant>
      <vt:variant>
        <vt:i4>1900549</vt:i4>
      </vt:variant>
      <vt:variant>
        <vt:i4>18</vt:i4>
      </vt:variant>
      <vt:variant>
        <vt:i4>0</vt:i4>
      </vt:variant>
      <vt:variant>
        <vt:i4>5</vt:i4>
      </vt:variant>
      <vt:variant>
        <vt:lpwstr>https://www.energy-transitions.org/publications/power-systems-transformation/</vt:lpwstr>
      </vt:variant>
      <vt:variant>
        <vt:lpwstr/>
      </vt:variant>
      <vt:variant>
        <vt:i4>3276863</vt:i4>
      </vt:variant>
      <vt:variant>
        <vt:i4>15</vt:i4>
      </vt:variant>
      <vt:variant>
        <vt:i4>0</vt:i4>
      </vt:variant>
      <vt:variant>
        <vt:i4>5</vt:i4>
      </vt:variant>
      <vt:variant>
        <vt:lpwstr>https://web-assets.bcg.com/b6/15/6a10d22c481e8bebaf0c2fab8294/bcg-breaking-the-cost-barrier-on-biomanufacturing-rev.pdf</vt:lpwstr>
      </vt:variant>
      <vt:variant>
        <vt:lpwstr/>
      </vt:variant>
      <vt:variant>
        <vt:i4>1376335</vt:i4>
      </vt:variant>
      <vt:variant>
        <vt:i4>12</vt:i4>
      </vt:variant>
      <vt:variant>
        <vt:i4>0</vt:i4>
      </vt:variant>
      <vt:variant>
        <vt:i4>5</vt:i4>
      </vt:variant>
      <vt:variant>
        <vt:lpwstr>https://gfi.org/wp-content/uploads/2023/01/SCI23024_FERM-manufacturing-capacity-analysis_Final.pdf</vt:lpwstr>
      </vt:variant>
      <vt:variant>
        <vt:lpwstr/>
      </vt:variant>
      <vt:variant>
        <vt:i4>7602301</vt:i4>
      </vt:variant>
      <vt:variant>
        <vt:i4>6</vt:i4>
      </vt:variant>
      <vt:variant>
        <vt:i4>0</vt:i4>
      </vt:variant>
      <vt:variant>
        <vt:i4>5</vt:i4>
      </vt:variant>
      <vt:variant>
        <vt:lpwstr>https://www.science.org/doi/10.1126/sciadv.ado0955</vt:lpwstr>
      </vt:variant>
      <vt:variant>
        <vt:lpwstr/>
      </vt:variant>
      <vt:variant>
        <vt:i4>4784212</vt:i4>
      </vt:variant>
      <vt:variant>
        <vt:i4>0</vt:i4>
      </vt:variant>
      <vt:variant>
        <vt:i4>0</vt:i4>
      </vt:variant>
      <vt:variant>
        <vt:i4>5</vt:i4>
      </vt:variant>
      <vt:variant>
        <vt:lpwstr>https://www.systemiq.earth/systems/circular-materials/planet-positive-chemicals/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Bath</dc:creator>
  <cp:keywords/>
  <dc:description/>
  <cp:lastModifiedBy>Viktoriia Petriv</cp:lastModifiedBy>
  <cp:revision>3</cp:revision>
  <dcterms:created xsi:type="dcterms:W3CDTF">2025-08-08T13:45:00Z</dcterms:created>
  <dcterms:modified xsi:type="dcterms:W3CDTF">2025-08-08T13:45:00Z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 Version">
    <vt:lpwstr>1.0.1</vt:lpwstr>
  </property>
  <property fmtid="{D5CDD505-2E9C-101B-9397-08002B2CF9AE}" pid="3" name="TemplafyTenantId">
    <vt:lpwstr>systemiq</vt:lpwstr>
  </property>
  <property fmtid="{D5CDD505-2E9C-101B-9397-08002B2CF9AE}" pid="4" name="TemplafyTemplateId">
    <vt:lpwstr>1093652545998684452</vt:lpwstr>
  </property>
  <property fmtid="{D5CDD505-2E9C-101B-9397-08002B2CF9AE}" pid="5" name="TemplafyUserProfileId">
    <vt:lpwstr>637854390140811183</vt:lpwstr>
  </property>
  <property fmtid="{D5CDD505-2E9C-101B-9397-08002B2CF9AE}" pid="6" name="TemplafyFromBlank">
    <vt:bool>true</vt:bool>
  </property>
  <property fmtid="{D5CDD505-2E9C-101B-9397-08002B2CF9AE}" pid="7" name="ContentTypeId">
    <vt:lpwstr>0x01010085A69A861FBDCC489E7430507140FEBA</vt:lpwstr>
  </property>
  <property fmtid="{D5CDD505-2E9C-101B-9397-08002B2CF9AE}" pid="8" name="MediaServiceImageTags">
    <vt:lpwstr/>
  </property>
  <property fmtid="{D5CDD505-2E9C-101B-9397-08002B2CF9AE}" pid="9" name="Order">
    <vt:lpwstr>127700.000000000</vt:lpwstr>
  </property>
  <property fmtid="{D5CDD505-2E9C-101B-9397-08002B2CF9AE}" pid="10" name="xd_ProgID">
    <vt:lpwstr/>
  </property>
  <property fmtid="{D5CDD505-2E9C-101B-9397-08002B2CF9AE}" pid="11" name="ComplianceAssetId">
    <vt:lpwstr/>
  </property>
  <property fmtid="{D5CDD505-2E9C-101B-9397-08002B2CF9AE}" pid="12" name="TemplateUrl">
    <vt:lpwstr/>
  </property>
  <property fmtid="{D5CDD505-2E9C-101B-9397-08002B2CF9AE}" pid="13" name="_ExtendedDescription">
    <vt:lpwstr/>
  </property>
  <property fmtid="{D5CDD505-2E9C-101B-9397-08002B2CF9AE}" pid="14" name="TriggerFlowInfo">
    <vt:lpwstr/>
  </property>
  <property fmtid="{D5CDD505-2E9C-101B-9397-08002B2CF9AE}" pid="15" name="xd_Signature">
    <vt:lpwstr/>
  </property>
</Properties>
</file>