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37D4A" w14:textId="63E86638" w:rsidR="008D1C84" w:rsidRPr="008D1C84" w:rsidRDefault="008D1C84" w:rsidP="008D1C84">
      <w:pPr>
        <w:pStyle w:val="Heading1"/>
        <w:rPr>
          <w:rFonts w:asciiTheme="minorHAnsi" w:hAnsiTheme="minorHAnsi"/>
          <w:b/>
          <w:bCs/>
        </w:rPr>
      </w:pPr>
      <w:r w:rsidRPr="008D1C84">
        <w:rPr>
          <w:rFonts w:asciiTheme="minorHAnsi" w:hAnsiTheme="minorHAnsi"/>
          <w:b/>
          <w:bCs/>
        </w:rPr>
        <w:t>SOLIDIFYING THE EU’s LEADERSHIP IN THE GLOBAL ENERGY TRANSITION</w:t>
      </w:r>
    </w:p>
    <w:p w14:paraId="352B5760" w14:textId="070E266B" w:rsidR="008D1C84" w:rsidRPr="008D1C84" w:rsidRDefault="008D1C84" w:rsidP="00197A06">
      <w:pPr>
        <w:rPr>
          <w:b/>
          <w:bCs/>
          <w:i/>
          <w:iCs/>
          <w:color w:val="00146D" w:themeColor="text2"/>
          <w:sz w:val="28"/>
          <w:szCs w:val="28"/>
        </w:rPr>
      </w:pPr>
      <w:r w:rsidRPr="008D1C84">
        <w:rPr>
          <w:b/>
          <w:bCs/>
          <w:i/>
          <w:iCs/>
          <w:color w:val="00146D" w:themeColor="text2"/>
          <w:sz w:val="28"/>
          <w:szCs w:val="28"/>
          <w:highlight w:val="yellow"/>
        </w:rPr>
        <w:t xml:space="preserve">DRAFT </w:t>
      </w:r>
      <w:r>
        <w:rPr>
          <w:b/>
          <w:bCs/>
          <w:i/>
          <w:iCs/>
          <w:color w:val="00146D" w:themeColor="text2"/>
          <w:sz w:val="28"/>
          <w:szCs w:val="28"/>
          <w:highlight w:val="yellow"/>
        </w:rPr>
        <w:t xml:space="preserve">- </w:t>
      </w:r>
      <w:r w:rsidRPr="008D1C84">
        <w:rPr>
          <w:b/>
          <w:bCs/>
          <w:i/>
          <w:iCs/>
          <w:color w:val="00146D" w:themeColor="text2"/>
          <w:sz w:val="28"/>
          <w:szCs w:val="28"/>
          <w:highlight w:val="yellow"/>
        </w:rPr>
        <w:t>FOR DISCUSSION</w:t>
      </w:r>
    </w:p>
    <w:p w14:paraId="499B1C1F" w14:textId="25DA1E5E" w:rsidR="000633E6" w:rsidRPr="00986C1B" w:rsidRDefault="00E53CB6" w:rsidP="00197A06">
      <w:pPr>
        <w:rPr>
          <w:b/>
          <w:bCs/>
          <w:color w:val="00146D" w:themeColor="text2"/>
          <w:sz w:val="28"/>
          <w:szCs w:val="28"/>
        </w:rPr>
      </w:pPr>
      <w:r>
        <w:rPr>
          <w:b/>
          <w:bCs/>
          <w:color w:val="00146D" w:themeColor="text2"/>
          <w:sz w:val="28"/>
          <w:szCs w:val="28"/>
        </w:rPr>
        <w:t>INTRODUCTION</w:t>
      </w:r>
    </w:p>
    <w:p w14:paraId="5E8D2DA1" w14:textId="788D114B" w:rsidR="00F6369C" w:rsidRDefault="0049295E" w:rsidP="00447379">
      <w:r>
        <w:t>The Energy Transitions Commission (ETC) is a global coalition of leaders from across the energy landscape, committed to achieving net-zero emissions by mid-century. We provide practical guidance and recommendations to policymakers, businesses, and stakeholders to support the transition to a low-carbon economy, which we believe can unlock new economic opportunities and drive sustainable growth. With 10 regional programs,</w:t>
      </w:r>
      <w:r w:rsidR="008F400C">
        <w:rPr>
          <w:rStyle w:val="FootnoteReference"/>
        </w:rPr>
        <w:footnoteReference w:id="2"/>
      </w:r>
      <w:r>
        <w:t xml:space="preserve"> we track the progress of energy transitions worldwide, giving us a unique perspective on the challenges and opportunities in different regions. </w:t>
      </w:r>
    </w:p>
    <w:p w14:paraId="06EE7A4E" w14:textId="4899D07B" w:rsidR="001636B9" w:rsidRDefault="00F6369C" w:rsidP="00447379">
      <w:r>
        <w:t>A</w:t>
      </w:r>
      <w:r w:rsidR="0049295E">
        <w:t xml:space="preserve">s the European Commission prepares for a new </w:t>
      </w:r>
      <w:r w:rsidR="006306C1">
        <w:t>five</w:t>
      </w:r>
      <w:r w:rsidR="0049295E">
        <w:t xml:space="preserve">-year term, </w:t>
      </w:r>
      <w:r>
        <w:t xml:space="preserve">we present this note </w:t>
      </w:r>
      <w:r w:rsidR="000032FF">
        <w:t>as a stocktake of current progress, as</w:t>
      </w:r>
      <w:r w:rsidR="00113ED0">
        <w:t xml:space="preserve"> well as</w:t>
      </w:r>
      <w:r w:rsidR="000032FF">
        <w:t xml:space="preserve"> identifying further opportunities to </w:t>
      </w:r>
      <w:r w:rsidR="00113ED0">
        <w:t>solidify the E</w:t>
      </w:r>
      <w:r w:rsidR="004552E2">
        <w:t>uropean Union (EU)</w:t>
      </w:r>
      <w:r w:rsidR="00113ED0">
        <w:t>’s climate leadership through implementation across mostly existing policy packages</w:t>
      </w:r>
      <w:r w:rsidR="009C37C2">
        <w:t xml:space="preserve">. </w:t>
      </w:r>
      <w:r w:rsidR="0049295E">
        <w:t xml:space="preserve">While the EU has made commendable strides in </w:t>
      </w:r>
      <w:r w:rsidR="0039015F">
        <w:t xml:space="preserve">reducing emissions – notably through </w:t>
      </w:r>
      <w:r w:rsidR="0049295E">
        <w:t>renewable energy</w:t>
      </w:r>
      <w:r w:rsidR="00ED07F7">
        <w:t xml:space="preserve"> and efficiency</w:t>
      </w:r>
      <w:r w:rsidR="0049295E">
        <w:t xml:space="preserve"> </w:t>
      </w:r>
      <w:r w:rsidR="0039015F">
        <w:t xml:space="preserve">- </w:t>
      </w:r>
      <w:r w:rsidR="003D56F4">
        <w:t>there is still more to be done</w:t>
      </w:r>
      <w:r w:rsidR="000C11C8">
        <w:t xml:space="preserve">, with other key geographies such as China and </w:t>
      </w:r>
      <w:r w:rsidR="004552E2">
        <w:t>the United States</w:t>
      </w:r>
      <w:r w:rsidR="000C11C8">
        <w:t xml:space="preserve"> accelerating deployment still faster, and in some cases more comprehensively</w:t>
      </w:r>
      <w:r w:rsidR="00B774E9">
        <w:t xml:space="preserve">, through green industrial policy. </w:t>
      </w:r>
    </w:p>
    <w:p w14:paraId="39088457" w14:textId="69ECFD45" w:rsidR="00C13868" w:rsidRDefault="0049295E" w:rsidP="00447379">
      <w:r>
        <w:t xml:space="preserve">The coming months will be crucial in shaping the EU’s next phase of climate action, and </w:t>
      </w:r>
      <w:r w:rsidR="001636B9">
        <w:t>we hope</w:t>
      </w:r>
      <w:r w:rsidR="00B774E9">
        <w:t xml:space="preserve"> to engage</w:t>
      </w:r>
      <w:r w:rsidR="001636B9">
        <w:t xml:space="preserve"> the Commission </w:t>
      </w:r>
      <w:r w:rsidR="00B774E9">
        <w:t>in</w:t>
      </w:r>
      <w:r w:rsidR="00F619CD">
        <w:t xml:space="preserve"> consider</w:t>
      </w:r>
      <w:r w:rsidR="00B774E9">
        <w:t>ing</w:t>
      </w:r>
      <w:r w:rsidR="00F619CD">
        <w:t xml:space="preserve"> these focus areas and</w:t>
      </w:r>
      <w:r w:rsidR="00B774E9">
        <w:t xml:space="preserve"> enacting these</w:t>
      </w:r>
      <w:r w:rsidR="00F619CD">
        <w:t xml:space="preserve"> recommendations</w:t>
      </w:r>
      <w:r>
        <w:t xml:space="preserve"> to ensure the EU remains a leader in the global energy transition.</w:t>
      </w:r>
      <w:r w:rsidDel="00FB189B">
        <w:t xml:space="preserve"> </w:t>
      </w:r>
    </w:p>
    <w:p w14:paraId="7019720D" w14:textId="5F315391" w:rsidR="00C13868" w:rsidRPr="00986C1B" w:rsidRDefault="00491AFD" w:rsidP="00C13868">
      <w:pPr>
        <w:rPr>
          <w:b/>
          <w:bCs/>
          <w:color w:val="00146D" w:themeColor="text2"/>
          <w:sz w:val="28"/>
          <w:szCs w:val="28"/>
        </w:rPr>
      </w:pPr>
      <w:r>
        <w:rPr>
          <w:b/>
          <w:bCs/>
          <w:color w:val="00146D" w:themeColor="text2"/>
          <w:sz w:val="28"/>
          <w:szCs w:val="28"/>
        </w:rPr>
        <w:t xml:space="preserve">STATE OF THE TRANSITION AND IMPLICATIONS FOR THE EU </w:t>
      </w:r>
    </w:p>
    <w:p w14:paraId="56C50ABE" w14:textId="7D670EEB" w:rsidR="00C13868" w:rsidRPr="0040781C" w:rsidRDefault="00491AFD" w:rsidP="00447379">
      <w:pPr>
        <w:rPr>
          <w:b/>
          <w:bCs/>
        </w:rPr>
      </w:pPr>
      <w:r>
        <w:rPr>
          <w:b/>
          <w:bCs/>
        </w:rPr>
        <w:t xml:space="preserve">EU </w:t>
      </w:r>
      <w:r w:rsidR="00C863D6">
        <w:rPr>
          <w:b/>
          <w:bCs/>
        </w:rPr>
        <w:t>ACCOMPLISHMENTS</w:t>
      </w:r>
      <w:r w:rsidR="00C863D6" w:rsidRPr="0040781C">
        <w:rPr>
          <w:b/>
          <w:bCs/>
        </w:rPr>
        <w:t xml:space="preserve"> </w:t>
      </w:r>
    </w:p>
    <w:p w14:paraId="138E9670" w14:textId="771FD667" w:rsidR="00B774E9" w:rsidRDefault="005244E2" w:rsidP="00447379">
      <w:r w:rsidRPr="005244E2">
        <w:t xml:space="preserve">The EU has made remarkable progress in its energy transition to date, achieving significant </w:t>
      </w:r>
      <w:r>
        <w:t>decarboni</w:t>
      </w:r>
      <w:r w:rsidR="009F0B03">
        <w:t>s</w:t>
      </w:r>
      <w:r>
        <w:t xml:space="preserve">ation </w:t>
      </w:r>
      <w:r w:rsidRPr="005244E2">
        <w:t>milestones across several key areas</w:t>
      </w:r>
      <w:r w:rsidR="00B774E9">
        <w:t xml:space="preserve">. </w:t>
      </w:r>
    </w:p>
    <w:p w14:paraId="2390299E" w14:textId="7A39B55A" w:rsidR="005244E2" w:rsidRDefault="005244E2" w:rsidP="00447379">
      <w:r w:rsidRPr="005244E2">
        <w:t>Power generation from fossil fuels fell to a record low of 23%, driven in part by the Renewable Energy Directive (RED), which, after meeting its 2020 target of 20% renewable energy in final energy consumption, set an ambitious 2030 goal of 40%. Between 2017 and 202</w:t>
      </w:r>
      <w:r w:rsidR="007434B2">
        <w:t>3</w:t>
      </w:r>
      <w:r w:rsidRPr="005244E2">
        <w:t>, renewable energy installations in the EU grew steadily, with solar increasing by an average of 20% per year and wind by 10%. The REPowerEU initiative has further accelerated the shift away from Russian gas, reducing the EU’s overall gas consumption by 18% and slashing the share of gas imports from Russia from 45% in 2021 to 15% in 2023. Although some of this reduction is due to a contraction in industrial demand, much of it reflects real progress in energy diversification</w:t>
      </w:r>
      <w:r w:rsidR="00D0257E">
        <w:t>, particularly in the power sector</w:t>
      </w:r>
      <w:r w:rsidR="001B5DD5">
        <w:t xml:space="preserve">. </w:t>
      </w:r>
      <w:r w:rsidRPr="005244E2">
        <w:t>In 2023, emissions were nearly 16% lower than in the previous year, bringing total emissions down 43% compared to 1990 levels. Per capita emissions are now just 5% above the global average and 40% below those of China, with CO</w:t>
      </w:r>
      <w:r w:rsidRPr="001064C0">
        <w:rPr>
          <w:vertAlign w:val="subscript"/>
        </w:rPr>
        <w:t>2</w:t>
      </w:r>
      <w:r w:rsidRPr="005244E2">
        <w:t xml:space="preserve"> emissions from energy combustion falling by 9% in 2023, even as the economy grew by 0.7%.</w:t>
      </w:r>
    </w:p>
    <w:p w14:paraId="3883271A" w14:textId="21C4F2A9" w:rsidR="001C2155" w:rsidRDefault="000553A7" w:rsidP="00447379">
      <w:r>
        <w:t xml:space="preserve">Current EU policies are likely to see an acceleration </w:t>
      </w:r>
      <w:r w:rsidR="00CD09DA">
        <w:t>of current progress, meaning</w:t>
      </w:r>
      <w:r w:rsidR="00447379">
        <w:t xml:space="preserve"> Europe's energy transition </w:t>
      </w:r>
      <w:r w:rsidR="00CD09DA">
        <w:t>can set</w:t>
      </w:r>
      <w:r w:rsidR="00447379">
        <w:t xml:space="preserve"> a powerful example for global decarboni</w:t>
      </w:r>
      <w:r w:rsidR="00764B5F">
        <w:t>s</w:t>
      </w:r>
      <w:r w:rsidR="00447379">
        <w:t xml:space="preserve">ation efforts. The </w:t>
      </w:r>
      <w:r w:rsidR="00447379">
        <w:lastRenderedPageBreak/>
        <w:t>updated EU Emissions Trading System (ETS) target, revised in April 2023, aims to cut emissions by 62% by 2030 compared to 2005 levels, up from the previous goal of 43%. Rising carbon prices</w:t>
      </w:r>
      <w:r w:rsidR="003202B9">
        <w:t xml:space="preserve">, </w:t>
      </w:r>
      <w:r w:rsidR="00BC5F7E">
        <w:t>having initially driven progress in the power sector</w:t>
      </w:r>
      <w:r w:rsidR="00BE7BEA">
        <w:t>,</w:t>
      </w:r>
      <w:r w:rsidR="00447379">
        <w:t xml:space="preserve"> are pushing </w:t>
      </w:r>
      <w:r w:rsidR="00BE7BEA">
        <w:t xml:space="preserve">other </w:t>
      </w:r>
      <w:r w:rsidR="00447379">
        <w:t>industries to decarboni</w:t>
      </w:r>
      <w:r w:rsidR="00495985">
        <w:t>s</w:t>
      </w:r>
      <w:r w:rsidR="00447379">
        <w:t xml:space="preserve">e, with the price of European Allowances (EUA) more than doubling, from </w:t>
      </w:r>
      <w:r w:rsidR="00131328">
        <w:t xml:space="preserve">levels of around </w:t>
      </w:r>
      <w:r w:rsidR="00447379">
        <w:t>€3</w:t>
      </w:r>
      <w:r w:rsidR="00677643">
        <w:t>0</w:t>
      </w:r>
      <w:r w:rsidR="00D77CB4">
        <w:t xml:space="preserve"> per </w:t>
      </w:r>
      <w:r w:rsidR="00677643">
        <w:t>tCO</w:t>
      </w:r>
      <w:r w:rsidR="00677643" w:rsidRPr="001064C0">
        <w:rPr>
          <w:vertAlign w:val="subscript"/>
        </w:rPr>
        <w:t>2</w:t>
      </w:r>
      <w:r w:rsidR="00677643">
        <w:t xml:space="preserve"> in 2021 to over </w:t>
      </w:r>
      <w:r w:rsidR="00447379">
        <w:t>€80</w:t>
      </w:r>
      <w:r w:rsidR="00D77CB4">
        <w:t xml:space="preserve"> per </w:t>
      </w:r>
      <w:r w:rsidR="00677643">
        <w:t>tCO</w:t>
      </w:r>
      <w:r w:rsidR="00677643" w:rsidRPr="00090C51">
        <w:rPr>
          <w:vertAlign w:val="subscript"/>
        </w:rPr>
        <w:t>2</w:t>
      </w:r>
      <w:r w:rsidR="00447379">
        <w:t xml:space="preserve"> </w:t>
      </w:r>
      <w:r w:rsidR="00677643">
        <w:t>in the past 18 months</w:t>
      </w:r>
      <w:r w:rsidR="00BE7BEA">
        <w:t xml:space="preserve"> – levels at which decarboni</w:t>
      </w:r>
      <w:r w:rsidR="00D77CB4">
        <w:t>s</w:t>
      </w:r>
      <w:r w:rsidR="00BE7BEA">
        <w:t>ation in many industrial sectors becomes cost competitive</w:t>
      </w:r>
      <w:r w:rsidR="00447379">
        <w:t>.</w:t>
      </w:r>
      <w:r w:rsidR="00686510">
        <w:t xml:space="preserve"> Additionally, t</w:t>
      </w:r>
      <w:r w:rsidR="00686510" w:rsidRPr="00686510">
        <w:t>he removal of free</w:t>
      </w:r>
      <w:r w:rsidR="00BE7BEA">
        <w:t>ly</w:t>
      </w:r>
      <w:r w:rsidR="00686510" w:rsidRPr="00686510">
        <w:t xml:space="preserve"> allocat</w:t>
      </w:r>
      <w:r w:rsidR="00BE7BEA">
        <w:t>ed allowances</w:t>
      </w:r>
      <w:r w:rsidR="00686510" w:rsidRPr="00686510">
        <w:t xml:space="preserve"> </w:t>
      </w:r>
      <w:r w:rsidR="00686510">
        <w:t xml:space="preserve">from </w:t>
      </w:r>
      <w:r w:rsidR="00686510" w:rsidRPr="00686510">
        <w:t xml:space="preserve">the ETS means that heavy industry in Europe will soon face material carbon prices for the first time, </w:t>
      </w:r>
      <w:r w:rsidR="003E53F5">
        <w:t xml:space="preserve">which should </w:t>
      </w:r>
      <w:r w:rsidR="009007EC">
        <w:t xml:space="preserve">help </w:t>
      </w:r>
      <w:r w:rsidR="00686510" w:rsidRPr="00686510">
        <w:t>accelerat</w:t>
      </w:r>
      <w:r w:rsidR="003E53F5">
        <w:t>e</w:t>
      </w:r>
      <w:r w:rsidR="00686510" w:rsidRPr="00686510">
        <w:t xml:space="preserve"> decarboni</w:t>
      </w:r>
      <w:r w:rsidR="004F0E1C">
        <w:t>s</w:t>
      </w:r>
      <w:r w:rsidR="00686510" w:rsidRPr="00686510">
        <w:t>ation efforts.</w:t>
      </w:r>
      <w:r w:rsidR="00447379">
        <w:t xml:space="preserve"> The Carbon Border Adjustment Mechanism (CBAM) further supports this shift by taxing imports from sectors at risk of carbon leakage, </w:t>
      </w:r>
      <w:r w:rsidR="00785D47">
        <w:t>(</w:t>
      </w:r>
      <w:r w:rsidR="00165A3A">
        <w:t xml:space="preserve">iron and steel, aluminium, cement, hydrogen, and electricity) </w:t>
      </w:r>
      <w:r w:rsidR="00447379">
        <w:t>leve</w:t>
      </w:r>
      <w:r w:rsidR="009973B4">
        <w:t>l</w:t>
      </w:r>
      <w:r w:rsidR="00447379">
        <w:t>ling the playing field for European industries. Whil</w:t>
      </w:r>
      <w:r w:rsidR="004C299A">
        <w:t>st</w:t>
      </w:r>
      <w:r w:rsidR="00447379">
        <w:t xml:space="preserve"> it's too early to see the full impact of the ETS and CBAM, their potential to drive investment in new decarboni</w:t>
      </w:r>
      <w:r w:rsidR="004D4F5B">
        <w:t>s</w:t>
      </w:r>
      <w:r w:rsidR="00447379">
        <w:t xml:space="preserve">ation technologies is clear, and </w:t>
      </w:r>
      <w:r w:rsidR="00DB6295">
        <w:t xml:space="preserve">early signs suggest </w:t>
      </w:r>
      <w:r w:rsidR="00447379">
        <w:t>they could spark a global ripple effect as other countries adopt carbon pricing mechanisms to retain revenue rather than pay into EU taxes</w:t>
      </w:r>
      <w:r w:rsidR="00DB6295">
        <w:t xml:space="preserve"> (e.g.</w:t>
      </w:r>
      <w:r w:rsidR="004D4F5B">
        <w:t>,</w:t>
      </w:r>
      <w:r w:rsidR="00DB6295">
        <w:t xml:space="preserve"> introduction of carbon pricing in Turkey, likely in India). </w:t>
      </w:r>
    </w:p>
    <w:p w14:paraId="01D6CEE6" w14:textId="77777777" w:rsidR="00DB6295" w:rsidRDefault="00DB6295" w:rsidP="00447379"/>
    <w:p w14:paraId="16FEA3A4" w14:textId="51C55853" w:rsidR="001C2155" w:rsidRPr="0040781C" w:rsidRDefault="008C7C39" w:rsidP="00447379">
      <w:pPr>
        <w:rPr>
          <w:b/>
          <w:bCs/>
        </w:rPr>
      </w:pPr>
      <w:r w:rsidRPr="0040781C">
        <w:rPr>
          <w:b/>
          <w:bCs/>
        </w:rPr>
        <w:t>LOOKING FORWARD</w:t>
      </w:r>
    </w:p>
    <w:p w14:paraId="60138EDF" w14:textId="6B2D7A04" w:rsidR="00ED07F7" w:rsidRDefault="00A62887" w:rsidP="00A62887">
      <w:r w:rsidRPr="00547E6C">
        <w:t>This drop in emissions has, however,</w:t>
      </w:r>
      <w:r>
        <w:t xml:space="preserve"> </w:t>
      </w:r>
      <w:r w:rsidRPr="00547E6C">
        <w:t xml:space="preserve">largely been driven by efficiency gains </w:t>
      </w:r>
      <w:r>
        <w:t>(e.g.</w:t>
      </w:r>
      <w:r w:rsidR="0029727C">
        <w:t>,</w:t>
      </w:r>
      <w:r>
        <w:t xml:space="preserve"> in vehicle fuel standards, appliances) </w:t>
      </w:r>
      <w:r w:rsidRPr="00547E6C">
        <w:t>and investments in low-carbon power generation, meaning more needs to be done</w:t>
      </w:r>
      <w:r w:rsidR="00ED07F7">
        <w:t xml:space="preserve"> to continue to grow clean electricity, whilst also focusing on accelerating emissions reductions in buildings, transport and industry </w:t>
      </w:r>
      <w:r w:rsidR="00913CDF">
        <w:t>[</w:t>
      </w:r>
      <w:r w:rsidR="00ED07F7">
        <w:t>Exhibit 1</w:t>
      </w:r>
      <w:r w:rsidR="00913CDF">
        <w:t>]</w:t>
      </w:r>
      <w:r w:rsidR="00ED07F7">
        <w:t>:</w:t>
      </w:r>
    </w:p>
    <w:p w14:paraId="16D8655B" w14:textId="7D25D52F" w:rsidR="00EF4A0C" w:rsidRDefault="00A62887" w:rsidP="002432D6">
      <w:pPr>
        <w:pStyle w:val="ListParagraph"/>
        <w:numPr>
          <w:ilvl w:val="0"/>
          <w:numId w:val="30"/>
        </w:numPr>
      </w:pPr>
      <w:r w:rsidRPr="00547E6C">
        <w:t>While the power sector is poised for continued decarboni</w:t>
      </w:r>
      <w:r w:rsidR="00913CDF">
        <w:t>s</w:t>
      </w:r>
      <w:r w:rsidRPr="00547E6C">
        <w:t>ation due to maturing technologies, falling costs,</w:t>
      </w:r>
      <w:r w:rsidR="002432D6">
        <w:t xml:space="preserve"> active removal of barriers will be key, such as: accelerating planning and permitting, building and optimi</w:t>
      </w:r>
      <w:r w:rsidR="004A291D">
        <w:t>s</w:t>
      </w:r>
      <w:r w:rsidR="002432D6">
        <w:t xml:space="preserve">ing electricity networks and ensuring European power markets are set up to </w:t>
      </w:r>
      <w:r w:rsidR="0064419F">
        <w:t>“</w:t>
      </w:r>
      <w:r w:rsidR="002432D6">
        <w:t>balance</w:t>
      </w:r>
      <w:r w:rsidR="0064419F">
        <w:t>”</w:t>
      </w:r>
      <w:r w:rsidR="002432D6">
        <w:t xml:space="preserve"> systems with high shares of variable renewables. </w:t>
      </w:r>
    </w:p>
    <w:p w14:paraId="59EC9FC8" w14:textId="2569A7C9" w:rsidR="00EF4A0C" w:rsidRDefault="00A62887" w:rsidP="002432D6">
      <w:pPr>
        <w:pStyle w:val="ListParagraph"/>
        <w:numPr>
          <w:ilvl w:val="0"/>
          <w:numId w:val="30"/>
        </w:numPr>
      </w:pPr>
      <w:r w:rsidRPr="00547E6C">
        <w:t xml:space="preserve">Buildings and transportation </w:t>
      </w:r>
      <w:r w:rsidR="009906CF">
        <w:t xml:space="preserve">are poised for </w:t>
      </w:r>
      <w:r w:rsidRPr="00547E6C">
        <w:t xml:space="preserve">rapid electrification as technologies in these sectors reach a tipping point, but more work is needed to </w:t>
      </w:r>
      <w:r w:rsidR="00EF4A0C">
        <w:t xml:space="preserve">both </w:t>
      </w:r>
      <w:r w:rsidRPr="00547E6C">
        <w:t>ensure user adoption of these new technologies</w:t>
      </w:r>
      <w:r w:rsidR="00EF4A0C">
        <w:t xml:space="preserve"> (e.g.</w:t>
      </w:r>
      <w:r w:rsidR="00E42517">
        <w:t>,</w:t>
      </w:r>
      <w:r w:rsidR="00EF4A0C">
        <w:t xml:space="preserve"> heat pumps, electric cars, electric trucks), ensure access to charging and fair prices for consumers</w:t>
      </w:r>
      <w:r w:rsidRPr="00547E6C">
        <w:t xml:space="preserve">. </w:t>
      </w:r>
    </w:p>
    <w:p w14:paraId="5C6DCDCC" w14:textId="1562202F" w:rsidR="00A62887" w:rsidRDefault="00A62887" w:rsidP="001064C0">
      <w:pPr>
        <w:pStyle w:val="ListParagraph"/>
        <w:numPr>
          <w:ilvl w:val="0"/>
          <w:numId w:val="30"/>
        </w:numPr>
      </w:pPr>
      <w:r w:rsidRPr="00547E6C">
        <w:t xml:space="preserve">And industry, which has previously focused on low-hanging fruit like efficiency improvements, must </w:t>
      </w:r>
      <w:r w:rsidR="002B4B15">
        <w:t>be supported to actively decarboni</w:t>
      </w:r>
      <w:r w:rsidR="001F7AE2">
        <w:t>s</w:t>
      </w:r>
      <w:r w:rsidR="002B4B15">
        <w:t>e key industrial processes</w:t>
      </w:r>
      <w:r w:rsidR="005265E4">
        <w:t xml:space="preserve"> (e.g.</w:t>
      </w:r>
      <w:r w:rsidR="001F7AE2">
        <w:t>,</w:t>
      </w:r>
      <w:r w:rsidR="005265E4">
        <w:t xml:space="preserve"> through derisking</w:t>
      </w:r>
      <w:r w:rsidR="007D1DF8">
        <w:t xml:space="preserve"> and/or procurement/offtake agreements)</w:t>
      </w:r>
      <w:r w:rsidR="002B4B15">
        <w:t xml:space="preserve">, with investment decisions </w:t>
      </w:r>
      <w:r w:rsidR="005265E4">
        <w:t>being reali</w:t>
      </w:r>
      <w:r w:rsidR="001F7AE2">
        <w:t>s</w:t>
      </w:r>
      <w:r w:rsidR="005265E4">
        <w:t xml:space="preserve">ed this decade. </w:t>
      </w:r>
    </w:p>
    <w:p w14:paraId="5B83D5B7" w14:textId="35B969E3" w:rsidR="00A62887" w:rsidRPr="00AF240E" w:rsidRDefault="00ED07F7" w:rsidP="00A62887">
      <w:pPr>
        <w:rPr>
          <w:i/>
          <w:iCs/>
        </w:rPr>
      </w:pPr>
      <w:r>
        <w:rPr>
          <w:i/>
          <w:iCs/>
        </w:rPr>
        <w:t xml:space="preserve">Exhibit 1: </w:t>
      </w:r>
      <w:r w:rsidR="00A953A9">
        <w:rPr>
          <w:i/>
          <w:iCs/>
        </w:rPr>
        <w:t>EU emissions by sector (200</w:t>
      </w:r>
      <w:r w:rsidR="003F68EF">
        <w:rPr>
          <w:i/>
          <w:iCs/>
        </w:rPr>
        <w:t>5</w:t>
      </w:r>
      <w:r w:rsidR="003F68EF" w:rsidRPr="003F68EF">
        <w:rPr>
          <w:i/>
          <w:iCs/>
        </w:rPr>
        <w:t>–</w:t>
      </w:r>
      <w:r w:rsidR="00A953A9">
        <w:rPr>
          <w:i/>
          <w:iCs/>
        </w:rPr>
        <w:t>2030) and key policies</w:t>
      </w:r>
    </w:p>
    <w:p w14:paraId="6BAAABD0" w14:textId="77777777" w:rsidR="00A62887" w:rsidRDefault="00A62887" w:rsidP="00A62887">
      <w:r w:rsidRPr="00CA75FB">
        <w:rPr>
          <w:noProof/>
        </w:rPr>
        <w:lastRenderedPageBreak/>
        <w:drawing>
          <wp:inline distT="0" distB="0" distL="0" distR="0" wp14:anchorId="0D8E3EB4" wp14:editId="250847D9">
            <wp:extent cx="6263640" cy="3174365"/>
            <wp:effectExtent l="0" t="0" r="3810" b="0"/>
            <wp:docPr id="1734681990" name="Picture 25" descr="A chart with numbers and text&#10;&#10;Description automatically generated with medium confidence">
              <a:extLst xmlns:a="http://schemas.openxmlformats.org/drawingml/2006/main">
                <a:ext uri="{FF2B5EF4-FFF2-40B4-BE49-F238E27FC236}">
                  <a16:creationId xmlns:a16="http://schemas.microsoft.com/office/drawing/2014/main" id="{2D9A829A-3A00-0AD6-ABEF-B94C29F67D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chart with numbers and text&#10;&#10;Description automatically generated with medium confidence">
                      <a:extLst>
                        <a:ext uri="{FF2B5EF4-FFF2-40B4-BE49-F238E27FC236}">
                          <a16:creationId xmlns:a16="http://schemas.microsoft.com/office/drawing/2014/main" id="{2D9A829A-3A00-0AD6-ABEF-B94C29F67DCC}"/>
                        </a:ext>
                      </a:extLst>
                    </pic:cNvPr>
                    <pic:cNvPicPr>
                      <a:picLocks noChangeAspect="1"/>
                    </pic:cNvPicPr>
                  </pic:nvPicPr>
                  <pic:blipFill>
                    <a:blip r:embed="rId13"/>
                    <a:stretch>
                      <a:fillRect/>
                    </a:stretch>
                  </pic:blipFill>
                  <pic:spPr>
                    <a:xfrm>
                      <a:off x="0" y="0"/>
                      <a:ext cx="6263640" cy="3174365"/>
                    </a:xfrm>
                    <a:prstGeom prst="rect">
                      <a:avLst/>
                    </a:prstGeom>
                  </pic:spPr>
                </pic:pic>
              </a:graphicData>
            </a:graphic>
          </wp:inline>
        </w:drawing>
      </w:r>
    </w:p>
    <w:p w14:paraId="7E05B8AB" w14:textId="581B2FF1" w:rsidR="00D037A9" w:rsidRDefault="005D527A">
      <w:pPr>
        <w:spacing w:after="200"/>
      </w:pPr>
      <w:r>
        <w:t>A</w:t>
      </w:r>
      <w:r w:rsidR="00960A4D" w:rsidRPr="00234492">
        <w:t>chieving future decarboni</w:t>
      </w:r>
      <w:r w:rsidR="005D7E2B">
        <w:t>s</w:t>
      </w:r>
      <w:r w:rsidR="00960A4D" w:rsidRPr="00234492">
        <w:t>ation in the EU will</w:t>
      </w:r>
      <w:r>
        <w:t xml:space="preserve"> also</w:t>
      </w:r>
      <w:r w:rsidR="00960A4D" w:rsidRPr="00234492">
        <w:t xml:space="preserve"> require a significant increase in funding, a need that is not yet being met. Total low-carbon finance in the EU must nearly double to meet climate targets: even the most conservative estimates suggest that annual low-carbon investments must rise from around €330 billion in 2022 to at least €530 billion by 2030. The investment gap is particularly pronounced in specific sectors, with annual shortfalls of €95 billion for transitioning the passenger vehicle fleet to electric vehicles</w:t>
      </w:r>
      <w:r w:rsidR="00CE6476">
        <w:t xml:space="preserve"> (EVs)</w:t>
      </w:r>
      <w:r w:rsidR="00960A4D" w:rsidRPr="00234492">
        <w:t xml:space="preserve">, €74 billion for onshore and offshore wind generation, €52 billion for retrofitting residential buildings, and €42 billion each for non-residential building upgrades and expanding the EU’s electricity grids. </w:t>
      </w:r>
    </w:p>
    <w:p w14:paraId="7CB5649C" w14:textId="71393DD4" w:rsidR="00B0130B" w:rsidRDefault="00960A4D">
      <w:pPr>
        <w:spacing w:after="200"/>
      </w:pPr>
      <w:r w:rsidRPr="00234492">
        <w:t>The situation is further complicated by the fact that while the majority of funds must come from the private sector, investor confidence in EU low-carbon projects is waning due to policy uncertainty</w:t>
      </w:r>
      <w:r w:rsidR="00B0130B">
        <w:t>:</w:t>
      </w:r>
    </w:p>
    <w:p w14:paraId="51A90CE6" w14:textId="3C05D737" w:rsidR="00B0130B" w:rsidRPr="001064C0" w:rsidRDefault="00960A4D" w:rsidP="00B0130B">
      <w:pPr>
        <w:pStyle w:val="ListParagraph"/>
        <w:numPr>
          <w:ilvl w:val="0"/>
          <w:numId w:val="31"/>
        </w:numPr>
        <w:spacing w:after="200"/>
        <w:rPr>
          <w:b/>
          <w:bCs/>
        </w:rPr>
      </w:pPr>
      <w:r w:rsidRPr="00234492">
        <w:t xml:space="preserve">The stalling or weakening of key initiatives, such as the Energy Taxation Directive and the Heat Pump Action Plan, has deterred investment. </w:t>
      </w:r>
    </w:p>
    <w:p w14:paraId="35741CBF" w14:textId="7AB70950" w:rsidR="00B0130B" w:rsidRPr="001064C0" w:rsidRDefault="00960A4D" w:rsidP="00B0130B">
      <w:pPr>
        <w:pStyle w:val="ListParagraph"/>
        <w:numPr>
          <w:ilvl w:val="0"/>
          <w:numId w:val="31"/>
        </w:numPr>
        <w:spacing w:after="200"/>
        <w:rPr>
          <w:b/>
          <w:bCs/>
        </w:rPr>
      </w:pPr>
      <w:r w:rsidRPr="00234492">
        <w:t xml:space="preserve">The threat of re-opening the debate on the 2035 internal combustion engine sales ban, risks damaging EU competitiveness in </w:t>
      </w:r>
      <w:r w:rsidR="00CE6476">
        <w:t>EVs</w:t>
      </w:r>
      <w:r w:rsidRPr="00234492">
        <w:t xml:space="preserve">. </w:t>
      </w:r>
    </w:p>
    <w:p w14:paraId="52BCB29D" w14:textId="77777777" w:rsidR="00B0130B" w:rsidRPr="001064C0" w:rsidRDefault="00960A4D" w:rsidP="00B0130B">
      <w:pPr>
        <w:pStyle w:val="ListParagraph"/>
        <w:numPr>
          <w:ilvl w:val="0"/>
          <w:numId w:val="31"/>
        </w:numPr>
        <w:spacing w:after="200"/>
        <w:rPr>
          <w:b/>
          <w:bCs/>
        </w:rPr>
      </w:pPr>
      <w:r w:rsidRPr="00234492">
        <w:t xml:space="preserve">Similarly, while EU public funds rival the scale of the U.S. Inflation Reduction Act, their slow disbursement due to administrative hurdles has hampered progress. </w:t>
      </w:r>
    </w:p>
    <w:p w14:paraId="03EC486F" w14:textId="4A4A7827" w:rsidR="00D37B98" w:rsidRPr="001064C0" w:rsidRDefault="00D37B98" w:rsidP="00B0130B">
      <w:pPr>
        <w:pStyle w:val="ListParagraph"/>
        <w:numPr>
          <w:ilvl w:val="0"/>
          <w:numId w:val="31"/>
        </w:numPr>
        <w:spacing w:after="200"/>
        <w:rPr>
          <w:b/>
          <w:bCs/>
        </w:rPr>
      </w:pPr>
      <w:r>
        <w:t>Though</w:t>
      </w:r>
      <w:r w:rsidR="00C07648">
        <w:t>,</w:t>
      </w:r>
      <w:r>
        <w:t xml:space="preserve"> in many cases</w:t>
      </w:r>
      <w:r w:rsidR="00C07648">
        <w:t>,</w:t>
      </w:r>
      <w:r>
        <w:t xml:space="preserve"> EU policy is clear, implementation by member states</w:t>
      </w:r>
      <w:r w:rsidR="005D527A">
        <w:t xml:space="preserve"> can be lagging. </w:t>
      </w:r>
    </w:p>
    <w:p w14:paraId="49E981D7" w14:textId="77777777" w:rsidR="005D527A" w:rsidRDefault="00960A4D" w:rsidP="005D527A">
      <w:pPr>
        <w:spacing w:after="200"/>
      </w:pPr>
      <w:r w:rsidRPr="00234492">
        <w:t>As a result, there is ongoing debate over whether additional subsidies are needed or if more effective policies and coordination of existing funds could close the investment gap.</w:t>
      </w:r>
    </w:p>
    <w:p w14:paraId="48346887" w14:textId="77777777" w:rsidR="005D527A" w:rsidRDefault="005D527A" w:rsidP="005D527A">
      <w:pPr>
        <w:spacing w:after="200"/>
      </w:pPr>
      <w:r>
        <w:t xml:space="preserve">Lastly, uncertainty around clean energy supply chains, including through tariffs and state support mechanisms, risks the EU missing out from some of the economic benefits of the transition. </w:t>
      </w:r>
    </w:p>
    <w:p w14:paraId="5ECE8025" w14:textId="316061E7" w:rsidR="0052534F" w:rsidRPr="0040781C" w:rsidDel="008C7C39" w:rsidRDefault="0052534F" w:rsidP="00447379">
      <w:pPr>
        <w:rPr>
          <w:b/>
          <w:bCs/>
        </w:rPr>
      </w:pPr>
      <w:r w:rsidRPr="0040781C">
        <w:rPr>
          <w:b/>
          <w:bCs/>
        </w:rPr>
        <w:t>STATE OF THE GLOBAL TRANSITION</w:t>
      </w:r>
    </w:p>
    <w:p w14:paraId="597D0A57" w14:textId="26D60622" w:rsidR="00B05979" w:rsidRPr="004C54F4" w:rsidRDefault="00126FCA" w:rsidP="00224B59">
      <w:r>
        <w:t xml:space="preserve">Globally, </w:t>
      </w:r>
      <w:r w:rsidR="00B05979">
        <w:t>technological progress</w:t>
      </w:r>
      <w:r w:rsidR="00F64EE5">
        <w:t xml:space="preserve"> </w:t>
      </w:r>
      <w:r w:rsidR="00BE181D">
        <w:t xml:space="preserve">– </w:t>
      </w:r>
      <w:r w:rsidR="00B05979">
        <w:t xml:space="preserve">particularly in solar, wind and batteries </w:t>
      </w:r>
      <w:r w:rsidR="00F64EE5">
        <w:t>– means low-carbon technologies can deliver clean electricity and transport at the same cost as fossil fuels. The transition is accelerating, and m</w:t>
      </w:r>
      <w:r w:rsidR="00B05979" w:rsidRPr="004C54F4">
        <w:t xml:space="preserve">any clean energy technologies have scaled faster </w:t>
      </w:r>
      <w:r w:rsidR="00B05979" w:rsidRPr="004C54F4">
        <w:lastRenderedPageBreak/>
        <w:t>than previously anticipa</w:t>
      </w:r>
      <w:r w:rsidR="00224B59">
        <w:t>ted.</w:t>
      </w:r>
      <w:r w:rsidR="00B05979" w:rsidRPr="004C54F4">
        <w:rPr>
          <w:rStyle w:val="FootnoteReference"/>
        </w:rPr>
        <w:footnoteReference w:id="3"/>
      </w:r>
      <w:r w:rsidR="00B05979" w:rsidRPr="004C54F4">
        <w:t xml:space="preserve"> This is the result of both significant cost declines and rising performance:</w:t>
      </w:r>
    </w:p>
    <w:p w14:paraId="2D029BD9" w14:textId="1B3EFFB6" w:rsidR="00B05979" w:rsidRPr="004C54F4" w:rsidRDefault="00B05979" w:rsidP="00B05979">
      <w:pPr>
        <w:pStyle w:val="ListParagraph"/>
        <w:numPr>
          <w:ilvl w:val="0"/>
          <w:numId w:val="34"/>
        </w:numPr>
        <w:spacing w:after="160" w:line="259" w:lineRule="auto"/>
        <w:jc w:val="both"/>
      </w:pPr>
      <w:r w:rsidRPr="004C54F4">
        <w:t>The global average price of silicon cells, the building blocks of solar panels, fell by 92% between 2011 and 2023, and by 60% between 2020</w:t>
      </w:r>
      <w:r w:rsidR="00F733AF">
        <w:t>–</w:t>
      </w:r>
      <w:r w:rsidRPr="004C54F4">
        <w:t>2023 alone.</w:t>
      </w:r>
      <w:r w:rsidRPr="004C54F4">
        <w:rPr>
          <w:rStyle w:val="FootnoteReference"/>
        </w:rPr>
        <w:footnoteReference w:id="4"/>
      </w:r>
      <w:r w:rsidRPr="004C54F4">
        <w:t xml:space="preserve"> </w:t>
      </w:r>
    </w:p>
    <w:p w14:paraId="5821B16B" w14:textId="57566054" w:rsidR="00B05979" w:rsidRPr="004C54F4" w:rsidRDefault="00B05979" w:rsidP="00B05979">
      <w:pPr>
        <w:pStyle w:val="ListParagraph"/>
        <w:numPr>
          <w:ilvl w:val="0"/>
          <w:numId w:val="34"/>
        </w:numPr>
        <w:spacing w:after="160" w:line="259" w:lineRule="auto"/>
        <w:jc w:val="both"/>
      </w:pPr>
      <w:r w:rsidRPr="004C54F4">
        <w:t>The price of onshore wind turbines, decreased by one third between H1 2010 and H1 2023, even with a slight increase in price from 2020 levels resulting from supply chain constraints.</w:t>
      </w:r>
      <w:r w:rsidRPr="004C54F4">
        <w:rPr>
          <w:rStyle w:val="FootnoteReference"/>
        </w:rPr>
        <w:footnoteReference w:id="5"/>
      </w:r>
      <w:r w:rsidRPr="004C54F4">
        <w:t xml:space="preserve"> </w:t>
      </w:r>
    </w:p>
    <w:p w14:paraId="1FA02AB1" w14:textId="748E0A0A" w:rsidR="00B05979" w:rsidRPr="004C54F4" w:rsidRDefault="00B05979" w:rsidP="00B05979">
      <w:pPr>
        <w:pStyle w:val="ListParagraph"/>
        <w:numPr>
          <w:ilvl w:val="0"/>
          <w:numId w:val="32"/>
        </w:numPr>
        <w:spacing w:after="160" w:line="259" w:lineRule="auto"/>
        <w:jc w:val="both"/>
      </w:pPr>
      <w:r w:rsidRPr="004C54F4">
        <w:t xml:space="preserve">The average battery pack price for </w:t>
      </w:r>
      <w:r w:rsidR="001F0700">
        <w:t>EVs</w:t>
      </w:r>
      <w:r w:rsidRPr="004C54F4">
        <w:t xml:space="preserve"> fell by 87% between 2011 and 2023 whil</w:t>
      </w:r>
      <w:r w:rsidR="00444D20">
        <w:t>st</w:t>
      </w:r>
      <w:r w:rsidRPr="004C54F4">
        <w:t xml:space="preserve"> energy density doubled over the same period.</w:t>
      </w:r>
      <w:r w:rsidRPr="004C54F4">
        <w:rPr>
          <w:rStyle w:val="FootnoteReference"/>
        </w:rPr>
        <w:footnoteReference w:id="6"/>
      </w:r>
      <w:r w:rsidRPr="004C54F4">
        <w:rPr>
          <w:vertAlign w:val="superscript"/>
        </w:rPr>
        <w:t>,</w:t>
      </w:r>
      <w:r w:rsidRPr="004C54F4">
        <w:rPr>
          <w:rStyle w:val="FootnoteReference"/>
        </w:rPr>
        <w:footnoteReference w:id="7"/>
      </w:r>
      <w:r w:rsidRPr="004C54F4">
        <w:rPr>
          <w:vertAlign w:val="superscript"/>
        </w:rPr>
        <w:t xml:space="preserve"> </w:t>
      </w:r>
    </w:p>
    <w:p w14:paraId="651B9F55" w14:textId="77777777" w:rsidR="005367C3" w:rsidRDefault="00B05979" w:rsidP="001064C0">
      <w:pPr>
        <w:jc w:val="both"/>
      </w:pPr>
      <w:r w:rsidRPr="004C54F4">
        <w:t>Accelerations in deployment and cost reductions of key low-carbon technologies can largely be attributed to industry responding to strong government ambition in key markets (backed by policies). Past performance is not indicative of future results, but there are clear signs that the progress witnessed over the last decade will continue, and even accelerate.</w:t>
      </w:r>
    </w:p>
    <w:p w14:paraId="382FAA19" w14:textId="5CB5A326" w:rsidR="00B05979" w:rsidRPr="004C54F4" w:rsidRDefault="00B05979" w:rsidP="005367C3">
      <w:pPr>
        <w:pStyle w:val="ListParagraph"/>
        <w:numPr>
          <w:ilvl w:val="0"/>
          <w:numId w:val="32"/>
        </w:numPr>
        <w:jc w:val="both"/>
      </w:pPr>
      <w:r w:rsidRPr="004C54F4">
        <w:t>In particular</w:t>
      </w:r>
      <w:r w:rsidR="00941B8B">
        <w:t>,</w:t>
      </w:r>
      <w:r w:rsidRPr="004C54F4">
        <w:t xml:space="preserve"> </w:t>
      </w:r>
      <w:r w:rsidR="005628B9">
        <w:t>a</w:t>
      </w:r>
      <w:r w:rsidRPr="004C54F4">
        <w:t>nnual solar PV installations are forecasted to more than double by 2030, from 440 GW in 2023 to 890 GW, bringing cumulative installed capacity to 6,760 GW.</w:t>
      </w:r>
      <w:r w:rsidRPr="004C54F4">
        <w:rPr>
          <w:rStyle w:val="FootnoteReference"/>
        </w:rPr>
        <w:footnoteReference w:id="8"/>
      </w:r>
    </w:p>
    <w:p w14:paraId="179D5C93" w14:textId="77777777" w:rsidR="00B05979" w:rsidRPr="004C54F4" w:rsidRDefault="00B05979" w:rsidP="00B05979">
      <w:pPr>
        <w:pStyle w:val="ListParagraph"/>
        <w:numPr>
          <w:ilvl w:val="0"/>
          <w:numId w:val="33"/>
        </w:numPr>
        <w:spacing w:after="160" w:line="259" w:lineRule="auto"/>
        <w:jc w:val="both"/>
      </w:pPr>
      <w:r w:rsidRPr="004C54F4">
        <w:t>Annual wind installations are expected to increase by over 40% by 2030, from 120 GW in 2023 to 170 GW, bringing cumulative installed capacity to 1,950 GW.</w:t>
      </w:r>
      <w:r w:rsidRPr="004C54F4">
        <w:rPr>
          <w:rStyle w:val="FootnoteReference"/>
        </w:rPr>
        <w:footnoteReference w:id="9"/>
      </w:r>
    </w:p>
    <w:p w14:paraId="0AF51E91" w14:textId="77777777" w:rsidR="00B05979" w:rsidRPr="004C54F4" w:rsidRDefault="00B05979" w:rsidP="00B05979">
      <w:pPr>
        <w:pStyle w:val="ListParagraph"/>
        <w:numPr>
          <w:ilvl w:val="0"/>
          <w:numId w:val="33"/>
        </w:numPr>
        <w:spacing w:after="160" w:line="259" w:lineRule="auto"/>
        <w:jc w:val="both"/>
      </w:pPr>
      <w:r w:rsidRPr="004C54F4">
        <w:t>Annual sales of EVs are estimated to more than triple by 2035, from 18 million in 2023 to 60 million.</w:t>
      </w:r>
      <w:r w:rsidRPr="004C54F4">
        <w:rPr>
          <w:rStyle w:val="FootnoteReference"/>
        </w:rPr>
        <w:footnoteReference w:id="10"/>
      </w:r>
    </w:p>
    <w:p w14:paraId="193A9DE1" w14:textId="77777777" w:rsidR="001064C0" w:rsidRDefault="00CA5E32" w:rsidP="00447379">
      <w:r>
        <w:t xml:space="preserve">Though the EU was an early leader in many of these areas, </w:t>
      </w:r>
      <w:r w:rsidR="00DE5CD2">
        <w:t>without focus it risks lagging behind</w:t>
      </w:r>
      <w:r w:rsidR="004D6221">
        <w:t xml:space="preserve"> other key regions:</w:t>
      </w:r>
    </w:p>
    <w:p w14:paraId="3A5CD692" w14:textId="4F49D242" w:rsidR="00285E29" w:rsidRDefault="001064C0" w:rsidP="001064C0">
      <w:pPr>
        <w:pStyle w:val="ListParagraph"/>
        <w:numPr>
          <w:ilvl w:val="0"/>
          <w:numId w:val="37"/>
        </w:numPr>
      </w:pPr>
      <w:r>
        <w:t>In China</w:t>
      </w:r>
      <w:r w:rsidR="00AF4DFE">
        <w:t xml:space="preserve"> – an economy of similar GDP </w:t>
      </w:r>
      <w:r w:rsidR="00D035A8">
        <w:t xml:space="preserve">– </w:t>
      </w:r>
      <w:r w:rsidR="00AF4DFE">
        <w:t xml:space="preserve"> </w:t>
      </w:r>
      <w:r w:rsidR="001E4352" w:rsidRPr="001E4352">
        <w:t>their pace of</w:t>
      </w:r>
      <w:r w:rsidR="00AF4DFE">
        <w:t xml:space="preserve"> clean energy</w:t>
      </w:r>
      <w:r w:rsidR="001E4352" w:rsidRPr="001E4352">
        <w:t xml:space="preserve"> deployment far surpasses Europe’s. In the first half of 2024 alone, China installed over 100 GW of solar capacity, compared to the 62 GW expected for the entire year in the EU. Moreover, China has made EVs more accessible, with EV sales accounting for over 4</w:t>
      </w:r>
      <w:r w:rsidR="00285E29">
        <w:t>5</w:t>
      </w:r>
      <w:r w:rsidR="001E4352" w:rsidRPr="001E4352">
        <w:t>% of the market</w:t>
      </w:r>
      <w:r w:rsidR="00285E29">
        <w:t>, and leading brands like BYD and Geely providing family-sized vehicles at the same purchase price as fossil-fuelled alternatives.</w:t>
      </w:r>
      <w:r w:rsidR="001E4352" w:rsidRPr="001E4352">
        <w:t xml:space="preserve"> </w:t>
      </w:r>
      <w:r w:rsidR="0061799F">
        <w:t>China has also become the clean tech</w:t>
      </w:r>
      <w:r w:rsidR="002120E3">
        <w:t>nology</w:t>
      </w:r>
      <w:r w:rsidR="0061799F">
        <w:t xml:space="preserve"> manufacturer for the world – with [60</w:t>
      </w:r>
      <w:r w:rsidR="00924A64">
        <w:t>–</w:t>
      </w:r>
      <w:r w:rsidR="0061799F">
        <w:t>80]% market shares in key areas such as solar PV, batteries and critical mineral processing.</w:t>
      </w:r>
      <w:r w:rsidR="0061799F">
        <w:rPr>
          <w:rStyle w:val="FootnoteReference"/>
        </w:rPr>
        <w:footnoteReference w:id="11"/>
      </w:r>
    </w:p>
    <w:p w14:paraId="2BAF6956" w14:textId="3ED64E0E" w:rsidR="008C7C39" w:rsidRDefault="00285E29" w:rsidP="001064C0">
      <w:pPr>
        <w:pStyle w:val="ListParagraph"/>
        <w:numPr>
          <w:ilvl w:val="0"/>
          <w:numId w:val="37"/>
        </w:numPr>
      </w:pPr>
      <w:r>
        <w:t>T</w:t>
      </w:r>
      <w:r w:rsidR="001E4352" w:rsidRPr="001E4352">
        <w:t>he United States’ Inflation Reduction Act (IRA) stands as a leading global example of comprehensive incentives, covering everything from</w:t>
      </w:r>
      <w:r>
        <w:t xml:space="preserve"> clean</w:t>
      </w:r>
      <w:r w:rsidR="001E4352" w:rsidRPr="001E4352">
        <w:t xml:space="preserve"> hydrogen and carbon capture technologies to renewable energy and </w:t>
      </w:r>
      <w:r w:rsidR="001F0700">
        <w:t>EVs</w:t>
      </w:r>
      <w:r w:rsidR="001E4352" w:rsidRPr="001E4352">
        <w:t xml:space="preserve">, </w:t>
      </w:r>
      <w:r>
        <w:t xml:space="preserve">as well as firm incentives for domestic manufacturing. </w:t>
      </w:r>
    </w:p>
    <w:p w14:paraId="1C2F9D20" w14:textId="03FC47CD" w:rsidR="008C7C39" w:rsidRDefault="00685A19" w:rsidP="0040781C">
      <w:pPr>
        <w:pStyle w:val="ListParagraph"/>
        <w:numPr>
          <w:ilvl w:val="0"/>
          <w:numId w:val="21"/>
        </w:numPr>
      </w:pPr>
      <w:r w:rsidRPr="00AF4DFE">
        <w:t xml:space="preserve">In India, increasing focus is being paid to </w:t>
      </w:r>
      <w:r w:rsidR="001F1E09" w:rsidRPr="00AF4DFE">
        <w:t>deploying renewables alongside storage (e.g.</w:t>
      </w:r>
      <w:r w:rsidR="002C41C2">
        <w:t>,</w:t>
      </w:r>
      <w:r w:rsidR="001F1E09" w:rsidRPr="00AF4DFE">
        <w:t xml:space="preserve"> through sophisticated contract and auctioning mechanisms)</w:t>
      </w:r>
      <w:r w:rsidR="00FD1754" w:rsidRPr="00AF4DFE">
        <w:t xml:space="preserve">, the production and use of low-carbon hydrogen in hard-to-abate sectors, as well as domestic clean energy manufacturing. </w:t>
      </w:r>
    </w:p>
    <w:p w14:paraId="696D0F52" w14:textId="1792647B" w:rsidR="00AF0316" w:rsidRDefault="00AF0316" w:rsidP="00AF0316">
      <w:r>
        <w:t>Looking across this, t</w:t>
      </w:r>
      <w:r w:rsidR="000F4988">
        <w:t>wo</w:t>
      </w:r>
      <w:r>
        <w:t xml:space="preserve"> key themes stand out: </w:t>
      </w:r>
    </w:p>
    <w:p w14:paraId="25234F18" w14:textId="2B8D9F16" w:rsidR="00122575" w:rsidRDefault="00122575" w:rsidP="00AF0316">
      <w:pPr>
        <w:pStyle w:val="ListParagraph"/>
        <w:numPr>
          <w:ilvl w:val="0"/>
          <w:numId w:val="21"/>
        </w:numPr>
      </w:pPr>
      <w:r>
        <w:t xml:space="preserve">Electrification is happening at pace. </w:t>
      </w:r>
      <w:r w:rsidR="004E605B">
        <w:t xml:space="preserve">Accelerating it will mean a commitment to long-term targets, allowing industry to respond. Achieving it will require </w:t>
      </w:r>
      <w:r>
        <w:t xml:space="preserve">a focus on ensuring fair pricing </w:t>
      </w:r>
      <w:r w:rsidR="00BE45FA">
        <w:t>mechanisms and</w:t>
      </w:r>
      <w:r w:rsidR="004E605B">
        <w:t xml:space="preserve"> smooth</w:t>
      </w:r>
      <w:r w:rsidR="00BE45FA">
        <w:t xml:space="preserve"> system integration. </w:t>
      </w:r>
    </w:p>
    <w:p w14:paraId="4B5A39F0" w14:textId="03C656D6" w:rsidR="00AF0316" w:rsidRDefault="00122575" w:rsidP="00AF0316">
      <w:pPr>
        <w:pStyle w:val="ListParagraph"/>
        <w:numPr>
          <w:ilvl w:val="0"/>
          <w:numId w:val="21"/>
        </w:numPr>
      </w:pPr>
      <w:r>
        <w:t xml:space="preserve">Trade. </w:t>
      </w:r>
      <w:r w:rsidR="00372408">
        <w:t xml:space="preserve">Although China is the largest and lowest cost supplier of clean energy technology (solar, batteries), countries and regions are moving to restrict its use. </w:t>
      </w:r>
      <w:r>
        <w:t xml:space="preserve">Similarly, moves to </w:t>
      </w:r>
      <w:r w:rsidR="00BE45FA">
        <w:t>decarboni</w:t>
      </w:r>
      <w:r w:rsidR="007209DE">
        <w:t>s</w:t>
      </w:r>
      <w:r w:rsidR="00BE45FA">
        <w:t xml:space="preserve">e heavy industry </w:t>
      </w:r>
      <w:r w:rsidR="00FC7727">
        <w:t xml:space="preserve">– such as through carbon pricing – </w:t>
      </w:r>
      <w:r w:rsidR="00103CBA">
        <w:t xml:space="preserve">are </w:t>
      </w:r>
      <w:r w:rsidR="00C24139">
        <w:t xml:space="preserve">being pursued through a global </w:t>
      </w:r>
      <w:r w:rsidR="00D360C0">
        <w:t>“</w:t>
      </w:r>
      <w:r w:rsidR="00C24139">
        <w:t>relevelling</w:t>
      </w:r>
      <w:r w:rsidR="00D360C0">
        <w:t>”</w:t>
      </w:r>
      <w:r w:rsidR="00C24139">
        <w:t xml:space="preserve"> of the playing field</w:t>
      </w:r>
      <w:r w:rsidR="000F4988">
        <w:t xml:space="preserve"> (e.g.</w:t>
      </w:r>
      <w:r w:rsidR="00D360C0">
        <w:t>,</w:t>
      </w:r>
      <w:r w:rsidR="000F4988">
        <w:t xml:space="preserve"> via CBAM, and other countries’ response)</w:t>
      </w:r>
      <w:r w:rsidR="00C24139">
        <w:t xml:space="preserve">. </w:t>
      </w:r>
      <w:r w:rsidR="00FC7727">
        <w:t xml:space="preserve"> </w:t>
      </w:r>
    </w:p>
    <w:p w14:paraId="6182B1B5" w14:textId="7DDC87DB" w:rsidR="00C21FEF" w:rsidRPr="00143FCF" w:rsidRDefault="00B601AE" w:rsidP="00143FCF">
      <w:r w:rsidRPr="005D01FE">
        <w:t>The next five-year legislative term will take us to 2030, n</w:t>
      </w:r>
      <w:r w:rsidRPr="007707BC">
        <w:t xml:space="preserve">ow is the time for proper implementation of policies across Member States, with a focus on addressing the </w:t>
      </w:r>
      <w:r w:rsidR="00D360C0">
        <w:t>“</w:t>
      </w:r>
      <w:r w:rsidRPr="007707BC">
        <w:t>last mile,</w:t>
      </w:r>
      <w:r w:rsidR="00D360C0">
        <w:t>”</w:t>
      </w:r>
      <w:r w:rsidRPr="007707BC">
        <w:t xml:space="preserve"> particularly in sectors facing political or technical complexities. While policies like the EU ETS, REPowerEU, and N</w:t>
      </w:r>
      <w:r w:rsidR="002C3203">
        <w:t>ationally Determined Contributions (NDCs)</w:t>
      </w:r>
      <w:r w:rsidRPr="007707BC">
        <w:t xml:space="preserve"> have driven significant progress, challenges remain in securing necessary funding, managing supply chains, and phasing out fossil fuels.</w:t>
      </w:r>
      <w:r w:rsidRPr="005D01FE">
        <w:t xml:space="preserve"> The ETC therefore offers the following recommendations to shape the next </w:t>
      </w:r>
      <w:r w:rsidR="005175CB">
        <w:t>five</w:t>
      </w:r>
      <w:r w:rsidRPr="005D01FE">
        <w:t>-year agenda of the European Commission</w:t>
      </w:r>
      <w:r w:rsidR="00143FCF">
        <w:t>.</w:t>
      </w:r>
    </w:p>
    <w:p w14:paraId="4C0E0DD3" w14:textId="1760394B" w:rsidR="007962D9" w:rsidRPr="0040781C" w:rsidRDefault="007962D9" w:rsidP="00447379">
      <w:pPr>
        <w:rPr>
          <w:b/>
          <w:bCs/>
          <w:color w:val="00146D" w:themeColor="text2"/>
          <w:sz w:val="28"/>
          <w:szCs w:val="28"/>
        </w:rPr>
      </w:pPr>
      <w:r w:rsidRPr="0040781C">
        <w:rPr>
          <w:b/>
          <w:bCs/>
          <w:color w:val="00146D" w:themeColor="text2"/>
          <w:sz w:val="28"/>
          <w:szCs w:val="28"/>
        </w:rPr>
        <w:t xml:space="preserve">KEY FOCUS AREAS </w:t>
      </w:r>
      <w:r w:rsidR="00544521">
        <w:rPr>
          <w:b/>
          <w:bCs/>
          <w:color w:val="00146D" w:themeColor="text2"/>
          <w:sz w:val="28"/>
          <w:szCs w:val="28"/>
        </w:rPr>
        <w:t xml:space="preserve">AND RECOMMENDATIONS </w:t>
      </w:r>
      <w:r w:rsidRPr="0040781C">
        <w:rPr>
          <w:b/>
          <w:bCs/>
          <w:color w:val="00146D" w:themeColor="text2"/>
          <w:sz w:val="28"/>
          <w:szCs w:val="28"/>
        </w:rPr>
        <w:t>FOR EUROPE’S TRANSITION</w:t>
      </w:r>
    </w:p>
    <w:p w14:paraId="3050F1F8" w14:textId="49B3293A" w:rsidR="00EF640F" w:rsidRPr="0040781C" w:rsidRDefault="00584D72" w:rsidP="0040781C">
      <w:pPr>
        <w:spacing w:after="0"/>
        <w:rPr>
          <w:b/>
          <w:bCs/>
        </w:rPr>
      </w:pPr>
      <w:r>
        <w:rPr>
          <w:b/>
          <w:bCs/>
        </w:rPr>
        <w:t>HOLD THE GROUND AND CONTINUE TO SHOWCASE CLIMATE LEADERSHIP</w:t>
      </w:r>
    </w:p>
    <w:p w14:paraId="042DE445" w14:textId="444FAE5F" w:rsidR="001471B5" w:rsidRDefault="006431D4" w:rsidP="008A41F0">
      <w:pPr>
        <w:pStyle w:val="ListParagraph"/>
        <w:numPr>
          <w:ilvl w:val="0"/>
          <w:numId w:val="22"/>
        </w:numPr>
      </w:pPr>
      <w:r>
        <w:t xml:space="preserve">Commit to </w:t>
      </w:r>
      <w:r w:rsidR="008A41F0">
        <w:t xml:space="preserve">Ambitious NDCs + </w:t>
      </w:r>
      <w:r w:rsidR="009E78C1">
        <w:t>N</w:t>
      </w:r>
      <w:r w:rsidR="008A41F0">
        <w:t xml:space="preserve">ew </w:t>
      </w:r>
      <w:r w:rsidR="009E78C1">
        <w:t>C</w:t>
      </w:r>
      <w:r w:rsidR="008A41F0">
        <w:t xml:space="preserve">ollective </w:t>
      </w:r>
      <w:r w:rsidR="009E78C1">
        <w:t>Q</w:t>
      </w:r>
      <w:r w:rsidR="008A41F0">
        <w:t xml:space="preserve">uantified </w:t>
      </w:r>
      <w:r w:rsidR="009E78C1">
        <w:t>G</w:t>
      </w:r>
      <w:r w:rsidR="008A41F0">
        <w:t>oal (</w:t>
      </w:r>
      <w:r w:rsidR="009E78C1">
        <w:t>N</w:t>
      </w:r>
      <w:r w:rsidR="008A41F0">
        <w:t>CQG)</w:t>
      </w:r>
    </w:p>
    <w:p w14:paraId="55ACACB9" w14:textId="2527CB31" w:rsidR="008A41F0" w:rsidRDefault="008A41F0" w:rsidP="008A41F0">
      <w:pPr>
        <w:pStyle w:val="ListParagraph"/>
        <w:numPr>
          <w:ilvl w:val="0"/>
          <w:numId w:val="22"/>
        </w:numPr>
      </w:pPr>
      <w:r>
        <w:t>Plan for fossil fuel phase down, ICE ban</w:t>
      </w:r>
    </w:p>
    <w:p w14:paraId="6A7A1288" w14:textId="4855A4E0" w:rsidR="008A41F0" w:rsidRDefault="008A41F0" w:rsidP="0040781C">
      <w:pPr>
        <w:pStyle w:val="ListParagraph"/>
        <w:numPr>
          <w:ilvl w:val="0"/>
          <w:numId w:val="22"/>
        </w:numPr>
      </w:pPr>
      <w:r>
        <w:t>Carbon pricing mechanisms</w:t>
      </w:r>
    </w:p>
    <w:p w14:paraId="756E481F" w14:textId="002118EA" w:rsidR="00186357" w:rsidRPr="0040781C" w:rsidRDefault="003B66CB" w:rsidP="003B66CB">
      <w:pPr>
        <w:rPr>
          <w:b/>
          <w:bCs/>
        </w:rPr>
      </w:pPr>
      <w:r w:rsidRPr="001064C0">
        <w:rPr>
          <w:b/>
          <w:bCs/>
        </w:rPr>
        <w:t xml:space="preserve">COMPLETE THE PICTURE: </w:t>
      </w:r>
      <w:r>
        <w:t>policies for new tech</w:t>
      </w:r>
      <w:r w:rsidR="004F57BF">
        <w:t>nology</w:t>
      </w:r>
      <w:r>
        <w:t xml:space="preserve">, faster deployment, and </w:t>
      </w:r>
      <w:r w:rsidR="00F8456E">
        <w:t>improved affordability</w:t>
      </w:r>
    </w:p>
    <w:p w14:paraId="0BB91369" w14:textId="0AAA93D7" w:rsidR="00583584" w:rsidRDefault="00D31A8D" w:rsidP="0085662F">
      <w:pPr>
        <w:pStyle w:val="ListParagraph"/>
        <w:numPr>
          <w:ilvl w:val="0"/>
          <w:numId w:val="23"/>
        </w:numPr>
      </w:pPr>
      <w:r>
        <w:t>Enable affordab</w:t>
      </w:r>
      <w:r w:rsidR="008C3BDC">
        <w:t>ility</w:t>
      </w:r>
    </w:p>
    <w:p w14:paraId="53C7814C" w14:textId="6ADF6DBD" w:rsidR="0085662F" w:rsidRDefault="0085662F" w:rsidP="0085662F">
      <w:pPr>
        <w:pStyle w:val="ListParagraph"/>
        <w:numPr>
          <w:ilvl w:val="0"/>
          <w:numId w:val="23"/>
        </w:numPr>
      </w:pPr>
      <w:r>
        <w:t xml:space="preserve">Accelerate deployment </w:t>
      </w:r>
    </w:p>
    <w:p w14:paraId="3C27AEEE" w14:textId="4CF642B2" w:rsidR="0085662F" w:rsidRDefault="008C3BDC" w:rsidP="0040781C">
      <w:pPr>
        <w:pStyle w:val="ListParagraph"/>
        <w:numPr>
          <w:ilvl w:val="0"/>
          <w:numId w:val="23"/>
        </w:numPr>
      </w:pPr>
      <w:r>
        <w:t>Bring new technologies into the fold</w:t>
      </w:r>
    </w:p>
    <w:p w14:paraId="2D2ED71D" w14:textId="1BF77D6A" w:rsidR="007E43F9" w:rsidRDefault="00516C89" w:rsidP="007E43F9">
      <w:pPr>
        <w:rPr>
          <w:b/>
          <w:bCs/>
        </w:rPr>
      </w:pPr>
      <w:r>
        <w:rPr>
          <w:b/>
          <w:bCs/>
        </w:rPr>
        <w:t xml:space="preserve">REALISING </w:t>
      </w:r>
      <w:r w:rsidR="007E43F9">
        <w:rPr>
          <w:b/>
          <w:bCs/>
        </w:rPr>
        <w:t>COMPETITIVE ADVANTAGE</w:t>
      </w:r>
    </w:p>
    <w:p w14:paraId="261C9CF1" w14:textId="71B85116" w:rsidR="0085662F" w:rsidRDefault="00C95046" w:rsidP="00C77473">
      <w:pPr>
        <w:pStyle w:val="ListParagraph"/>
        <w:numPr>
          <w:ilvl w:val="0"/>
          <w:numId w:val="24"/>
        </w:numPr>
      </w:pPr>
      <w:r>
        <w:t>Prioriti</w:t>
      </w:r>
      <w:r w:rsidR="004F57BF">
        <w:t>s</w:t>
      </w:r>
      <w:r>
        <w:t xml:space="preserve">e within green industries rather than focusing on all of them </w:t>
      </w:r>
    </w:p>
    <w:p w14:paraId="2793EBD2" w14:textId="1FBEE1D4" w:rsidR="00C95046" w:rsidRDefault="00C95046" w:rsidP="00C77473">
      <w:pPr>
        <w:pStyle w:val="ListParagraph"/>
        <w:numPr>
          <w:ilvl w:val="0"/>
          <w:numId w:val="24"/>
        </w:numPr>
      </w:pPr>
      <w:r>
        <w:t>Harness economies of scal</w:t>
      </w:r>
      <w:r w:rsidR="004F57BF">
        <w:t>e</w:t>
      </w:r>
    </w:p>
    <w:p w14:paraId="31742E44" w14:textId="6AC2F451" w:rsidR="00C77473" w:rsidRPr="0040781C" w:rsidRDefault="00C95046" w:rsidP="0040781C">
      <w:pPr>
        <w:pStyle w:val="ListParagraph"/>
        <w:numPr>
          <w:ilvl w:val="0"/>
          <w:numId w:val="24"/>
        </w:numPr>
      </w:pPr>
      <w:r>
        <w:t>Invest in shared infrastructure</w:t>
      </w:r>
    </w:p>
    <w:p w14:paraId="3D09C1C1" w14:textId="77777777" w:rsidR="00F20E98" w:rsidRDefault="00F20E98" w:rsidP="00F20E98">
      <w:pPr>
        <w:spacing w:after="0"/>
        <w:rPr>
          <w:b/>
          <w:bCs/>
        </w:rPr>
      </w:pPr>
    </w:p>
    <w:p w14:paraId="188E3BDF" w14:textId="0B4A50C8" w:rsidR="00F20E98" w:rsidRPr="00F20E98" w:rsidRDefault="00F20E98" w:rsidP="00F20E98">
      <w:pPr>
        <w:spacing w:after="0"/>
        <w:rPr>
          <w:b/>
          <w:bCs/>
        </w:rPr>
      </w:pPr>
      <w:r w:rsidRPr="00F20E98">
        <w:rPr>
          <w:b/>
          <w:bCs/>
        </w:rPr>
        <w:t>HOLD THE GROUND AND CONTINUE TO SHOWCASE CLIMATE LEADERSHIP</w:t>
      </w:r>
    </w:p>
    <w:p w14:paraId="3737C6C0" w14:textId="68D2492B" w:rsidR="006D101C" w:rsidRDefault="006D101C" w:rsidP="001064C0">
      <w:r>
        <w:t xml:space="preserve">As the energy transition progresses, arguments </w:t>
      </w:r>
      <w:r w:rsidR="008516D4">
        <w:t xml:space="preserve">– and indeed misinformation – around the costs of </w:t>
      </w:r>
      <w:r w:rsidR="003A2076">
        <w:t>the transition, or the feasibility of transition milestones are being raised. But the core facts remain the same: the transition is not costless – many estimates suggest costs of around 0</w:t>
      </w:r>
      <w:r w:rsidR="00981134">
        <w:t>–</w:t>
      </w:r>
      <w:r w:rsidR="003A2076">
        <w:t>1% of GDP</w:t>
      </w:r>
      <w:r w:rsidR="00B36BE0">
        <w:t xml:space="preserve">, but the falling costs of clean energy technologies, as noted above, mean </w:t>
      </w:r>
      <w:r w:rsidR="00AD1650">
        <w:t xml:space="preserve">the transition is increasingly lower cost and the </w:t>
      </w:r>
      <w:r w:rsidR="00B36BE0">
        <w:t xml:space="preserve">global energy transition is now a certainty. </w:t>
      </w:r>
      <w:r w:rsidR="00AD1650">
        <w:t xml:space="preserve">Failure to </w:t>
      </w:r>
      <w:r w:rsidR="00D86AA3">
        <w:t xml:space="preserve">move in line with global trends, will damage both emissions and investment. </w:t>
      </w:r>
    </w:p>
    <w:p w14:paraId="372F94AC" w14:textId="41D61394" w:rsidR="0034498C" w:rsidRDefault="009C1C3D" w:rsidP="001064C0">
      <w:r>
        <w:t xml:space="preserve">In a rapidly changing global landscape, mixed signals risk slowing progress. Investors and citizen require certainty in order to deliver the transition. Key areas of uncertainty currently include: </w:t>
      </w:r>
    </w:p>
    <w:p w14:paraId="2DD745A3" w14:textId="15CB51E0" w:rsidR="009C1C3D" w:rsidRDefault="009C1C3D" w:rsidP="001064C0">
      <w:pPr>
        <w:pStyle w:val="ListParagraph"/>
        <w:numPr>
          <w:ilvl w:val="0"/>
          <w:numId w:val="38"/>
        </w:numPr>
      </w:pPr>
      <w:r w:rsidRPr="00EC66EC">
        <w:rPr>
          <w:b/>
          <w:bCs/>
        </w:rPr>
        <w:t>Policy shifts</w:t>
      </w:r>
      <w:r>
        <w:t>, like the</w:t>
      </w:r>
      <w:r w:rsidR="00E24D4F">
        <w:t xml:space="preserve"> re-opening of a debate around the 2035 Internal Combustion Engine sales ban or the</w:t>
      </w:r>
      <w:r>
        <w:t xml:space="preserve"> stalling or weakening of </w:t>
      </w:r>
      <w:r w:rsidR="0092089F">
        <w:t>key EU packages</w:t>
      </w:r>
      <w:r>
        <w:t xml:space="preserve"> (e.g., Energy Taxation Directive or Heat Pump Action Plan), can derail investments. For those companies in the EU that have already made billions of investments toward their own decarboni</w:t>
      </w:r>
      <w:r w:rsidR="00197BCB">
        <w:t>s</w:t>
      </w:r>
      <w:r>
        <w:t>ation pathways, backsliding now will put them at a disadvantage.</w:t>
      </w:r>
      <w:r w:rsidR="00EC66EC">
        <w:t xml:space="preserve"> For companies looking to invest, uncertainty acts as a deterrent. </w:t>
      </w:r>
    </w:p>
    <w:p w14:paraId="78392A2A" w14:textId="43AC9D49" w:rsidR="000844F1" w:rsidRDefault="000844F1" w:rsidP="00B76570">
      <w:pPr>
        <w:pStyle w:val="ListParagraph"/>
        <w:numPr>
          <w:ilvl w:val="0"/>
          <w:numId w:val="38"/>
        </w:numPr>
        <w:spacing w:after="200"/>
      </w:pPr>
      <w:r w:rsidRPr="000844F1">
        <w:t xml:space="preserve">Without a clear plan for phasing down </w:t>
      </w:r>
      <w:r w:rsidRPr="00954F3D">
        <w:rPr>
          <w:b/>
          <w:bCs/>
        </w:rPr>
        <w:t>fossil fuels</w:t>
      </w:r>
      <w:r w:rsidRPr="000844F1">
        <w:t>, EU policies have been sending mixed signals to the market. While the EU has set ambitious targets for reducing energy demand and decarboni</w:t>
      </w:r>
      <w:r w:rsidR="008F685B">
        <w:t>s</w:t>
      </w:r>
      <w:r w:rsidRPr="000844F1">
        <w:t xml:space="preserve">ing sectors like power, industry, transport, and buildings, it continues to support new fossil fuel infrastructure and remains reliant on Russian gas through Ukraine. For example, 70% of the growth in US oil production between 2021 and 2022 was directed toward Europe, and new LNG terminals are being approved, leading to excess storage capacity. Additionally, at least six EU member states have delayed coal phase-out dates between 2021 and 2024. </w:t>
      </w:r>
    </w:p>
    <w:p w14:paraId="16931A8F" w14:textId="76E07657" w:rsidR="00954F3D" w:rsidRDefault="00954F3D" w:rsidP="00B76570">
      <w:pPr>
        <w:pStyle w:val="ListParagraph"/>
        <w:numPr>
          <w:ilvl w:val="0"/>
          <w:numId w:val="38"/>
        </w:numPr>
        <w:spacing w:after="200"/>
      </w:pPr>
      <w:r>
        <w:t xml:space="preserve">Debates about the </w:t>
      </w:r>
      <w:r w:rsidRPr="007541E2">
        <w:rPr>
          <w:b/>
          <w:bCs/>
        </w:rPr>
        <w:t>pace of EU emissions reduction</w:t>
      </w:r>
      <w:r w:rsidR="007541E2">
        <w:rPr>
          <w:b/>
          <w:bCs/>
        </w:rPr>
        <w:t>s</w:t>
      </w:r>
      <w:r>
        <w:t xml:space="preserve"> </w:t>
      </w:r>
      <w:r w:rsidR="009762D2">
        <w:t>(e.g.</w:t>
      </w:r>
      <w:r w:rsidR="00D32B4D">
        <w:t>,</w:t>
      </w:r>
      <w:r w:rsidR="009762D2">
        <w:t xml:space="preserve"> by 2040) add further long-term uncertainty. </w:t>
      </w:r>
    </w:p>
    <w:p w14:paraId="1EEEF145" w14:textId="4FF4EA36" w:rsidR="00027A08" w:rsidRDefault="00990B50" w:rsidP="001064C0">
      <w:r>
        <w:t>W</w:t>
      </w:r>
      <w:r w:rsidR="00027A08">
        <w:t>atering down short-term targets might ostensibly ease the pressure on incumbents, it could actually lead to these incumbents becoming irrelevant even faster and more drastically in the near future</w:t>
      </w:r>
      <w:r>
        <w:t>. Rather, Europe should continue to</w:t>
      </w:r>
      <w:r w:rsidR="0018688A">
        <w:t xml:space="preserve"> set ambitious sustainability goals and continue to lead the world in climate action.</w:t>
      </w:r>
    </w:p>
    <w:p w14:paraId="00FBE294" w14:textId="3FD1E2F4" w:rsidR="002E3E32" w:rsidRDefault="00DD2B71" w:rsidP="002E3E32">
      <w:pPr>
        <w:spacing w:after="200"/>
      </w:pPr>
      <w:r>
        <w:t xml:space="preserve">Key recommendations: </w:t>
      </w:r>
    </w:p>
    <w:p w14:paraId="2281899A" w14:textId="4061FAF9" w:rsidR="00276209" w:rsidRPr="006723D7" w:rsidRDefault="00276209" w:rsidP="00276209">
      <w:pPr>
        <w:pStyle w:val="ListParagraph"/>
        <w:numPr>
          <w:ilvl w:val="0"/>
          <w:numId w:val="9"/>
        </w:numPr>
        <w:rPr>
          <w:b/>
          <w:bCs/>
        </w:rPr>
      </w:pPr>
      <w:r w:rsidRPr="006723D7">
        <w:rPr>
          <w:b/>
          <w:bCs/>
        </w:rPr>
        <w:t>A</w:t>
      </w:r>
      <w:r w:rsidR="00407828" w:rsidRPr="006723D7">
        <w:rPr>
          <w:b/>
          <w:bCs/>
        </w:rPr>
        <w:t>dopt a</w:t>
      </w:r>
      <w:r w:rsidRPr="006723D7">
        <w:rPr>
          <w:b/>
          <w:bCs/>
        </w:rPr>
        <w:t xml:space="preserve">mbitious </w:t>
      </w:r>
      <w:r w:rsidR="006723D7">
        <w:rPr>
          <w:b/>
          <w:bCs/>
        </w:rPr>
        <w:t xml:space="preserve">international </w:t>
      </w:r>
      <w:r w:rsidRPr="006723D7">
        <w:rPr>
          <w:b/>
          <w:bCs/>
        </w:rPr>
        <w:t>targets</w:t>
      </w:r>
      <w:r w:rsidR="003B4A54">
        <w:rPr>
          <w:b/>
          <w:bCs/>
        </w:rPr>
        <w:t>.</w:t>
      </w:r>
    </w:p>
    <w:p w14:paraId="0D82E35F" w14:textId="59E378DC" w:rsidR="00524FC3" w:rsidRDefault="00524FC3" w:rsidP="00276209">
      <w:pPr>
        <w:pStyle w:val="ListParagraph"/>
        <w:numPr>
          <w:ilvl w:val="1"/>
          <w:numId w:val="9"/>
        </w:numPr>
      </w:pPr>
      <w:r>
        <w:t xml:space="preserve">Adopt the </w:t>
      </w:r>
      <w:r w:rsidR="00DD2B71">
        <w:t xml:space="preserve">proposed </w:t>
      </w:r>
      <w:r>
        <w:t>2040 target for 90% emissions reduction</w:t>
      </w:r>
      <w:r w:rsidR="00DD2B71">
        <w:t xml:space="preserve">, and use this to bring forward a world leading </w:t>
      </w:r>
      <w:r w:rsidR="002347C7">
        <w:t>NDC</w:t>
      </w:r>
      <w:r w:rsidR="00DD2B71">
        <w:t xml:space="preserve"> ahead of COP30.</w:t>
      </w:r>
      <w:r w:rsidR="00DD2B71">
        <w:rPr>
          <w:rStyle w:val="FootnoteReference"/>
        </w:rPr>
        <w:footnoteReference w:id="12"/>
      </w:r>
      <w:r w:rsidR="00DD2B71">
        <w:t xml:space="preserve"> </w:t>
      </w:r>
    </w:p>
    <w:p w14:paraId="6DDACBC5" w14:textId="7FCCDD75" w:rsidR="006443DD" w:rsidRDefault="006443DD" w:rsidP="0040781C">
      <w:pPr>
        <w:pStyle w:val="ListParagraph"/>
        <w:numPr>
          <w:ilvl w:val="1"/>
          <w:numId w:val="9"/>
        </w:numPr>
      </w:pPr>
      <w:r>
        <w:t>Encourage other high-income countries to increase the</w:t>
      </w:r>
      <w:r w:rsidR="00DD2B71">
        <w:t xml:space="preserve">ir </w:t>
      </w:r>
      <w:r w:rsidR="00D173EE">
        <w:t xml:space="preserve">contributions to the NCQG </w:t>
      </w:r>
      <w:r>
        <w:t>on finance</w:t>
      </w:r>
      <w:r w:rsidR="005901DA">
        <w:t>.</w:t>
      </w:r>
      <w:r>
        <w:t xml:space="preserve"> </w:t>
      </w:r>
    </w:p>
    <w:p w14:paraId="05B32853" w14:textId="28339A7C" w:rsidR="00564935" w:rsidRPr="003939BA" w:rsidRDefault="008C3BDC" w:rsidP="00E12F2A">
      <w:pPr>
        <w:pStyle w:val="ListParagraph"/>
        <w:numPr>
          <w:ilvl w:val="0"/>
          <w:numId w:val="9"/>
        </w:numPr>
        <w:rPr>
          <w:b/>
          <w:bCs/>
        </w:rPr>
      </w:pPr>
      <w:r w:rsidRPr="003939BA">
        <w:rPr>
          <w:b/>
          <w:bCs/>
        </w:rPr>
        <w:t>Commit to</w:t>
      </w:r>
      <w:r w:rsidR="006723D7" w:rsidRPr="003939BA">
        <w:rPr>
          <w:b/>
          <w:bCs/>
        </w:rPr>
        <w:t xml:space="preserve"> targets through firm policy, which phases down fossil fuels over time</w:t>
      </w:r>
      <w:r w:rsidR="003B4A54">
        <w:rPr>
          <w:b/>
          <w:bCs/>
        </w:rPr>
        <w:t>.</w:t>
      </w:r>
      <w:r w:rsidR="00564935" w:rsidRPr="003939BA">
        <w:rPr>
          <w:b/>
          <w:bCs/>
        </w:rPr>
        <w:t xml:space="preserve"> </w:t>
      </w:r>
    </w:p>
    <w:p w14:paraId="012B68A7" w14:textId="70C2B07F" w:rsidR="00524FC3" w:rsidRDefault="00524FC3" w:rsidP="005126A7">
      <w:pPr>
        <w:pStyle w:val="ListParagraph"/>
        <w:numPr>
          <w:ilvl w:val="1"/>
          <w:numId w:val="9"/>
        </w:numPr>
      </w:pPr>
      <w:r>
        <w:t>Maintain currently agreed-upon timelines for decarboni</w:t>
      </w:r>
      <w:r w:rsidR="005901DA">
        <w:t>s</w:t>
      </w:r>
      <w:r>
        <w:t xml:space="preserve">ing </w:t>
      </w:r>
      <w:r w:rsidR="00C20104">
        <w:t>t</w:t>
      </w:r>
      <w:r>
        <w:t>ransport (</w:t>
      </w:r>
      <w:r w:rsidR="005537B5">
        <w:t>internal combustion engine</w:t>
      </w:r>
      <w:r w:rsidR="006723D7">
        <w:t xml:space="preserve"> sales</w:t>
      </w:r>
      <w:r w:rsidR="005537B5">
        <w:t xml:space="preserve"> </w:t>
      </w:r>
      <w:r>
        <w:t>ban</w:t>
      </w:r>
      <w:r w:rsidR="006723D7">
        <w:t xml:space="preserve"> for 2035</w:t>
      </w:r>
      <w:r>
        <w:t>)</w:t>
      </w:r>
      <w:r w:rsidR="00C20104">
        <w:t xml:space="preserve">, and clarify key aspects </w:t>
      </w:r>
      <w:r w:rsidR="001B56CD">
        <w:t xml:space="preserve">of </w:t>
      </w:r>
      <w:r w:rsidR="00C20104">
        <w:t xml:space="preserve">buildings </w:t>
      </w:r>
      <w:r w:rsidR="001B56CD">
        <w:t xml:space="preserve">policy </w:t>
      </w:r>
      <w:r w:rsidR="00C20104">
        <w:t>(</w:t>
      </w:r>
      <w:r w:rsidR="001B56CD">
        <w:t xml:space="preserve">i.e. the phase out date for fossil fuel boilers within the </w:t>
      </w:r>
      <w:r w:rsidR="00C20104">
        <w:t>Energy Performance of Buildings Directive)</w:t>
      </w:r>
      <w:r w:rsidR="005901DA">
        <w:t>.</w:t>
      </w:r>
    </w:p>
    <w:p w14:paraId="439EB3BD" w14:textId="39DDDC7C" w:rsidR="007D5868" w:rsidRDefault="001B52F0" w:rsidP="001064C0">
      <w:pPr>
        <w:pStyle w:val="ListParagraph"/>
        <w:numPr>
          <w:ilvl w:val="1"/>
          <w:numId w:val="9"/>
        </w:numPr>
      </w:pPr>
      <w:r>
        <w:t xml:space="preserve">Reform tariff structure and energy taxation frameworks which still favour fossil fuel over electricity use. The revision of the Energy Taxation Directive should be a priority for the next Commission. </w:t>
      </w:r>
    </w:p>
    <w:p w14:paraId="450A6306" w14:textId="77777777" w:rsidR="00B43A50" w:rsidRPr="00B43A50" w:rsidRDefault="00B43A50" w:rsidP="00276209">
      <w:pPr>
        <w:pStyle w:val="ListParagraph"/>
        <w:numPr>
          <w:ilvl w:val="0"/>
          <w:numId w:val="9"/>
        </w:numPr>
        <w:rPr>
          <w:b/>
          <w:bCs/>
        </w:rPr>
      </w:pPr>
      <w:r w:rsidRPr="00B43A50">
        <w:rPr>
          <w:b/>
          <w:bCs/>
        </w:rPr>
        <w:t xml:space="preserve">Strengthen carbon pricing as a key tool. </w:t>
      </w:r>
    </w:p>
    <w:p w14:paraId="7DC7C3EB" w14:textId="7BADB5FA" w:rsidR="00295E93" w:rsidRDefault="00B43A50" w:rsidP="00B43A50">
      <w:pPr>
        <w:pStyle w:val="ListParagraph"/>
        <w:numPr>
          <w:ilvl w:val="1"/>
          <w:numId w:val="9"/>
        </w:numPr>
      </w:pPr>
      <w:r>
        <w:t>Through robust implementation of CBAM, smart extension of the scheme to other sectors (e.g.</w:t>
      </w:r>
      <w:r w:rsidR="004230ED">
        <w:t>,</w:t>
      </w:r>
      <w:r>
        <w:t xml:space="preserve"> ETS2 – see below), and longer-term inclusion of carbon dioxide removal </w:t>
      </w:r>
      <w:r w:rsidR="001F6381">
        <w:t xml:space="preserve">(CDR) </w:t>
      </w:r>
      <w:r>
        <w:t xml:space="preserve">mechanisms. </w:t>
      </w:r>
    </w:p>
    <w:p w14:paraId="3F6F5F60" w14:textId="2F996B02" w:rsidR="00F41B75" w:rsidRDefault="00F41B75" w:rsidP="006443DD">
      <w:pPr>
        <w:spacing w:after="200"/>
      </w:pPr>
    </w:p>
    <w:p w14:paraId="021D667D" w14:textId="451DC3F2" w:rsidR="00A039BB" w:rsidRDefault="00F8456E" w:rsidP="001064C0">
      <w:r w:rsidRPr="006820A1">
        <w:rPr>
          <w:b/>
          <w:bCs/>
        </w:rPr>
        <w:t>COMPLETE THE PICTURE</w:t>
      </w:r>
      <w:r w:rsidR="00A039BB">
        <w:t xml:space="preserve"> </w:t>
      </w:r>
    </w:p>
    <w:p w14:paraId="3C7551AC" w14:textId="77777777" w:rsidR="00E37D18" w:rsidRDefault="001B3459" w:rsidP="008F03BA">
      <w:pPr>
        <w:spacing w:after="200"/>
      </w:pPr>
      <w:r>
        <w:t xml:space="preserve">As noted above, progress in Europe risks lagging behind other key regions. A focus in Europe on </w:t>
      </w:r>
      <w:r w:rsidR="00B21B35">
        <w:t xml:space="preserve">clean power and efficiency needs to be extended to deliver emissions reductions across all sectors, ensuring implementation in a fair way brings citizens and consumers along in the transition. </w:t>
      </w:r>
      <w:r w:rsidR="00E37D18">
        <w:t xml:space="preserve">Key areas of focus include: </w:t>
      </w:r>
    </w:p>
    <w:p w14:paraId="7434E5B6" w14:textId="77777777" w:rsidR="0035407E" w:rsidRDefault="00B90C95" w:rsidP="0035407E">
      <w:pPr>
        <w:pStyle w:val="ListParagraph"/>
        <w:numPr>
          <w:ilvl w:val="0"/>
          <w:numId w:val="39"/>
        </w:numPr>
        <w:spacing w:after="200"/>
      </w:pPr>
      <w:r w:rsidRPr="00305F21">
        <w:rPr>
          <w:b/>
          <w:bCs/>
        </w:rPr>
        <w:t>Fairness in pricing mechanisms</w:t>
      </w:r>
      <w:r>
        <w:t xml:space="preserve">. Such as ensuring the extension of carbon pricing (via the incoming ETS2) to transportation and buildings sectors doesn’t leave low income households exposed to increased costs they aren’t able to avoid. Similarly, </w:t>
      </w:r>
      <w:r w:rsidR="00305F21">
        <w:t xml:space="preserve">many pricing mechanisms either disfavour electrification or </w:t>
      </w:r>
      <w:r w:rsidR="0035407E">
        <w:t xml:space="preserve">don’t allow the benefits of cheap low-carbon electricity to be passed through to consumers. </w:t>
      </w:r>
    </w:p>
    <w:p w14:paraId="20F27DB3" w14:textId="274ABE54" w:rsidR="00095716" w:rsidRDefault="0035407E" w:rsidP="00095716">
      <w:pPr>
        <w:pStyle w:val="ListParagraph"/>
        <w:numPr>
          <w:ilvl w:val="0"/>
          <w:numId w:val="39"/>
        </w:numPr>
        <w:spacing w:after="200"/>
      </w:pPr>
      <w:r>
        <w:rPr>
          <w:b/>
          <w:bCs/>
        </w:rPr>
        <w:t>Ensure policy leads to actions across all sectors</w:t>
      </w:r>
      <w:r w:rsidRPr="0035407E">
        <w:t>.</w:t>
      </w:r>
      <w:r>
        <w:t xml:space="preserve"> Whilst bold plans are </w:t>
      </w:r>
      <w:r w:rsidR="006D2CEC">
        <w:t>being made outside of the power sector, such as in clean hydrogen, carbon capture</w:t>
      </w:r>
      <w:r w:rsidR="00415CCE">
        <w:t>, and sustainable aviation and shipping fuels, the lack of firm derisking and offtake mechanisms means industry won’t commit.</w:t>
      </w:r>
      <w:r w:rsidR="00763AAE">
        <w:rPr>
          <w:rStyle w:val="FootnoteReference"/>
        </w:rPr>
        <w:footnoteReference w:id="13"/>
      </w:r>
      <w:r w:rsidR="00415CCE">
        <w:t xml:space="preserve"> </w:t>
      </w:r>
      <w:r w:rsidR="00527401">
        <w:t xml:space="preserve">Public (and private) procurement will be a key lever. Beyond this, public balance sheets may be required for additional de-risking, and in some cases </w:t>
      </w:r>
      <w:r w:rsidR="00095716">
        <w:t>first of a kind subsidy.</w:t>
      </w:r>
    </w:p>
    <w:p w14:paraId="7B1254AD" w14:textId="3E90FAC3" w:rsidR="006F5500" w:rsidRDefault="00095716" w:rsidP="00095716">
      <w:pPr>
        <w:pStyle w:val="ListParagraph"/>
        <w:numPr>
          <w:ilvl w:val="0"/>
          <w:numId w:val="39"/>
        </w:numPr>
        <w:spacing w:after="200"/>
      </w:pPr>
      <w:r w:rsidRPr="00A96C4D">
        <w:rPr>
          <w:b/>
          <w:bCs/>
        </w:rPr>
        <w:t xml:space="preserve">Ensure </w:t>
      </w:r>
      <w:r w:rsidR="006F5500" w:rsidRPr="00A96C4D">
        <w:rPr>
          <w:b/>
          <w:bCs/>
        </w:rPr>
        <w:t xml:space="preserve">Member </w:t>
      </w:r>
      <w:r w:rsidRPr="00A96C4D">
        <w:rPr>
          <w:b/>
          <w:bCs/>
        </w:rPr>
        <w:t>S</w:t>
      </w:r>
      <w:r w:rsidR="006F5500" w:rsidRPr="00A96C4D">
        <w:rPr>
          <w:b/>
          <w:bCs/>
        </w:rPr>
        <w:t>tate implementation</w:t>
      </w:r>
      <w:r w:rsidRPr="00A96C4D">
        <w:rPr>
          <w:b/>
          <w:bCs/>
        </w:rPr>
        <w:t>.</w:t>
      </w:r>
      <w:r>
        <w:t xml:space="preserve"> </w:t>
      </w:r>
      <w:r w:rsidR="006F5500">
        <w:t xml:space="preserve">While targets may be set by the EU, action is done by the </w:t>
      </w:r>
      <w:r w:rsidR="0094093F">
        <w:t>M</w:t>
      </w:r>
      <w:r w:rsidR="006F5500">
        <w:t xml:space="preserve">ember </w:t>
      </w:r>
      <w:r w:rsidR="0094093F">
        <w:t>S</w:t>
      </w:r>
      <w:r w:rsidR="006F5500">
        <w:t>tates</w:t>
      </w:r>
      <w:r w:rsidR="00A619E9">
        <w:t>. Though European principles are often adopted, action towards them (</w:t>
      </w:r>
      <w:r w:rsidR="00AC1FC0">
        <w:t>and related enforcement) often underperforms.</w:t>
      </w:r>
      <w:r w:rsidR="00AC1FC0">
        <w:rPr>
          <w:rStyle w:val="FootnoteReference"/>
        </w:rPr>
        <w:footnoteReference w:id="14"/>
      </w:r>
      <w:r w:rsidR="00AC1FC0">
        <w:t xml:space="preserve"> In many cases, sharing of best practice </w:t>
      </w:r>
      <w:r w:rsidR="003C6A8F">
        <w:t xml:space="preserve">– such as planning simplification, or </w:t>
      </w:r>
      <w:r w:rsidR="00D069DA">
        <w:t>short-term exemption measures</w:t>
      </w:r>
      <w:r w:rsidR="00D069DA">
        <w:rPr>
          <w:rStyle w:val="FootnoteReference"/>
        </w:rPr>
        <w:footnoteReference w:id="15"/>
      </w:r>
      <w:r w:rsidR="00A96C4D">
        <w:t xml:space="preserve"> </w:t>
      </w:r>
      <w:r w:rsidR="00FF05AB">
        <w:t>–</w:t>
      </w:r>
      <w:r w:rsidR="00A96C4D">
        <w:t xml:space="preserve"> can accelerate progress at no additional cost. </w:t>
      </w:r>
    </w:p>
    <w:p w14:paraId="70F08EC8" w14:textId="3F87C811" w:rsidR="00A039BB" w:rsidRDefault="00466D95" w:rsidP="00A039BB">
      <w:pPr>
        <w:spacing w:after="200"/>
      </w:pPr>
      <w:r>
        <w:t xml:space="preserve">Key recommendations: </w:t>
      </w:r>
    </w:p>
    <w:p w14:paraId="13FFAB30" w14:textId="5E0AF029" w:rsidR="00E4202D" w:rsidRPr="00466D95" w:rsidRDefault="00E4202D" w:rsidP="00E4202D">
      <w:pPr>
        <w:pStyle w:val="ListParagraph"/>
        <w:numPr>
          <w:ilvl w:val="0"/>
          <w:numId w:val="9"/>
        </w:numPr>
        <w:rPr>
          <w:b/>
          <w:bCs/>
        </w:rPr>
      </w:pPr>
      <w:r w:rsidRPr="00466D95">
        <w:rPr>
          <w:b/>
          <w:bCs/>
        </w:rPr>
        <w:t>Enable affordability</w:t>
      </w:r>
      <w:r w:rsidR="003B4A54">
        <w:rPr>
          <w:b/>
          <w:bCs/>
        </w:rPr>
        <w:t>.</w:t>
      </w:r>
    </w:p>
    <w:p w14:paraId="5CDC8C4F" w14:textId="17C07FE1" w:rsidR="00E4202D" w:rsidRDefault="00E4202D" w:rsidP="00E4202D">
      <w:pPr>
        <w:pStyle w:val="ListParagraph"/>
        <w:numPr>
          <w:ilvl w:val="1"/>
          <w:numId w:val="9"/>
        </w:numPr>
      </w:pPr>
      <w:r w:rsidRPr="00507593">
        <w:t>Target financial incentives at low-income households where citizens must invest in decarboni</w:t>
      </w:r>
      <w:r w:rsidR="00A91ECB">
        <w:t>s</w:t>
      </w:r>
      <w:r w:rsidRPr="00507593">
        <w:t xml:space="preserve">ation </w:t>
      </w:r>
      <w:r w:rsidR="008458AC" w:rsidRPr="008458AC">
        <w:t>–</w:t>
      </w:r>
      <w:r w:rsidRPr="00507593">
        <w:t xml:space="preserve"> like tax breaks, grants, and subsidi</w:t>
      </w:r>
      <w:r w:rsidR="00A91ECB">
        <w:t>s</w:t>
      </w:r>
      <w:r w:rsidRPr="00507593">
        <w:t xml:space="preserve">ed loans to encourage citizens to invest in energy-efficient renovations, heat pumps,  </w:t>
      </w:r>
      <w:r w:rsidR="001F0700">
        <w:t>EVs</w:t>
      </w:r>
      <w:r w:rsidRPr="00507593">
        <w:t>, etc.</w:t>
      </w:r>
    </w:p>
    <w:p w14:paraId="5734E827" w14:textId="5CEC608F" w:rsidR="00466D95" w:rsidRPr="00501741" w:rsidRDefault="00466D95" w:rsidP="00E4202D">
      <w:pPr>
        <w:pStyle w:val="ListParagraph"/>
        <w:numPr>
          <w:ilvl w:val="1"/>
          <w:numId w:val="9"/>
        </w:numPr>
      </w:pPr>
      <w:r>
        <w:t xml:space="preserve">Increase the use of two-way </w:t>
      </w:r>
      <w:r w:rsidR="00831582">
        <w:t>contracts for difference (</w:t>
      </w:r>
      <w:r>
        <w:t>CfDs</w:t>
      </w:r>
      <w:r w:rsidR="00831582">
        <w:t>)</w:t>
      </w:r>
      <w:r>
        <w:t xml:space="preserve"> in the power sector, as per the Draghi recommendation, increasing periods where the true cost of generating electricity </w:t>
      </w:r>
      <w:r w:rsidRPr="00501741">
        <w:t xml:space="preserve">is actively reflected in the price. </w:t>
      </w:r>
    </w:p>
    <w:p w14:paraId="3201221E" w14:textId="0151B8AF" w:rsidR="00466D95" w:rsidRPr="00501741" w:rsidRDefault="007D2C4B">
      <w:pPr>
        <w:pStyle w:val="ListParagraph"/>
        <w:numPr>
          <w:ilvl w:val="1"/>
          <w:numId w:val="9"/>
        </w:numPr>
      </w:pPr>
      <w:r w:rsidRPr="00501741">
        <w:t>Encourage electricity network pricing mechanisms that favour expansion and optimi</w:t>
      </w:r>
      <w:r w:rsidR="008223F8">
        <w:t>s</w:t>
      </w:r>
      <w:r w:rsidRPr="00501741">
        <w:t xml:space="preserve">ation of electricity networks, whilst safeguarding vulnerable consumers. Within this, consider how </w:t>
      </w:r>
      <w:r w:rsidR="00501741" w:rsidRPr="00501741">
        <w:t>network pricing affects potential uptake of electrification solutions (e.g.</w:t>
      </w:r>
      <w:r w:rsidR="008223F8">
        <w:t>,</w:t>
      </w:r>
      <w:r w:rsidR="00501741" w:rsidRPr="00501741">
        <w:t xml:space="preserve"> thermal electricity storage for industrial heat)</w:t>
      </w:r>
      <w:r w:rsidR="00501741" w:rsidRPr="00501741">
        <w:rPr>
          <w:rStyle w:val="FootnoteReference"/>
        </w:rPr>
        <w:footnoteReference w:id="16"/>
      </w:r>
      <w:r w:rsidR="00501741" w:rsidRPr="00501741">
        <w:t xml:space="preserve"> and whether additional specific reforms may be required.</w:t>
      </w:r>
    </w:p>
    <w:p w14:paraId="6FB51785" w14:textId="69CD3A76" w:rsidR="00377DD8" w:rsidRPr="00466D95" w:rsidRDefault="00542304">
      <w:pPr>
        <w:pStyle w:val="ListParagraph"/>
        <w:numPr>
          <w:ilvl w:val="0"/>
          <w:numId w:val="9"/>
        </w:numPr>
        <w:rPr>
          <w:b/>
          <w:bCs/>
        </w:rPr>
      </w:pPr>
      <w:r>
        <w:rPr>
          <w:b/>
          <w:bCs/>
        </w:rPr>
        <w:t xml:space="preserve">Expand </w:t>
      </w:r>
      <w:r w:rsidR="00460D48" w:rsidRPr="00466D95">
        <w:rPr>
          <w:b/>
          <w:bCs/>
        </w:rPr>
        <w:t>polic</w:t>
      </w:r>
      <w:r>
        <w:rPr>
          <w:b/>
          <w:bCs/>
        </w:rPr>
        <w:t>y to</w:t>
      </w:r>
      <w:r w:rsidR="00460D48" w:rsidRPr="00466D95">
        <w:rPr>
          <w:b/>
          <w:bCs/>
        </w:rPr>
        <w:t xml:space="preserve"> </w:t>
      </w:r>
      <w:r w:rsidR="00E4202D" w:rsidRPr="00466D95">
        <w:rPr>
          <w:b/>
          <w:bCs/>
        </w:rPr>
        <w:t xml:space="preserve">reach </w:t>
      </w:r>
      <w:r>
        <w:rPr>
          <w:b/>
          <w:bCs/>
        </w:rPr>
        <w:t>all sectors</w:t>
      </w:r>
      <w:r w:rsidR="003B4A54">
        <w:rPr>
          <w:b/>
          <w:bCs/>
        </w:rPr>
        <w:t>.</w:t>
      </w:r>
    </w:p>
    <w:p w14:paraId="05AAA438" w14:textId="0A40832A" w:rsidR="00606AFB" w:rsidRDefault="00606AFB" w:rsidP="004F7DE5">
      <w:pPr>
        <w:pStyle w:val="ListParagraph"/>
        <w:numPr>
          <w:ilvl w:val="1"/>
          <w:numId w:val="9"/>
        </w:numPr>
      </w:pPr>
      <w:r>
        <w:t xml:space="preserve">Expand the European Hydrogen Bank model to other emerging and/or strategic net-zero technologies to facilitate access to EU and Member State funds. </w:t>
      </w:r>
    </w:p>
    <w:p w14:paraId="1154378A" w14:textId="06AF144E" w:rsidR="00377DD8" w:rsidRDefault="00377DD8" w:rsidP="001064C0">
      <w:pPr>
        <w:pStyle w:val="ListParagraph"/>
        <w:numPr>
          <w:ilvl w:val="1"/>
          <w:numId w:val="9"/>
        </w:numPr>
      </w:pPr>
      <w:r w:rsidRPr="00D0020F">
        <w:t xml:space="preserve">Provide certification for green </w:t>
      </w:r>
      <w:r>
        <w:t xml:space="preserve">hydrogen </w:t>
      </w:r>
      <w:r w:rsidRPr="00D0020F">
        <w:t>and renewable fuels of non-biological origin.</w:t>
      </w:r>
    </w:p>
    <w:p w14:paraId="66E36419" w14:textId="229356C3" w:rsidR="00377DD8" w:rsidRDefault="00377DD8" w:rsidP="001064C0">
      <w:pPr>
        <w:pStyle w:val="ListParagraph"/>
        <w:numPr>
          <w:ilvl w:val="1"/>
          <w:numId w:val="9"/>
        </w:numPr>
      </w:pPr>
      <w:r w:rsidRPr="00D0020F">
        <w:t xml:space="preserve">Provide clear rules and incentives for </w:t>
      </w:r>
      <w:r w:rsidR="00326ED4">
        <w:t>Carbon Capture Utilisation and Storage (</w:t>
      </w:r>
      <w:r w:rsidRPr="00D0020F">
        <w:t>CCUS</w:t>
      </w:r>
      <w:r w:rsidR="00326ED4">
        <w:t>)</w:t>
      </w:r>
      <w:r w:rsidRPr="00D0020F">
        <w:t xml:space="preserve"> deployment, including CO</w:t>
      </w:r>
      <w:r w:rsidRPr="00B208A5">
        <w:rPr>
          <w:vertAlign w:val="subscript"/>
        </w:rPr>
        <w:t>2</w:t>
      </w:r>
      <w:r w:rsidRPr="00D0020F">
        <w:t xml:space="preserve"> storage permitting, liability frameworks, and financial support mechanisms.</w:t>
      </w:r>
    </w:p>
    <w:p w14:paraId="3C841169" w14:textId="28CB2788" w:rsidR="00377DD8" w:rsidRDefault="00377DD8" w:rsidP="004F7DE5">
      <w:pPr>
        <w:pStyle w:val="ListParagraph"/>
        <w:numPr>
          <w:ilvl w:val="1"/>
          <w:numId w:val="9"/>
        </w:numPr>
      </w:pPr>
      <w:r w:rsidRPr="00D0020F">
        <w:t xml:space="preserve">Integrate </w:t>
      </w:r>
      <w:r w:rsidR="001F6381">
        <w:t>CDR</w:t>
      </w:r>
      <w:r w:rsidRPr="00D0020F">
        <w:t xml:space="preserve"> into the EU ETS to provide a carbon pricing signal that incentivi</w:t>
      </w:r>
      <w:r w:rsidR="001F6381">
        <w:t>s</w:t>
      </w:r>
      <w:r w:rsidRPr="00D0020F">
        <w:t>es capture and storage of CO</w:t>
      </w:r>
      <w:r w:rsidRPr="00B208A5">
        <w:rPr>
          <w:vertAlign w:val="subscript"/>
        </w:rPr>
        <w:t>2</w:t>
      </w:r>
      <w:r w:rsidRPr="00D0020F">
        <w:t xml:space="preserve"> emissions. </w:t>
      </w:r>
    </w:p>
    <w:p w14:paraId="14536C76" w14:textId="2B74E96F" w:rsidR="00E4202D" w:rsidRDefault="00E4202D" w:rsidP="004F7DE5">
      <w:pPr>
        <w:pStyle w:val="ListParagraph"/>
        <w:numPr>
          <w:ilvl w:val="1"/>
          <w:numId w:val="9"/>
        </w:numPr>
      </w:pPr>
      <w:r>
        <w:t xml:space="preserve">Expand offtake </w:t>
      </w:r>
      <w:r w:rsidR="00A76AAB">
        <w:t>for low carbon goods (e.g.</w:t>
      </w:r>
      <w:r w:rsidR="001F6381">
        <w:t>,</w:t>
      </w:r>
      <w:r w:rsidR="00A76AAB">
        <w:t xml:space="preserve"> steel, ammonia) through direct public procurement, and </w:t>
      </w:r>
      <w:r w:rsidR="00466D95">
        <w:t xml:space="preserve">green </w:t>
      </w:r>
      <w:r w:rsidR="001F6381">
        <w:t>“</w:t>
      </w:r>
      <w:r w:rsidR="00466D95">
        <w:t>market maker</w:t>
      </w:r>
      <w:r w:rsidR="001F6381">
        <w:t>”</w:t>
      </w:r>
      <w:r w:rsidR="00466D95">
        <w:t xml:space="preserve"> mechanisms.</w:t>
      </w:r>
      <w:r w:rsidR="00466D95" w:rsidRPr="00466D95">
        <w:rPr>
          <w:rStyle w:val="FootnoteReference"/>
        </w:rPr>
        <w:t xml:space="preserve"> </w:t>
      </w:r>
      <w:r w:rsidR="00466D95">
        <w:rPr>
          <w:rStyle w:val="FootnoteReference"/>
        </w:rPr>
        <w:footnoteReference w:id="17"/>
      </w:r>
      <w:r w:rsidR="00466D95">
        <w:t xml:space="preserve"> </w:t>
      </w:r>
    </w:p>
    <w:p w14:paraId="41969698" w14:textId="30291B8F" w:rsidR="003B4F6D" w:rsidRPr="007D2C4B" w:rsidRDefault="003B4F6D" w:rsidP="003B4F6D">
      <w:pPr>
        <w:pStyle w:val="ListParagraph"/>
        <w:numPr>
          <w:ilvl w:val="0"/>
          <w:numId w:val="9"/>
        </w:numPr>
        <w:rPr>
          <w:b/>
          <w:bCs/>
        </w:rPr>
      </w:pPr>
      <w:r w:rsidRPr="007D2C4B">
        <w:rPr>
          <w:b/>
          <w:bCs/>
        </w:rPr>
        <w:t>Accelerate deployment</w:t>
      </w:r>
      <w:r w:rsidR="003B4A54">
        <w:rPr>
          <w:b/>
          <w:bCs/>
        </w:rPr>
        <w:t>.</w:t>
      </w:r>
    </w:p>
    <w:p w14:paraId="77A2361C" w14:textId="77777777" w:rsidR="003B4F6D" w:rsidRDefault="003B4F6D" w:rsidP="003B4F6D">
      <w:pPr>
        <w:pStyle w:val="ListParagraph"/>
        <w:numPr>
          <w:ilvl w:val="1"/>
          <w:numId w:val="9"/>
        </w:numPr>
      </w:pPr>
      <w:r>
        <w:t>I</w:t>
      </w:r>
      <w:r w:rsidRPr="00D0020F">
        <w:t xml:space="preserve">nvest in supporting Member States in administrative delivery of the energy transition. This includes: </w:t>
      </w:r>
    </w:p>
    <w:p w14:paraId="4C0EEC2B" w14:textId="49A5CC72" w:rsidR="003B4F6D" w:rsidRDefault="003B4F6D" w:rsidP="003B4F6D">
      <w:pPr>
        <w:pStyle w:val="ListParagraph"/>
        <w:numPr>
          <w:ilvl w:val="2"/>
          <w:numId w:val="9"/>
        </w:numPr>
      </w:pPr>
      <w:r w:rsidRPr="00D0020F">
        <w:t>Speeding up planning and permitting, including through one-stop-shops and digitali</w:t>
      </w:r>
      <w:r w:rsidR="001F6381">
        <w:t>s</w:t>
      </w:r>
      <w:r w:rsidRPr="00D0020F">
        <w:t>ation</w:t>
      </w:r>
      <w:r w:rsidR="001F6381">
        <w:t>.</w:t>
      </w:r>
    </w:p>
    <w:p w14:paraId="1FF3989A" w14:textId="04669BC8" w:rsidR="003B4F6D" w:rsidRDefault="003B4F6D" w:rsidP="003B4F6D">
      <w:pPr>
        <w:pStyle w:val="ListParagraph"/>
        <w:numPr>
          <w:ilvl w:val="2"/>
          <w:numId w:val="9"/>
        </w:numPr>
      </w:pPr>
      <w:r w:rsidRPr="00D0020F">
        <w:t>Ensuring the rapid and effective implementation of the Electricity Market Reform</w:t>
      </w:r>
      <w:r w:rsidR="001F6381">
        <w:t>.</w:t>
      </w:r>
    </w:p>
    <w:p w14:paraId="617AF264" w14:textId="3361FF86" w:rsidR="00C43885" w:rsidRDefault="00C43885" w:rsidP="003B4F6D">
      <w:pPr>
        <w:pStyle w:val="ListParagraph"/>
        <w:numPr>
          <w:ilvl w:val="2"/>
          <w:numId w:val="9"/>
        </w:numPr>
      </w:pPr>
      <w:r>
        <w:t>Ensuring electricity market mechanisms delivery grid expansion and optimi</w:t>
      </w:r>
      <w:r w:rsidR="001F6381">
        <w:t>s</w:t>
      </w:r>
      <w:r>
        <w:t xml:space="preserve">ation, as well as focus on overall system balancing needs for variable renewables. </w:t>
      </w:r>
    </w:p>
    <w:p w14:paraId="7B9E20B1" w14:textId="7F8B4FAF" w:rsidR="003B4F6D" w:rsidRDefault="003B4F6D" w:rsidP="003B4F6D">
      <w:pPr>
        <w:pStyle w:val="ListParagraph"/>
        <w:numPr>
          <w:ilvl w:val="2"/>
          <w:numId w:val="9"/>
        </w:numPr>
      </w:pPr>
      <w:r w:rsidRPr="00D0020F">
        <w:t xml:space="preserve">Setting up auctions-as-a-service (i.e. the European Hydrogen Bank) across all </w:t>
      </w:r>
      <w:r w:rsidR="001F6381">
        <w:t>M</w:t>
      </w:r>
      <w:r>
        <w:t xml:space="preserve">ember </w:t>
      </w:r>
      <w:r w:rsidR="001F6381">
        <w:t>S</w:t>
      </w:r>
      <w:r>
        <w:t>tates</w:t>
      </w:r>
      <w:r w:rsidR="001F6381">
        <w:t>.</w:t>
      </w:r>
    </w:p>
    <w:p w14:paraId="7619B86E" w14:textId="22DAE9D2" w:rsidR="00254E3C" w:rsidRDefault="003B4F6D">
      <w:pPr>
        <w:pStyle w:val="ListParagraph"/>
        <w:numPr>
          <w:ilvl w:val="1"/>
          <w:numId w:val="9"/>
        </w:numPr>
        <w:spacing w:after="200"/>
      </w:pPr>
      <w:r w:rsidRPr="00D0020F">
        <w:t>Address political and social bottlenecks through industry and townhall dialogues, and communicating the economic and strategic advantages of the energy transition.</w:t>
      </w:r>
    </w:p>
    <w:p w14:paraId="03CD7561" w14:textId="348DCF6F" w:rsidR="001626DC" w:rsidRDefault="001626DC" w:rsidP="001626DC">
      <w:pPr>
        <w:pStyle w:val="ListParagraph"/>
        <w:numPr>
          <w:ilvl w:val="1"/>
          <w:numId w:val="9"/>
        </w:numPr>
      </w:pPr>
      <w:r>
        <w:t>For industries experiencing an overcapacity of workers (e.g.</w:t>
      </w:r>
      <w:r w:rsidR="00CF6EBF">
        <w:t>,</w:t>
      </w:r>
      <w:r>
        <w:t xml:space="preserve"> automakers), enact measures to help </w:t>
      </w:r>
      <w:r w:rsidRPr="008031A9">
        <w:t>reskill workers and deploy them in sectors that are in dire need of skilled workers (</w:t>
      </w:r>
      <w:r>
        <w:t xml:space="preserve">e.g., </w:t>
      </w:r>
      <w:r w:rsidRPr="008031A9">
        <w:t>energy system, power grids, etc.)</w:t>
      </w:r>
      <w:r w:rsidR="00CF6EBF">
        <w:t>.</w:t>
      </w:r>
    </w:p>
    <w:p w14:paraId="05631FFF" w14:textId="02ED7AAA" w:rsidR="00254E3C" w:rsidRDefault="00254E3C" w:rsidP="00A039BB">
      <w:pPr>
        <w:spacing w:after="200"/>
        <w:rPr>
          <w:b/>
          <w:bCs/>
        </w:rPr>
      </w:pPr>
      <w:r w:rsidRPr="001064C0">
        <w:rPr>
          <w:b/>
          <w:bCs/>
        </w:rPr>
        <w:t>FIND OUR COMPETITIVE ADVANTAGE</w:t>
      </w:r>
    </w:p>
    <w:p w14:paraId="59C565EF" w14:textId="76D62D3B" w:rsidR="004976F5" w:rsidRDefault="009950DF" w:rsidP="00516C89">
      <w:r>
        <w:t>T</w:t>
      </w:r>
      <w:r w:rsidR="006D24B8">
        <w:t>here is a risk that global environmental goals clash with local and regional trade and industrial policy</w:t>
      </w:r>
      <w:r>
        <w:t>, as noted above</w:t>
      </w:r>
      <w:r w:rsidR="006D24B8">
        <w:t xml:space="preserve">. </w:t>
      </w:r>
      <w:r w:rsidR="00151764">
        <w:t>Whereas the global goal should be to ensure a low cost clean energy transition that maximises economic opportunities, current policy implementation risks hampering m</w:t>
      </w:r>
      <w:r w:rsidR="00C211BB">
        <w:t xml:space="preserve">any of these objectives. </w:t>
      </w:r>
      <w:r w:rsidR="00C211BB" w:rsidRPr="00AC366D">
        <w:t xml:space="preserve">For instance, the EU’s anti-subsidy investigation into Chinese </w:t>
      </w:r>
      <w:r w:rsidR="0031514B">
        <w:t>EVs</w:t>
      </w:r>
      <w:r w:rsidR="00C211BB" w:rsidRPr="00AC366D">
        <w:t xml:space="preserve"> has resulted in additional tariffs, whil</w:t>
      </w:r>
      <w:r w:rsidR="00BE0927">
        <w:t>st</w:t>
      </w:r>
      <w:r w:rsidR="00C211BB" w:rsidRPr="00AC366D">
        <w:t xml:space="preserve"> efforts to build up domestic clean energy manufacturing</w:t>
      </w:r>
      <w:r w:rsidR="00FC7A36">
        <w:t xml:space="preserve"> </w:t>
      </w:r>
      <w:r w:rsidR="00C211BB" w:rsidRPr="00AC366D">
        <w:t>—</w:t>
      </w:r>
      <w:r w:rsidR="00FC7A36">
        <w:t xml:space="preserve"> </w:t>
      </w:r>
      <w:r w:rsidR="00C211BB" w:rsidRPr="00AC366D">
        <w:t>primarily through grants</w:t>
      </w:r>
      <w:r w:rsidR="00FC7A36">
        <w:t xml:space="preserve"> </w:t>
      </w:r>
      <w:r w:rsidR="00C211BB" w:rsidRPr="00AC366D">
        <w:t>—</w:t>
      </w:r>
      <w:r w:rsidR="00FC7A36">
        <w:t xml:space="preserve"> </w:t>
      </w:r>
      <w:r w:rsidR="00C211BB" w:rsidRPr="00AC366D">
        <w:t xml:space="preserve">are hindered by unclear and hard-to-access funding processes. </w:t>
      </w:r>
      <w:r w:rsidR="004976F5">
        <w:t>Often, state level support for industries in other geographies is</w:t>
      </w:r>
      <w:r w:rsidR="00F23823">
        <w:t xml:space="preserve"> no different </w:t>
      </w:r>
      <w:r w:rsidR="00EF4E24">
        <w:t>t</w:t>
      </w:r>
      <w:r w:rsidR="00F23823">
        <w:t>o support the EU has given to prior industries (e.g.</w:t>
      </w:r>
      <w:r w:rsidR="00FC7A36">
        <w:t>,</w:t>
      </w:r>
      <w:r w:rsidR="00F23823">
        <w:t xml:space="preserve"> solar PV).</w:t>
      </w:r>
    </w:p>
    <w:p w14:paraId="0F1613C0" w14:textId="7D929D40" w:rsidR="00C211BB" w:rsidRDefault="00C211BB" w:rsidP="00516C89">
      <w:r w:rsidRPr="00AC366D">
        <w:t>Balancing these policy actions</w:t>
      </w:r>
      <w:r w:rsidR="00F01A5C">
        <w:t>, and prioriti</w:t>
      </w:r>
      <w:r w:rsidR="00EF4E24">
        <w:t>s</w:t>
      </w:r>
      <w:r w:rsidR="00F01A5C">
        <w:t>ing areas where EU can have genuine competitive advantage</w:t>
      </w:r>
      <w:r w:rsidRPr="00AC366D">
        <w:t xml:space="preserve"> will be crucial for Europe’s competitiveness in the growing global clean tech</w:t>
      </w:r>
      <w:r w:rsidR="00F01A5C">
        <w:t>nology landscape</w:t>
      </w:r>
      <w:r w:rsidRPr="00AC366D">
        <w:t>.</w:t>
      </w:r>
      <w:r>
        <w:t xml:space="preserve"> </w:t>
      </w:r>
      <w:r w:rsidRPr="00DC5F29">
        <w:t xml:space="preserve">As the Draghi report has recently </w:t>
      </w:r>
      <w:r>
        <w:t>made clear</w:t>
      </w:r>
      <w:r w:rsidRPr="00DC5F29">
        <w:t xml:space="preserve">, </w:t>
      </w:r>
      <w:r>
        <w:t xml:space="preserve">if </w:t>
      </w:r>
      <w:r w:rsidRPr="00DC5F29">
        <w:t xml:space="preserve">Europe </w:t>
      </w:r>
      <w:r>
        <w:t xml:space="preserve">could </w:t>
      </w:r>
      <w:r w:rsidRPr="00DC5F29">
        <w:t>become a leader in clean technology</w:t>
      </w:r>
      <w:r>
        <w:t xml:space="preserve">, it could </w:t>
      </w:r>
      <w:r w:rsidRPr="00DC5F29">
        <w:t>boost its competitiveness while driving export growth</w:t>
      </w:r>
      <w:r>
        <w:t xml:space="preserve">; but </w:t>
      </w:r>
      <w:r w:rsidRPr="00DC5F29">
        <w:t>to do this, Europe must align industrial policy with environmental goals</w:t>
      </w:r>
      <w:r>
        <w:t xml:space="preserve"> to create </w:t>
      </w:r>
      <w:r w:rsidRPr="00DC5F29">
        <w:t>an environment where companies can innovate and scale their green technologies globally</w:t>
      </w:r>
      <w:r w:rsidR="00024C85">
        <w:t xml:space="preserve">. With a strong </w:t>
      </w:r>
      <w:r w:rsidR="00533F9B">
        <w:t>ETS,</w:t>
      </w:r>
      <w:r w:rsidR="00024C85">
        <w:t xml:space="preserve"> the introduction of CBAM and </w:t>
      </w:r>
      <w:r w:rsidR="001E5BAD">
        <w:t>extensions of these principles in the Batter</w:t>
      </w:r>
      <w:r w:rsidR="00A55DD1">
        <w:t>ies</w:t>
      </w:r>
      <w:r w:rsidR="001E5BAD">
        <w:t xml:space="preserve"> Regulation </w:t>
      </w:r>
      <w:r w:rsidR="00A55DD1">
        <w:t xml:space="preserve">give the EU a strong starting point. </w:t>
      </w:r>
    </w:p>
    <w:p w14:paraId="1D2F3CC5" w14:textId="19C9244E" w:rsidR="00516C89" w:rsidRDefault="00C37440" w:rsidP="001626DC">
      <w:r>
        <w:t xml:space="preserve">Separately, misconceptions around energy security present clean energy technology risks on the same footing as </w:t>
      </w:r>
      <w:r w:rsidR="0019679D">
        <w:t>fossil fuels. For example, w</w:t>
      </w:r>
      <w:r w:rsidR="0019679D" w:rsidRPr="00531217">
        <w:t>hile critics point to Europe’s increasing reliance on Chinese-manufactured solar and wind technologies, it’s important to note a key difference between renewables and fossil fuels: once installed, solar panels and wind turbines generate power without requiring a continuous fuel supply, unlike natural gas, which depends on constant imports.</w:t>
      </w:r>
      <w:r w:rsidR="0019679D">
        <w:t xml:space="preserve"> </w:t>
      </w:r>
      <w:r w:rsidR="00D86AA3" w:rsidRPr="00531217">
        <w:t>The EU’s decisive move away from natural gas was driven by the Russian invasion of Ukraine, which revealed the vulnerabilities of relying heavily on a single energy supplier.</w:t>
      </w:r>
      <w:r w:rsidR="0016616E">
        <w:t xml:space="preserve"> </w:t>
      </w:r>
      <w:r w:rsidR="0042299B">
        <w:t>The over-reliance</w:t>
      </w:r>
      <w:r w:rsidR="002B5193">
        <w:t xml:space="preserve">, which led to </w:t>
      </w:r>
      <w:r w:rsidR="0016616E" w:rsidRPr="00531217">
        <w:t xml:space="preserve">supply shortages </w:t>
      </w:r>
      <w:r w:rsidR="002B5193">
        <w:t>and</w:t>
      </w:r>
      <w:r w:rsidR="0016616E" w:rsidRPr="00531217">
        <w:t xml:space="preserve"> price spikes, </w:t>
      </w:r>
      <w:r w:rsidR="002B5193">
        <w:t>was driven by fossil fuels, not clean energy and ultimately Europe’s</w:t>
      </w:r>
      <w:r w:rsidR="0016616E">
        <w:t xml:space="preserve"> response – in increasing efficiency and renewables – has increased Europe’s energy security.</w:t>
      </w:r>
      <w:r w:rsidR="0016616E">
        <w:rPr>
          <w:rStyle w:val="FootnoteReference"/>
        </w:rPr>
        <w:footnoteReference w:id="18"/>
      </w:r>
      <w:r w:rsidR="00D86AA3" w:rsidRPr="00531217">
        <w:t xml:space="preserve"> </w:t>
      </w:r>
      <w:r w:rsidR="00A90D40">
        <w:t xml:space="preserve">However </w:t>
      </w:r>
      <w:r w:rsidR="002B5193">
        <w:t xml:space="preserve">across both fossil and clean, sole reliance on a single supplier poses </w:t>
      </w:r>
      <w:r w:rsidR="00A90D40">
        <w:t>risks, albeit different ones. The goal of the EU should therefore be appropriate diversification, whilst maximi</w:t>
      </w:r>
      <w:r w:rsidR="008337E7">
        <w:t>s</w:t>
      </w:r>
      <w:r w:rsidR="00A90D40">
        <w:t xml:space="preserve">ing both a low cost clean energy transition and expanding competitive advantage into targeted areas.  </w:t>
      </w:r>
    </w:p>
    <w:p w14:paraId="31A40DB2" w14:textId="57734415" w:rsidR="002445BD" w:rsidRDefault="00171BE2">
      <w:pPr>
        <w:spacing w:after="200"/>
      </w:pPr>
      <w:r>
        <w:t xml:space="preserve">Key Recommendations: </w:t>
      </w:r>
    </w:p>
    <w:p w14:paraId="17B0F066" w14:textId="249FB8B9" w:rsidR="00BD0050" w:rsidRPr="003F6E97" w:rsidRDefault="00BD0050" w:rsidP="00BD0050">
      <w:pPr>
        <w:pStyle w:val="ListParagraph"/>
        <w:numPr>
          <w:ilvl w:val="0"/>
          <w:numId w:val="9"/>
        </w:numPr>
        <w:rPr>
          <w:b/>
          <w:bCs/>
        </w:rPr>
      </w:pPr>
      <w:r w:rsidRPr="003F6E97">
        <w:rPr>
          <w:b/>
          <w:bCs/>
          <w:lang w:val="en-GB"/>
        </w:rPr>
        <w:t xml:space="preserve">Consider </w:t>
      </w:r>
      <w:r w:rsidR="00A24282" w:rsidRPr="003F6E97">
        <w:rPr>
          <w:b/>
          <w:bCs/>
          <w:lang w:val="en-GB"/>
        </w:rPr>
        <w:t>w</w:t>
      </w:r>
      <w:r w:rsidRPr="003F6E97">
        <w:rPr>
          <w:b/>
          <w:bCs/>
          <w:lang w:val="en-GB"/>
        </w:rPr>
        <w:t xml:space="preserve">here EU competitive advantage is best exploited, </w:t>
      </w:r>
      <w:r w:rsidR="00A24282" w:rsidRPr="003F6E97">
        <w:rPr>
          <w:b/>
          <w:bCs/>
          <w:lang w:val="en-GB"/>
        </w:rPr>
        <w:t>and target support there</w:t>
      </w:r>
      <w:r w:rsidR="003B4A54">
        <w:rPr>
          <w:b/>
          <w:bCs/>
          <w:lang w:val="en-GB"/>
        </w:rPr>
        <w:t>.</w:t>
      </w:r>
      <w:r w:rsidR="00A24282" w:rsidRPr="003F6E97">
        <w:rPr>
          <w:b/>
          <w:bCs/>
          <w:lang w:val="en-GB"/>
        </w:rPr>
        <w:t xml:space="preserve"> </w:t>
      </w:r>
    </w:p>
    <w:p w14:paraId="746911DF" w14:textId="0EDB1A35" w:rsidR="00B352DD" w:rsidRDefault="00B352DD" w:rsidP="00B352DD">
      <w:pPr>
        <w:pStyle w:val="ListParagraph"/>
        <w:numPr>
          <w:ilvl w:val="1"/>
          <w:numId w:val="9"/>
        </w:numPr>
      </w:pPr>
      <w:r>
        <w:t>Follow fact-based approach to unfair competition concerns: China price advantage primarily reflects tech</w:t>
      </w:r>
      <w:r w:rsidR="00981C59">
        <w:t>nology</w:t>
      </w:r>
      <w:r>
        <w:t xml:space="preserve"> leadership and structural cost declines, not dumping</w:t>
      </w:r>
      <w:r w:rsidR="00981C59">
        <w:t>.</w:t>
      </w:r>
    </w:p>
    <w:p w14:paraId="4C493AF1" w14:textId="1A540C87" w:rsidR="00F82DC2" w:rsidRDefault="00F82DC2" w:rsidP="00C2151C">
      <w:pPr>
        <w:pStyle w:val="ListParagraph"/>
        <w:numPr>
          <w:ilvl w:val="1"/>
          <w:numId w:val="9"/>
        </w:numPr>
      </w:pPr>
      <w:r>
        <w:t>Identify the subset of key clean tech</w:t>
      </w:r>
      <w:r w:rsidR="00981C59">
        <w:t>nology</w:t>
      </w:r>
      <w:r>
        <w:t xml:space="preserve"> industries where </w:t>
      </w:r>
      <w:r w:rsidR="00C27F1B">
        <w:t xml:space="preserve">the </w:t>
      </w:r>
      <w:r>
        <w:t xml:space="preserve">EU has </w:t>
      </w:r>
      <w:r w:rsidR="00C27F1B">
        <w:t xml:space="preserve">a </w:t>
      </w:r>
      <w:r>
        <w:t>competitive advantage (e.g.</w:t>
      </w:r>
      <w:r w:rsidR="00C27F1B">
        <w:t>,</w:t>
      </w:r>
      <w:r>
        <w:t xml:space="preserve"> offshore wind, battery manufacture, PEM electrolysers</w:t>
      </w:r>
      <w:r w:rsidR="00A802FE">
        <w:t>, heat pumps</w:t>
      </w:r>
      <w:r w:rsidR="0055347F">
        <w:t xml:space="preserve">, HVDC cables, </w:t>
      </w:r>
      <w:r w:rsidR="00E42A00">
        <w:t>specific grid components</w:t>
      </w:r>
      <w:r w:rsidR="00CB5EBC">
        <w:t xml:space="preserve"> such as large scale transformers</w:t>
      </w:r>
      <w:r>
        <w:t>)</w:t>
      </w:r>
      <w:r w:rsidR="001E45F6">
        <w:t xml:space="preserve"> and seek to develop local manufacturing capacity (welcoming investment from the global stage).</w:t>
      </w:r>
      <w:r w:rsidR="004424CC">
        <w:rPr>
          <w:rStyle w:val="FootnoteReference"/>
        </w:rPr>
        <w:footnoteReference w:id="19"/>
      </w:r>
      <w:r w:rsidR="001E45F6">
        <w:t xml:space="preserve"> </w:t>
      </w:r>
      <w:r w:rsidR="00C2151C">
        <w:t>L</w:t>
      </w:r>
      <w:r w:rsidR="00C2151C" w:rsidRPr="00C2151C">
        <w:t>ocation</w:t>
      </w:r>
      <w:r w:rsidR="00C2151C">
        <w:t>, not ownership, drives</w:t>
      </w:r>
      <w:r w:rsidR="00C2151C" w:rsidRPr="00C2151C">
        <w:t xml:space="preserve"> investments, </w:t>
      </w:r>
      <w:r w:rsidR="00C2151C" w:rsidRPr="00C2151C">
        <w:rPr>
          <w:lang w:val="en-GB"/>
        </w:rPr>
        <w:t>jobs and technology transfers.</w:t>
      </w:r>
    </w:p>
    <w:p w14:paraId="1EB13773" w14:textId="62650E5D" w:rsidR="00F82DC2" w:rsidRPr="001C1C19" w:rsidRDefault="00F82DC2" w:rsidP="00F82DC2">
      <w:pPr>
        <w:pStyle w:val="ListParagraph"/>
        <w:numPr>
          <w:ilvl w:val="1"/>
          <w:numId w:val="9"/>
        </w:numPr>
        <w:rPr>
          <w:b/>
          <w:bCs/>
          <w:lang w:val="en-GB"/>
        </w:rPr>
      </w:pPr>
      <w:r>
        <w:rPr>
          <w:lang w:val="en-GB"/>
        </w:rPr>
        <w:t xml:space="preserve">Where appropriate, </w:t>
      </w:r>
      <w:r w:rsidRPr="00F82DC2">
        <w:rPr>
          <w:lang w:val="en-GB"/>
        </w:rPr>
        <w:t>deploy time-bound subsidies to build local industries, not permanent tariffs: permanently protecting structurally higher-cost industries</w:t>
      </w:r>
      <w:r>
        <w:rPr>
          <w:lang w:val="en-GB"/>
        </w:rPr>
        <w:t xml:space="preserve"> </w:t>
      </w:r>
      <w:r w:rsidRPr="00F82DC2">
        <w:rPr>
          <w:lang w:val="en-GB"/>
        </w:rPr>
        <w:t>increases consumer costs and slows energy transition</w:t>
      </w:r>
      <w:r w:rsidR="00C27F1B">
        <w:rPr>
          <w:lang w:val="en-GB"/>
        </w:rPr>
        <w:t>.</w:t>
      </w:r>
    </w:p>
    <w:p w14:paraId="0C4041E0" w14:textId="341D4242" w:rsidR="001C1C19" w:rsidRPr="00C2151C" w:rsidRDefault="001C1C19" w:rsidP="001C1C19">
      <w:pPr>
        <w:pStyle w:val="ListParagraph"/>
        <w:numPr>
          <w:ilvl w:val="1"/>
          <w:numId w:val="9"/>
        </w:numPr>
        <w:rPr>
          <w:lang w:val="en-GB"/>
        </w:rPr>
      </w:pPr>
      <w:r w:rsidRPr="001C1C19">
        <w:rPr>
          <w:lang w:val="en-GB"/>
        </w:rPr>
        <w:t>Welcome foreign products where there are no local substitutes at a</w:t>
      </w:r>
      <w:r w:rsidRPr="00C2151C">
        <w:rPr>
          <w:lang w:val="en-GB"/>
        </w:rPr>
        <w:t xml:space="preserve"> good price, or where low cost is particularly important at this stage of the transition.</w:t>
      </w:r>
    </w:p>
    <w:p w14:paraId="5F97D0F7" w14:textId="59037E36" w:rsidR="00BD0050" w:rsidRDefault="00BD0050" w:rsidP="003F6E97">
      <w:pPr>
        <w:pStyle w:val="ListParagraph"/>
        <w:numPr>
          <w:ilvl w:val="1"/>
          <w:numId w:val="9"/>
        </w:numPr>
      </w:pPr>
      <w:r>
        <w:t>For industries where companies have not yet succeeded in mass production of low-cost green technologies, understand where support from the state might be needed</w:t>
      </w:r>
      <w:r w:rsidR="00C27F1B">
        <w:t>.</w:t>
      </w:r>
    </w:p>
    <w:p w14:paraId="07161274" w14:textId="77777777" w:rsidR="00B70B5B" w:rsidRPr="00BB6760" w:rsidRDefault="00B70B5B" w:rsidP="00B70B5B">
      <w:pPr>
        <w:pStyle w:val="ListParagraph"/>
        <w:ind w:left="360"/>
      </w:pPr>
    </w:p>
    <w:p w14:paraId="3582AF34" w14:textId="696BBA1E" w:rsidR="00BD0050" w:rsidRPr="00B70B5B" w:rsidRDefault="00BD0050" w:rsidP="00B70B5B">
      <w:pPr>
        <w:pStyle w:val="ListParagraph"/>
        <w:numPr>
          <w:ilvl w:val="0"/>
          <w:numId w:val="9"/>
        </w:numPr>
        <w:spacing w:after="0"/>
        <w:rPr>
          <w:b/>
          <w:bCs/>
        </w:rPr>
      </w:pPr>
      <w:r w:rsidRPr="00B70B5B">
        <w:rPr>
          <w:b/>
          <w:bCs/>
        </w:rPr>
        <w:t>Harness economies of scale</w:t>
      </w:r>
      <w:r w:rsidR="00B70B5B">
        <w:rPr>
          <w:b/>
          <w:bCs/>
        </w:rPr>
        <w:t xml:space="preserve"> to maximise the buying power of the EU as a single market. </w:t>
      </w:r>
    </w:p>
    <w:p w14:paraId="21F4B7FC" w14:textId="3998DC81" w:rsidR="00B70B5B" w:rsidRDefault="00B70B5B" w:rsidP="00B70B5B">
      <w:pPr>
        <w:pStyle w:val="ListParagraph"/>
        <w:numPr>
          <w:ilvl w:val="1"/>
          <w:numId w:val="9"/>
        </w:numPr>
      </w:pPr>
      <w:r>
        <w:t>Set</w:t>
      </w:r>
      <w:r w:rsidR="00FB445F">
        <w:t xml:space="preserve"> (or reinforce)</w:t>
      </w:r>
      <w:r>
        <w:t xml:space="preserve"> ambitious </w:t>
      </w:r>
      <w:r w:rsidR="00410F0B">
        <w:t xml:space="preserve">sector specific targets for clean technology scale up </w:t>
      </w:r>
      <w:r w:rsidR="00FB445F">
        <w:t xml:space="preserve">into the 2030s </w:t>
      </w:r>
      <w:r w:rsidR="00410F0B">
        <w:t>(e.g.</w:t>
      </w:r>
      <w:r w:rsidR="00E6608E">
        <w:t>,</w:t>
      </w:r>
      <w:r w:rsidR="00410F0B">
        <w:t xml:space="preserve"> solar power, wind power</w:t>
      </w:r>
      <w:r w:rsidR="00FB445F">
        <w:t>, green hydrogen</w:t>
      </w:r>
      <w:r w:rsidR="00410F0B">
        <w:t>)</w:t>
      </w:r>
      <w:r w:rsidR="00FB445F">
        <w:t xml:space="preserve"> and ensure these are reflected at the Member State level</w:t>
      </w:r>
      <w:r w:rsidR="00E6608E">
        <w:t>.</w:t>
      </w:r>
    </w:p>
    <w:p w14:paraId="71883375" w14:textId="104870B7" w:rsidR="00BD0050" w:rsidRDefault="00E70C0D" w:rsidP="00B70B5B">
      <w:pPr>
        <w:pStyle w:val="ListParagraph"/>
        <w:numPr>
          <w:ilvl w:val="1"/>
          <w:numId w:val="9"/>
        </w:numPr>
      </w:pPr>
      <w:r w:rsidRPr="00D0020F">
        <w:t>Harmoni</w:t>
      </w:r>
      <w:r w:rsidR="00E6608E">
        <w:t>s</w:t>
      </w:r>
      <w:r w:rsidRPr="00D0020F">
        <w:t>e</w:t>
      </w:r>
      <w:r w:rsidR="00BD0050" w:rsidRPr="00D0020F">
        <w:t xml:space="preserve"> technical standards for </w:t>
      </w:r>
      <w:r w:rsidR="00FB445F">
        <w:t>renew</w:t>
      </w:r>
      <w:r w:rsidR="00F753C4">
        <w:t>able</w:t>
      </w:r>
      <w:r w:rsidR="00BD0050">
        <w:t xml:space="preserve"> </w:t>
      </w:r>
      <w:r w:rsidR="00BD0050" w:rsidRPr="00D0020F">
        <w:t>technologies (e.g.</w:t>
      </w:r>
      <w:r w:rsidR="00E6608E">
        <w:t>,</w:t>
      </w:r>
      <w:r w:rsidR="00BD0050" w:rsidRPr="00D0020F">
        <w:t xml:space="preserve"> wind turbine components) to take advantage of economies of scale and reduce costs. </w:t>
      </w:r>
      <w:r w:rsidR="00F753C4">
        <w:t xml:space="preserve">Consider expanding national level local content requirements to a wider pool of EU providers. </w:t>
      </w:r>
    </w:p>
    <w:p w14:paraId="38C4CA02" w14:textId="47A77BD1" w:rsidR="00BD0050" w:rsidRDefault="00BD0050" w:rsidP="00B70B5B">
      <w:pPr>
        <w:pStyle w:val="ListParagraph"/>
        <w:numPr>
          <w:ilvl w:val="1"/>
          <w:numId w:val="9"/>
        </w:numPr>
      </w:pPr>
      <w:r>
        <w:t xml:space="preserve">Continue to </w:t>
      </w:r>
      <w:r w:rsidR="00705C49">
        <w:t>i</w:t>
      </w:r>
      <w:r w:rsidRPr="00D0020F">
        <w:t>ncrease regional cooperation</w:t>
      </w:r>
      <w:r>
        <w:t>,</w:t>
      </w:r>
      <w:r w:rsidRPr="00D0020F">
        <w:t xml:space="preserve"> particularly in the context of offshore wind in the North Sea and Baltic, where capacity is likely to be shared. This could increase competition for renewable energy and storage and flexibility </w:t>
      </w:r>
    </w:p>
    <w:p w14:paraId="704C8139" w14:textId="36B17531" w:rsidR="00BD0050" w:rsidRPr="0095733D" w:rsidRDefault="00BD0050" w:rsidP="0095733D">
      <w:pPr>
        <w:pStyle w:val="ListParagraph"/>
        <w:numPr>
          <w:ilvl w:val="0"/>
          <w:numId w:val="9"/>
        </w:numPr>
        <w:spacing w:after="0"/>
        <w:rPr>
          <w:b/>
          <w:bCs/>
        </w:rPr>
      </w:pPr>
      <w:r w:rsidRPr="0095733D">
        <w:rPr>
          <w:b/>
          <w:bCs/>
        </w:rPr>
        <w:t>Invest in shared infrastructure</w:t>
      </w:r>
      <w:r w:rsidR="003B4A54">
        <w:rPr>
          <w:b/>
          <w:bCs/>
        </w:rPr>
        <w:t>.</w:t>
      </w:r>
    </w:p>
    <w:p w14:paraId="42064BBD" w14:textId="77777777" w:rsidR="00BD0050" w:rsidRDefault="00BD0050" w:rsidP="0095733D">
      <w:pPr>
        <w:pStyle w:val="ListParagraph"/>
        <w:numPr>
          <w:ilvl w:val="1"/>
          <w:numId w:val="9"/>
        </w:numPr>
      </w:pPr>
      <w:r>
        <w:t xml:space="preserve">Rapidly scale up investment in electricity grids via a targeted fund/financing mechanism, outside of funding for gas/CCUS (currently most infrastructure competes for the TEN-E fund). </w:t>
      </w:r>
    </w:p>
    <w:p w14:paraId="0B7BE5D7" w14:textId="77777777" w:rsidR="00DA3BDF" w:rsidRDefault="00DA3BDF" w:rsidP="0095733D">
      <w:pPr>
        <w:pStyle w:val="ListParagraph"/>
        <w:numPr>
          <w:ilvl w:val="1"/>
          <w:numId w:val="9"/>
        </w:numPr>
      </w:pPr>
      <w:r>
        <w:t>Co-ordinate and deliver key shared infrastructure assets required for the transition, including hydrogen and CO</w:t>
      </w:r>
      <w:r w:rsidRPr="00B208A5">
        <w:rPr>
          <w:vertAlign w:val="subscript"/>
        </w:rPr>
        <w:t>2</w:t>
      </w:r>
      <w:r>
        <w:t xml:space="preserve"> networks and storage, and cross-border electricity transmission. </w:t>
      </w:r>
    </w:p>
    <w:p w14:paraId="6E398C44" w14:textId="4713C1C3" w:rsidR="00AB1A86" w:rsidRPr="00E4223D" w:rsidRDefault="00AB1A86" w:rsidP="0095733D">
      <w:pPr>
        <w:pStyle w:val="ListParagraph"/>
        <w:numPr>
          <w:ilvl w:val="1"/>
          <w:numId w:val="9"/>
        </w:numPr>
        <w:rPr>
          <w:lang w:val="en-GB"/>
        </w:rPr>
      </w:pPr>
      <w:r w:rsidRPr="00D0020F">
        <w:t xml:space="preserve">Reduce differences in national regulations that create barriers to cross-border electricity trade within the EU. </w:t>
      </w:r>
    </w:p>
    <w:p w14:paraId="48B6E8CD" w14:textId="199ABE8E" w:rsidR="00BD0050" w:rsidRDefault="00BD0050" w:rsidP="0095733D">
      <w:pPr>
        <w:pStyle w:val="ListParagraph"/>
        <w:numPr>
          <w:ilvl w:val="1"/>
          <w:numId w:val="9"/>
        </w:numPr>
      </w:pPr>
      <w:r>
        <w:t>Invest in hydrogen transport and storage infrastructure, port infrastructure for onshore electricity and e-fuel bunkers and refueling stations, to support the decarboni</w:t>
      </w:r>
      <w:r w:rsidR="00623CA0">
        <w:t>s</w:t>
      </w:r>
      <w:r>
        <w:t>ation of shipping.</w:t>
      </w:r>
    </w:p>
    <w:p w14:paraId="167333B6" w14:textId="27150898" w:rsidR="00514AB4" w:rsidRDefault="00514AB4" w:rsidP="00A24282">
      <w:pPr>
        <w:spacing w:after="200"/>
      </w:pPr>
    </w:p>
    <w:sectPr w:rsidR="00514AB4" w:rsidSect="002627E9">
      <w:footerReference w:type="even" r:id="rId14"/>
      <w:footerReference w:type="default" r:id="rId15"/>
      <w:footerReference w:type="first" r:id="rId16"/>
      <w:pgSz w:w="11906" w:h="16838"/>
      <w:pgMar w:top="1701" w:right="1021" w:bottom="1021" w:left="102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CDDDA" w14:textId="77777777" w:rsidR="007B7941" w:rsidRDefault="007B7941" w:rsidP="00632D04">
      <w:pPr>
        <w:spacing w:after="0" w:line="240" w:lineRule="auto"/>
      </w:pPr>
      <w:r>
        <w:separator/>
      </w:r>
    </w:p>
    <w:p w14:paraId="1437DD06" w14:textId="77777777" w:rsidR="007B7941" w:rsidRDefault="007B7941"/>
  </w:endnote>
  <w:endnote w:type="continuationSeparator" w:id="0">
    <w:p w14:paraId="757BB112" w14:textId="77777777" w:rsidR="007B7941" w:rsidRDefault="007B7941" w:rsidP="00632D04">
      <w:pPr>
        <w:spacing w:after="0" w:line="240" w:lineRule="auto"/>
      </w:pPr>
      <w:r>
        <w:continuationSeparator/>
      </w:r>
    </w:p>
    <w:p w14:paraId="2544F255" w14:textId="77777777" w:rsidR="007B7941" w:rsidRDefault="007B7941"/>
  </w:endnote>
  <w:endnote w:type="continuationNotice" w:id="1">
    <w:p w14:paraId="7356949F" w14:textId="77777777" w:rsidR="007B7941" w:rsidRDefault="007B79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Bebas Ka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A3CE" w14:textId="77777777" w:rsidR="000A0FF0" w:rsidRDefault="000A0FF0" w:rsidP="000A0FF0">
    <w:pPr>
      <w:pStyle w:val="BodyText"/>
    </w:pPr>
  </w:p>
  <w:tbl>
    <w:tblPr>
      <w:tblStyle w:val="Plain"/>
      <w:tblW w:w="0" w:type="auto"/>
      <w:tblLook w:val="04A0" w:firstRow="1" w:lastRow="0" w:firstColumn="1" w:lastColumn="0" w:noHBand="0" w:noVBand="1"/>
    </w:tblPr>
    <w:tblGrid>
      <w:gridCol w:w="4819"/>
      <w:gridCol w:w="4819"/>
    </w:tblGrid>
    <w:tr w:rsidR="00222D9A" w14:paraId="727391DD" w14:textId="77777777">
      <w:tc>
        <w:tcPr>
          <w:tcW w:w="4819" w:type="dxa"/>
        </w:tcPr>
        <w:p w14:paraId="26B9DA53" w14:textId="77777777" w:rsidR="00222D9A" w:rsidRDefault="00222D9A" w:rsidP="00222D9A">
          <w:pPr>
            <w:pStyle w:val="Footer"/>
          </w:pPr>
          <w:r>
            <w:t>System</w:t>
          </w:r>
          <w:r w:rsidR="0099621A">
            <w:t>iq</w:t>
          </w:r>
          <w:r>
            <w:t xml:space="preserve"> | Presentation title</w:t>
          </w:r>
        </w:p>
      </w:tc>
      <w:tc>
        <w:tcPr>
          <w:tcW w:w="4819" w:type="dxa"/>
        </w:tcPr>
        <w:p w14:paraId="42F95661" w14:textId="77777777" w:rsidR="00222D9A" w:rsidRDefault="00222D9A" w:rsidP="00222D9A">
          <w:pPr>
            <w:pStyle w:val="Footer"/>
            <w:jc w:val="right"/>
          </w:pPr>
        </w:p>
      </w:tc>
    </w:tr>
  </w:tbl>
  <w:p w14:paraId="56AFC831" w14:textId="77777777" w:rsidR="00222D9A" w:rsidRPr="00222D9A" w:rsidRDefault="00222D9A" w:rsidP="00222D9A">
    <w:pPr>
      <w:pStyle w:val="Footer"/>
    </w:pPr>
  </w:p>
  <w:p w14:paraId="309FD1D9" w14:textId="77777777" w:rsidR="00986838" w:rsidRDefault="009868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57E03" w14:textId="77777777" w:rsidR="00632D04" w:rsidRDefault="00632D04">
    <w:pPr>
      <w:pStyle w:val="Footer"/>
      <w:rPr>
        <w:sz w:val="2"/>
        <w:szCs w:val="2"/>
      </w:rPr>
    </w:pPr>
  </w:p>
  <w:p w14:paraId="2974C567" w14:textId="77777777" w:rsidR="0015412E" w:rsidRPr="00391D27" w:rsidRDefault="0015412E">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lain"/>
      <w:tblW w:w="5000" w:type="pct"/>
      <w:tblLook w:val="04A0" w:firstRow="1" w:lastRow="0" w:firstColumn="1" w:lastColumn="0" w:noHBand="0" w:noVBand="1"/>
    </w:tblPr>
    <w:tblGrid>
      <w:gridCol w:w="6964"/>
      <w:gridCol w:w="2900"/>
    </w:tblGrid>
    <w:tr w:rsidR="00391D27" w:rsidRPr="0099621A" w14:paraId="1156C967" w14:textId="77777777">
      <w:tc>
        <w:tcPr>
          <w:tcW w:w="3530" w:type="pct"/>
        </w:tcPr>
        <w:p w14:paraId="58915B15" w14:textId="77777777" w:rsidR="00391D27" w:rsidRPr="0099621A" w:rsidRDefault="00391D27" w:rsidP="00391D27">
          <w:pPr>
            <w:pStyle w:val="Footer"/>
            <w:rPr>
              <w:szCs w:val="18"/>
            </w:rPr>
          </w:pPr>
        </w:p>
      </w:tc>
      <w:tc>
        <w:tcPr>
          <w:tcW w:w="1470" w:type="pct"/>
        </w:tcPr>
        <w:p w14:paraId="5B601D74" w14:textId="77777777" w:rsidR="00391D27" w:rsidRPr="0099621A" w:rsidRDefault="00391D27" w:rsidP="00391D27">
          <w:pPr>
            <w:pStyle w:val="Footer"/>
            <w:jc w:val="right"/>
            <w:rPr>
              <w:szCs w:val="18"/>
            </w:rPr>
          </w:pPr>
        </w:p>
      </w:tc>
    </w:tr>
  </w:tbl>
  <w:p w14:paraId="49793B3A" w14:textId="77777777" w:rsidR="00391D27" w:rsidRPr="00391D27" w:rsidRDefault="00391D27">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9FCC2" w14:textId="77777777" w:rsidR="007B7941" w:rsidRDefault="007B7941" w:rsidP="00632D04">
      <w:pPr>
        <w:spacing w:after="0" w:line="240" w:lineRule="auto"/>
      </w:pPr>
      <w:r>
        <w:separator/>
      </w:r>
    </w:p>
    <w:p w14:paraId="3272A37A" w14:textId="77777777" w:rsidR="007B7941" w:rsidRDefault="007B7941"/>
  </w:footnote>
  <w:footnote w:type="continuationSeparator" w:id="0">
    <w:p w14:paraId="6C68F25D" w14:textId="77777777" w:rsidR="007B7941" w:rsidRDefault="007B7941" w:rsidP="00632D04">
      <w:pPr>
        <w:spacing w:after="0" w:line="240" w:lineRule="auto"/>
      </w:pPr>
      <w:r>
        <w:continuationSeparator/>
      </w:r>
    </w:p>
    <w:p w14:paraId="1126BC05" w14:textId="77777777" w:rsidR="007B7941" w:rsidRDefault="007B7941"/>
  </w:footnote>
  <w:footnote w:type="continuationNotice" w:id="1">
    <w:p w14:paraId="4305E920" w14:textId="77777777" w:rsidR="007B7941" w:rsidRDefault="007B7941">
      <w:pPr>
        <w:spacing w:after="0" w:line="240" w:lineRule="auto"/>
      </w:pPr>
    </w:p>
  </w:footnote>
  <w:footnote w:id="2">
    <w:p w14:paraId="56DD56D1" w14:textId="7AC6E5F0" w:rsidR="008F400C" w:rsidRPr="001064C0" w:rsidRDefault="008F400C">
      <w:pPr>
        <w:pStyle w:val="FootnoteText"/>
        <w:rPr>
          <w:lang w:val="it-IT"/>
        </w:rPr>
      </w:pPr>
      <w:r>
        <w:rPr>
          <w:rStyle w:val="FootnoteReference"/>
        </w:rPr>
        <w:footnoteRef/>
      </w:r>
      <w:r w:rsidRPr="001064C0">
        <w:rPr>
          <w:lang w:val="it-IT"/>
        </w:rPr>
        <w:t xml:space="preserve"> EU, China, Japan, Australia, Indonesia,</w:t>
      </w:r>
      <w:r>
        <w:rPr>
          <w:lang w:val="it-IT"/>
        </w:rPr>
        <w:t xml:space="preserve"> US, Canada, Sub-Saharan Africa, </w:t>
      </w:r>
      <w:r w:rsidR="002E145D">
        <w:rPr>
          <w:lang w:val="it-IT"/>
        </w:rPr>
        <w:t xml:space="preserve">India, </w:t>
      </w:r>
      <w:r w:rsidR="000032FF">
        <w:rPr>
          <w:lang w:val="it-IT"/>
        </w:rPr>
        <w:t xml:space="preserve">Brazil. </w:t>
      </w:r>
    </w:p>
  </w:footnote>
  <w:footnote w:id="3">
    <w:p w14:paraId="3CB2FFA3" w14:textId="13452BF7" w:rsidR="00B05979" w:rsidRDefault="00B05979" w:rsidP="00B05979">
      <w:pPr>
        <w:pStyle w:val="FootnoteText"/>
      </w:pPr>
      <w:r>
        <w:rPr>
          <w:rStyle w:val="FootnoteReference"/>
        </w:rPr>
        <w:footnoteRef/>
      </w:r>
      <w:r>
        <w:t xml:space="preserve"> </w:t>
      </w:r>
      <w:r w:rsidR="00224B59" w:rsidRPr="004C54F4">
        <w:t>Since 2020, the annual rate of wind and solar capacity additions has more than doubled in the EU, and more than tripled in China</w:t>
      </w:r>
      <w:r w:rsidR="00224B59">
        <w:t xml:space="preserve">. </w:t>
      </w:r>
      <w:r w:rsidR="00142D25">
        <w:t xml:space="preserve">See </w:t>
      </w:r>
      <w:r w:rsidR="00224B59">
        <w:t xml:space="preserve">BloombergNEF (2024), </w:t>
      </w:r>
      <w:r w:rsidR="00224B59" w:rsidRPr="00224B59">
        <w:rPr>
          <w:i/>
          <w:iCs/>
        </w:rPr>
        <w:t>Online Explorer: solar and wind short-term forecast</w:t>
      </w:r>
      <w:r w:rsidR="00224B59">
        <w:rPr>
          <w:i/>
          <w:iCs/>
        </w:rPr>
        <w:t xml:space="preserve">. </w:t>
      </w:r>
      <w:r w:rsidR="00224B59" w:rsidRPr="004C54F4">
        <w:t>In Europe and China</w:t>
      </w:r>
      <w:r w:rsidR="00142D25">
        <w:t>,</w:t>
      </w:r>
      <w:r w:rsidR="00224B59" w:rsidRPr="004C54F4">
        <w:t xml:space="preserve"> for example, EVs now make up respectively one out of four and one out of three new vehicle sales.</w:t>
      </w:r>
      <w:r w:rsidR="00224B59" w:rsidRPr="00224B59">
        <w:t xml:space="preserve"> </w:t>
      </w:r>
      <w:r w:rsidR="00142D25">
        <w:t xml:space="preserve">See </w:t>
      </w:r>
      <w:r w:rsidR="00224B59">
        <w:t xml:space="preserve">BloombergNEF (2023), </w:t>
      </w:r>
      <w:r w:rsidR="00224B59" w:rsidRPr="00DD3255">
        <w:rPr>
          <w:i/>
          <w:iCs/>
        </w:rPr>
        <w:t>Long-term Electric Vehicle Outlook</w:t>
      </w:r>
      <w:r w:rsidR="00142D25">
        <w:rPr>
          <w:i/>
          <w:iCs/>
        </w:rPr>
        <w:t>.</w:t>
      </w:r>
    </w:p>
  </w:footnote>
  <w:footnote w:id="4">
    <w:p w14:paraId="6EC3F22E" w14:textId="60E89716" w:rsidR="00B05979" w:rsidRDefault="00B05979" w:rsidP="00B05979">
      <w:pPr>
        <w:pStyle w:val="FootnoteText"/>
      </w:pPr>
      <w:r>
        <w:rPr>
          <w:rStyle w:val="FootnoteReference"/>
        </w:rPr>
        <w:footnoteRef/>
      </w:r>
      <w:r>
        <w:t xml:space="preserve"> </w:t>
      </w:r>
      <w:r w:rsidR="008C2FF3" w:rsidRPr="004C54F4">
        <w:t>In parallel, global average silicon module efficiency increased from ~18% to ~24% between 2011 and 2023.</w:t>
      </w:r>
      <w:r w:rsidR="008C2FF3">
        <w:t xml:space="preserve"> See </w:t>
      </w:r>
      <w:r>
        <w:t>BloombergNEF (2024),</w:t>
      </w:r>
      <w:r w:rsidRPr="006B5096">
        <w:t xml:space="preserve"> </w:t>
      </w:r>
      <w:r w:rsidRPr="006B5096">
        <w:rPr>
          <w:i/>
          <w:iCs/>
        </w:rPr>
        <w:t>Interactive data tool – Solar spot price index</w:t>
      </w:r>
      <w:r w:rsidR="005628B9">
        <w:rPr>
          <w:i/>
          <w:iCs/>
        </w:rPr>
        <w:t xml:space="preserve">. </w:t>
      </w:r>
    </w:p>
  </w:footnote>
  <w:footnote w:id="5">
    <w:p w14:paraId="128B925D" w14:textId="6D81A932" w:rsidR="00B05979" w:rsidRDefault="00B05979" w:rsidP="00B05979">
      <w:pPr>
        <w:pStyle w:val="FootnoteText"/>
      </w:pPr>
      <w:r>
        <w:rPr>
          <w:rStyle w:val="FootnoteReference"/>
        </w:rPr>
        <w:footnoteRef/>
      </w:r>
      <w:r>
        <w:t xml:space="preserve"> Note: </w:t>
      </w:r>
      <w:r w:rsidR="008C2FF3">
        <w:t>O</w:t>
      </w:r>
      <w:r>
        <w:t xml:space="preserve">n a per MW-basis, including installation costs; costs have increased by 9% in H1 2023 compared to H1 2020. </w:t>
      </w:r>
      <w:r w:rsidR="008C2FF3">
        <w:t>See</w:t>
      </w:r>
      <w:r>
        <w:t xml:space="preserve"> BloombergNEF (2023), </w:t>
      </w:r>
      <w:r w:rsidRPr="00B63136">
        <w:rPr>
          <w:i/>
        </w:rPr>
        <w:t>Global Wind Market Outlook 2H 2023</w:t>
      </w:r>
      <w:r>
        <w:rPr>
          <w:i/>
        </w:rPr>
        <w:t>.</w:t>
      </w:r>
    </w:p>
  </w:footnote>
  <w:footnote w:id="6">
    <w:p w14:paraId="72DF57C8" w14:textId="77777777" w:rsidR="00B05979" w:rsidRDefault="00B05979" w:rsidP="00B05979">
      <w:pPr>
        <w:pStyle w:val="FootnoteText"/>
      </w:pPr>
      <w:r>
        <w:rPr>
          <w:rStyle w:val="FootnoteReference"/>
        </w:rPr>
        <w:footnoteRef/>
      </w:r>
      <w:r>
        <w:t xml:space="preserve"> BloombergNEF (2023), </w:t>
      </w:r>
      <w:r w:rsidRPr="00B5084F">
        <w:rPr>
          <w:i/>
          <w:iCs/>
        </w:rPr>
        <w:t>Lithium-Ion Battery Price Survey</w:t>
      </w:r>
      <w:r>
        <w:rPr>
          <w:i/>
          <w:iCs/>
        </w:rPr>
        <w:t>.</w:t>
      </w:r>
    </w:p>
  </w:footnote>
  <w:footnote w:id="7">
    <w:p w14:paraId="7D3788C4" w14:textId="77777777" w:rsidR="00B05979" w:rsidRDefault="00B05979" w:rsidP="00B05979">
      <w:pPr>
        <w:pStyle w:val="FootnoteText"/>
      </w:pPr>
      <w:r>
        <w:rPr>
          <w:rStyle w:val="FootnoteReference"/>
        </w:rPr>
        <w:footnoteRef/>
      </w:r>
      <w:r>
        <w:t xml:space="preserve"> BloombergNEF (2023), </w:t>
      </w:r>
      <w:r w:rsidRPr="00DD0AF6">
        <w:rPr>
          <w:i/>
          <w:iCs/>
        </w:rPr>
        <w:t xml:space="preserve">Long-term </w:t>
      </w:r>
      <w:r>
        <w:rPr>
          <w:i/>
          <w:iCs/>
        </w:rPr>
        <w:t>E</w:t>
      </w:r>
      <w:r w:rsidRPr="00DD0AF6">
        <w:rPr>
          <w:i/>
          <w:iCs/>
        </w:rPr>
        <w:t xml:space="preserve">lectric </w:t>
      </w:r>
      <w:r>
        <w:rPr>
          <w:i/>
          <w:iCs/>
        </w:rPr>
        <w:t>V</w:t>
      </w:r>
      <w:r w:rsidRPr="00DD0AF6">
        <w:rPr>
          <w:i/>
          <w:iCs/>
        </w:rPr>
        <w:t xml:space="preserve">ehicle </w:t>
      </w:r>
      <w:r>
        <w:rPr>
          <w:i/>
          <w:iCs/>
        </w:rPr>
        <w:t>O</w:t>
      </w:r>
      <w:r w:rsidRPr="00DD0AF6">
        <w:rPr>
          <w:i/>
          <w:iCs/>
        </w:rPr>
        <w:t>utlook</w:t>
      </w:r>
      <w:r>
        <w:rPr>
          <w:i/>
          <w:iCs/>
        </w:rPr>
        <w:t>.</w:t>
      </w:r>
    </w:p>
  </w:footnote>
  <w:footnote w:id="8">
    <w:p w14:paraId="0B12B8BD" w14:textId="77777777" w:rsidR="00B05979" w:rsidRDefault="00B05979" w:rsidP="00B05979">
      <w:pPr>
        <w:pStyle w:val="FootnoteText"/>
      </w:pPr>
      <w:r>
        <w:rPr>
          <w:rStyle w:val="FootnoteReference"/>
        </w:rPr>
        <w:footnoteRef/>
      </w:r>
      <w:r>
        <w:t xml:space="preserve"> BloombergNEF (2024), </w:t>
      </w:r>
      <w:r w:rsidRPr="0053166A">
        <w:rPr>
          <w:i/>
          <w:iCs/>
        </w:rPr>
        <w:t>Online Explorer: solar short-term forecast (Mid scenario)</w:t>
      </w:r>
      <w:r>
        <w:rPr>
          <w:i/>
          <w:iCs/>
        </w:rPr>
        <w:t>.</w:t>
      </w:r>
    </w:p>
  </w:footnote>
  <w:footnote w:id="9">
    <w:p w14:paraId="6845EAA6" w14:textId="77777777" w:rsidR="00B05979" w:rsidRDefault="00B05979" w:rsidP="00B05979">
      <w:pPr>
        <w:pStyle w:val="FootnoteText"/>
      </w:pPr>
      <w:r>
        <w:rPr>
          <w:rStyle w:val="FootnoteReference"/>
        </w:rPr>
        <w:footnoteRef/>
      </w:r>
      <w:r>
        <w:t xml:space="preserve"> BloombergNEF (2024), </w:t>
      </w:r>
      <w:r w:rsidRPr="0053166A">
        <w:rPr>
          <w:i/>
          <w:iCs/>
        </w:rPr>
        <w:t>Online Explorer: wind short-term forecast.</w:t>
      </w:r>
    </w:p>
  </w:footnote>
  <w:footnote w:id="10">
    <w:p w14:paraId="5D47C0CA" w14:textId="77777777" w:rsidR="00B05979" w:rsidRDefault="00B05979" w:rsidP="00B05979">
      <w:pPr>
        <w:pStyle w:val="FootnoteText"/>
      </w:pPr>
      <w:r>
        <w:rPr>
          <w:rStyle w:val="FootnoteReference"/>
        </w:rPr>
        <w:footnoteRef/>
      </w:r>
      <w:r>
        <w:t xml:space="preserve"> BloombergNEF (2023), </w:t>
      </w:r>
      <w:r w:rsidRPr="00DD0AF6">
        <w:rPr>
          <w:i/>
          <w:iCs/>
        </w:rPr>
        <w:t xml:space="preserve">Long-term </w:t>
      </w:r>
      <w:r>
        <w:rPr>
          <w:i/>
          <w:iCs/>
        </w:rPr>
        <w:t>E</w:t>
      </w:r>
      <w:r w:rsidRPr="00DD0AF6">
        <w:rPr>
          <w:i/>
          <w:iCs/>
        </w:rPr>
        <w:t xml:space="preserve">lectric </w:t>
      </w:r>
      <w:r>
        <w:rPr>
          <w:i/>
          <w:iCs/>
        </w:rPr>
        <w:t>V</w:t>
      </w:r>
      <w:r w:rsidRPr="00DD0AF6">
        <w:rPr>
          <w:i/>
          <w:iCs/>
        </w:rPr>
        <w:t xml:space="preserve">ehicle </w:t>
      </w:r>
      <w:r>
        <w:rPr>
          <w:i/>
          <w:iCs/>
        </w:rPr>
        <w:t>O</w:t>
      </w:r>
      <w:r w:rsidRPr="00DD0AF6">
        <w:rPr>
          <w:i/>
          <w:iCs/>
        </w:rPr>
        <w:t>utlook</w:t>
      </w:r>
    </w:p>
  </w:footnote>
  <w:footnote w:id="11">
    <w:p w14:paraId="160A0BA8" w14:textId="77777777" w:rsidR="004A764F" w:rsidRPr="004A764F" w:rsidRDefault="0061799F" w:rsidP="004A764F">
      <w:pPr>
        <w:pStyle w:val="FootnoteText"/>
        <w:rPr>
          <w:i/>
          <w:iCs/>
        </w:rPr>
      </w:pPr>
      <w:r>
        <w:rPr>
          <w:rStyle w:val="FootnoteReference"/>
        </w:rPr>
        <w:footnoteRef/>
      </w:r>
      <w:r>
        <w:t xml:space="preserve"> ETC (2023)</w:t>
      </w:r>
      <w:r w:rsidR="004A764F">
        <w:t>,</w:t>
      </w:r>
      <w:r>
        <w:t xml:space="preserve"> </w:t>
      </w:r>
    </w:p>
    <w:p w14:paraId="6C816723" w14:textId="35B0A067" w:rsidR="0061799F" w:rsidRDefault="004A764F" w:rsidP="004A764F">
      <w:pPr>
        <w:pStyle w:val="FootnoteText"/>
      </w:pPr>
      <w:hyperlink r:id="rId1" w:anchor=":~:text=Clean%20energy%20supply%20chains%20challenges,%2C%20up%20from%2020%25%20today." w:history="1">
        <w:r w:rsidRPr="0083249C">
          <w:rPr>
            <w:rStyle w:val="Hyperlink"/>
            <w:i/>
            <w:iCs/>
          </w:rPr>
          <w:t>Better, Faster, Cleaner: Securing clean energy technology supply chains</w:t>
        </w:r>
      </w:hyperlink>
      <w:r w:rsidR="0061799F" w:rsidRPr="0061799F">
        <w:rPr>
          <w:i/>
          <w:iCs/>
        </w:rPr>
        <w:t>.</w:t>
      </w:r>
      <w:r w:rsidR="0061799F">
        <w:t xml:space="preserve"> </w:t>
      </w:r>
    </w:p>
  </w:footnote>
  <w:footnote w:id="12">
    <w:p w14:paraId="169FDCD9" w14:textId="77777777" w:rsidR="008E5D8F" w:rsidRPr="008E5D8F" w:rsidRDefault="00DD2B71" w:rsidP="008E5D8F">
      <w:pPr>
        <w:pStyle w:val="FootnoteText"/>
        <w:rPr>
          <w:i/>
          <w:iCs/>
        </w:rPr>
      </w:pPr>
      <w:r>
        <w:rPr>
          <w:rStyle w:val="FootnoteReference"/>
        </w:rPr>
        <w:footnoteRef/>
      </w:r>
      <w:r>
        <w:t xml:space="preserve"> For further detail, see ETC (2024)</w:t>
      </w:r>
      <w:r w:rsidR="008E5D8F">
        <w:t>,</w:t>
      </w:r>
      <w:r>
        <w:t xml:space="preserve"> </w:t>
      </w:r>
    </w:p>
    <w:p w14:paraId="7CBE68A6" w14:textId="0DD8CD06" w:rsidR="00DD2B71" w:rsidRDefault="008E5D8F" w:rsidP="008E5D8F">
      <w:pPr>
        <w:pStyle w:val="FootnoteText"/>
      </w:pPr>
      <w:hyperlink r:id="rId2" w:history="1">
        <w:r w:rsidRPr="00EB28DB">
          <w:rPr>
            <w:rStyle w:val="Hyperlink"/>
            <w:i/>
            <w:iCs/>
          </w:rPr>
          <w:t>Credible Contributions: Bolder Plans for Higher Climate Ambition in the Next Round of NDCs.</w:t>
        </w:r>
      </w:hyperlink>
    </w:p>
  </w:footnote>
  <w:footnote w:id="13">
    <w:p w14:paraId="79746917" w14:textId="54EB87A6" w:rsidR="00763AAE" w:rsidRDefault="00763AAE">
      <w:pPr>
        <w:pStyle w:val="FootnoteText"/>
      </w:pPr>
      <w:r>
        <w:rPr>
          <w:rStyle w:val="FootnoteReference"/>
        </w:rPr>
        <w:footnoteRef/>
      </w:r>
      <w:r>
        <w:t xml:space="preserve"> See Systemiq (2024)</w:t>
      </w:r>
      <w:r w:rsidR="00EB28DB">
        <w:t>,</w:t>
      </w:r>
      <w:r>
        <w:t xml:space="preserve"> </w:t>
      </w:r>
      <w:r w:rsidRPr="00763AAE">
        <w:rPr>
          <w:i/>
          <w:iCs/>
        </w:rPr>
        <w:t>Cleantech Reality Check</w:t>
      </w:r>
      <w:r w:rsidR="00EB28DB">
        <w:rPr>
          <w:i/>
          <w:iCs/>
        </w:rPr>
        <w:t>.</w:t>
      </w:r>
    </w:p>
  </w:footnote>
  <w:footnote w:id="14">
    <w:p w14:paraId="5BD52971" w14:textId="36A055D9" w:rsidR="00AC1FC0" w:rsidRDefault="00AC1FC0">
      <w:pPr>
        <w:pStyle w:val="FootnoteText"/>
      </w:pPr>
      <w:r>
        <w:rPr>
          <w:rStyle w:val="FootnoteReference"/>
        </w:rPr>
        <w:footnoteRef/>
      </w:r>
      <w:r>
        <w:t xml:space="preserve"> E.g.</w:t>
      </w:r>
      <w:r w:rsidR="00EB28DB">
        <w:t>,</w:t>
      </w:r>
      <w:r>
        <w:t xml:space="preserve"> although permitting timelines for wind and solar farms should be limited to </w:t>
      </w:r>
      <w:r w:rsidR="00EB28DB">
        <w:t>two</w:t>
      </w:r>
      <w:r>
        <w:t xml:space="preserve"> years, only </w:t>
      </w:r>
      <w:r w:rsidR="00D5078F">
        <w:t>three</w:t>
      </w:r>
      <w:r>
        <w:t xml:space="preserve"> of EU27 met this for solar, and no Member States for wind. </w:t>
      </w:r>
    </w:p>
  </w:footnote>
  <w:footnote w:id="15">
    <w:p w14:paraId="10A0CBD1" w14:textId="74688B19" w:rsidR="00D069DA" w:rsidRPr="00B208A5" w:rsidRDefault="00D069DA" w:rsidP="00E21C5E">
      <w:pPr>
        <w:rPr>
          <w:sz w:val="20"/>
          <w:szCs w:val="20"/>
          <w:lang w:val="en-GB"/>
        </w:rPr>
      </w:pPr>
      <w:r>
        <w:rPr>
          <w:rStyle w:val="FootnoteReference"/>
          <w:sz w:val="20"/>
          <w:szCs w:val="20"/>
        </w:rPr>
        <w:footnoteRef/>
      </w:r>
      <w:r>
        <w:t xml:space="preserve"> </w:t>
      </w:r>
      <w:r w:rsidRPr="00E21C5E">
        <w:rPr>
          <w:sz w:val="20"/>
          <w:szCs w:val="20"/>
        </w:rPr>
        <w:t>Such as Spain’s use of the “rule of positive silence” to speed environmental permitting</w:t>
      </w:r>
      <w:r w:rsidR="00A96C4D" w:rsidRPr="00E21C5E">
        <w:rPr>
          <w:sz w:val="20"/>
          <w:szCs w:val="20"/>
        </w:rPr>
        <w:t>. For further best practice examples</w:t>
      </w:r>
      <w:r w:rsidR="00162B49">
        <w:rPr>
          <w:sz w:val="20"/>
          <w:szCs w:val="20"/>
        </w:rPr>
        <w:t>,</w:t>
      </w:r>
      <w:r w:rsidR="00A96C4D" w:rsidRPr="00E21C5E">
        <w:rPr>
          <w:sz w:val="20"/>
          <w:szCs w:val="20"/>
        </w:rPr>
        <w:t xml:space="preserve"> see ETC (2023)</w:t>
      </w:r>
      <w:r w:rsidR="00716162">
        <w:rPr>
          <w:sz w:val="20"/>
          <w:szCs w:val="20"/>
        </w:rPr>
        <w:t xml:space="preserve">, </w:t>
      </w:r>
      <w:hyperlink r:id="rId3" w:history="1">
        <w:r w:rsidR="00716162" w:rsidRPr="00B13B74">
          <w:rPr>
            <w:rStyle w:val="Hyperlink"/>
            <w:sz w:val="20"/>
            <w:szCs w:val="20"/>
            <w:lang w:val="en-GB"/>
          </w:rPr>
          <w:t xml:space="preserve">Streamlining planning and permitting to accelerate wind and solar deployment. </w:t>
        </w:r>
      </w:hyperlink>
      <w:r w:rsidR="00A96C4D">
        <w:rPr>
          <w:i/>
          <w:iCs/>
        </w:rPr>
        <w:t xml:space="preserve"> </w:t>
      </w:r>
    </w:p>
  </w:footnote>
  <w:footnote w:id="16">
    <w:p w14:paraId="13B1B59C" w14:textId="245553E9" w:rsidR="00501741" w:rsidRDefault="00501741">
      <w:pPr>
        <w:pStyle w:val="FootnoteText"/>
      </w:pPr>
      <w:r>
        <w:rPr>
          <w:rStyle w:val="FootnoteReference"/>
        </w:rPr>
        <w:footnoteRef/>
      </w:r>
      <w:r>
        <w:t xml:space="preserve"> See Systemiq (2024)</w:t>
      </w:r>
      <w:r w:rsidR="00716162">
        <w:t>,</w:t>
      </w:r>
      <w:r>
        <w:t xml:space="preserve"> </w:t>
      </w:r>
      <w:r w:rsidR="00BC131B" w:rsidRPr="00F71361">
        <w:rPr>
          <w:i/>
          <w:iCs/>
        </w:rPr>
        <w:t>Catalysing the Global Opportunity for Electrothermal Energy Storage</w:t>
      </w:r>
      <w:r>
        <w:t>.</w:t>
      </w:r>
    </w:p>
  </w:footnote>
  <w:footnote w:id="17">
    <w:p w14:paraId="0E5DE056" w14:textId="77777777" w:rsidR="00466D95" w:rsidRDefault="00466D95" w:rsidP="00466D95">
      <w:pPr>
        <w:pStyle w:val="FootnoteText"/>
      </w:pPr>
      <w:r>
        <w:rPr>
          <w:rStyle w:val="FootnoteReference"/>
        </w:rPr>
        <w:footnoteRef/>
      </w:r>
      <w:r>
        <w:t xml:space="preserve"> An example here would be H2 Global. </w:t>
      </w:r>
    </w:p>
  </w:footnote>
  <w:footnote w:id="18">
    <w:p w14:paraId="377F1B50" w14:textId="77777777" w:rsidR="00726A2F" w:rsidRDefault="0016616E" w:rsidP="00726A2F">
      <w:pPr>
        <w:pStyle w:val="FootnoteText"/>
      </w:pPr>
      <w:r>
        <w:rPr>
          <w:rStyle w:val="FootnoteReference"/>
        </w:rPr>
        <w:footnoteRef/>
      </w:r>
      <w:r>
        <w:t xml:space="preserve"> ETC (2022)</w:t>
      </w:r>
      <w:r w:rsidR="00726A2F">
        <w:t>,</w:t>
      </w:r>
      <w:r>
        <w:t xml:space="preserve"> </w:t>
      </w:r>
    </w:p>
    <w:p w14:paraId="3088DE14" w14:textId="17523580" w:rsidR="0016616E" w:rsidRDefault="00D3541C" w:rsidP="00726A2F">
      <w:pPr>
        <w:pStyle w:val="FootnoteText"/>
      </w:pPr>
      <w:hyperlink r:id="rId4" w:history="1">
        <w:r w:rsidRPr="00B208A5">
          <w:rPr>
            <w:rStyle w:val="Hyperlink"/>
            <w:i/>
            <w:iCs/>
          </w:rPr>
          <w:t>Building Energy Security Through Accelerated Energy Transition</w:t>
        </w:r>
        <w:r w:rsidR="00726A2F" w:rsidRPr="003C35E5">
          <w:rPr>
            <w:rStyle w:val="Hyperlink"/>
          </w:rPr>
          <w:t>.</w:t>
        </w:r>
      </w:hyperlink>
    </w:p>
  </w:footnote>
  <w:footnote w:id="19">
    <w:p w14:paraId="5837FC70" w14:textId="5DF9FAF5" w:rsidR="004424CC" w:rsidRPr="004424CC" w:rsidRDefault="004424CC">
      <w:pPr>
        <w:pStyle w:val="FootnoteText"/>
        <w:rPr>
          <w:lang w:val="en-GB"/>
        </w:rPr>
      </w:pPr>
      <w:r>
        <w:rPr>
          <w:rStyle w:val="FootnoteReference"/>
        </w:rPr>
        <w:footnoteRef/>
      </w:r>
      <w:r w:rsidRPr="004424CC">
        <w:rPr>
          <w:lang w:val="en-GB"/>
        </w:rPr>
        <w:t xml:space="preserve"> See ETC (2023)</w:t>
      </w:r>
      <w:r w:rsidR="00D3541C">
        <w:rPr>
          <w:lang w:val="en-GB"/>
        </w:rPr>
        <w:t>,</w:t>
      </w:r>
      <w:r w:rsidRPr="004424CC">
        <w:rPr>
          <w:lang w:val="en-GB"/>
        </w:rPr>
        <w:t xml:space="preserve"> </w:t>
      </w:r>
      <w:hyperlink r:id="rId5" w:history="1">
        <w:r w:rsidRPr="004A3F2F">
          <w:rPr>
            <w:rStyle w:val="Hyperlink"/>
            <w:i/>
            <w:iCs/>
            <w:lang w:val="en-GB"/>
          </w:rPr>
          <w:t>Supply chains: EU policy toolkit</w:t>
        </w:r>
      </w:hyperlink>
      <w:r w:rsidR="00D3541C">
        <w:rPr>
          <w:i/>
          <w:iCs/>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2258CEAA"/>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2814F5EA"/>
    <w:lvl w:ilvl="0">
      <w:start w:val="1"/>
      <w:numFmt w:val="decimal"/>
      <w:pStyle w:val="ListNumber2"/>
      <w:lvlText w:val="%1."/>
      <w:lvlJc w:val="left"/>
      <w:pPr>
        <w:tabs>
          <w:tab w:val="num" w:pos="643"/>
        </w:tabs>
        <w:ind w:left="643" w:hanging="360"/>
      </w:pPr>
    </w:lvl>
  </w:abstractNum>
  <w:abstractNum w:abstractNumId="2" w15:restartNumberingAfterBreak="0">
    <w:nsid w:val="00C94F59"/>
    <w:multiLevelType w:val="hybridMultilevel"/>
    <w:tmpl w:val="A90C9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B41733"/>
    <w:multiLevelType w:val="multilevel"/>
    <w:tmpl w:val="1576D712"/>
    <w:styleLink w:val="ListHeadings"/>
    <w:lvl w:ilvl="0">
      <w:start w:val="1"/>
      <w:numFmt w:val="decimal"/>
      <w:pStyle w:val="ListHeading1"/>
      <w:lvlText w:val="%1."/>
      <w:lvlJc w:val="left"/>
      <w:pPr>
        <w:ind w:left="397" w:hanging="397"/>
      </w:pPr>
      <w:rPr>
        <w:rFonts w:hint="default"/>
      </w:rPr>
    </w:lvl>
    <w:lvl w:ilvl="1">
      <w:start w:val="1"/>
      <w:numFmt w:val="decimal"/>
      <w:pStyle w:val="ListHeading2"/>
      <w:lvlText w:val="%1.%2"/>
      <w:lvlJc w:val="left"/>
      <w:pPr>
        <w:ind w:left="907" w:hanging="510"/>
      </w:pPr>
      <w:rPr>
        <w:rFonts w:hint="default"/>
      </w:rPr>
    </w:lvl>
    <w:lvl w:ilvl="2">
      <w:start w:val="1"/>
      <w:numFmt w:val="decimal"/>
      <w:pStyle w:val="ListHeading3"/>
      <w:lvlText w:val="%1.%2.%3"/>
      <w:lvlJc w:val="left"/>
      <w:pPr>
        <w:ind w:left="1588" w:hanging="681"/>
      </w:pPr>
      <w:rPr>
        <w:rFonts w:hint="default"/>
      </w:rPr>
    </w:lvl>
    <w:lvl w:ilvl="3">
      <w:start w:val="1"/>
      <w:numFmt w:val="none"/>
      <w:lvlText w:val=""/>
      <w:lvlJc w:val="left"/>
      <w:pPr>
        <w:ind w:left="1644" w:hanging="453"/>
      </w:pPr>
      <w:rPr>
        <w:rFonts w:hint="default"/>
      </w:rPr>
    </w:lvl>
    <w:lvl w:ilvl="4">
      <w:start w:val="1"/>
      <w:numFmt w:val="none"/>
      <w:lvlText w:val=""/>
      <w:lvlJc w:val="left"/>
      <w:pPr>
        <w:ind w:left="1644" w:hanging="453"/>
      </w:pPr>
      <w:rPr>
        <w:rFonts w:hint="default"/>
      </w:rPr>
    </w:lvl>
    <w:lvl w:ilvl="5">
      <w:start w:val="1"/>
      <w:numFmt w:val="none"/>
      <w:lvlText w:val=""/>
      <w:lvlJc w:val="left"/>
      <w:pPr>
        <w:ind w:left="1644" w:hanging="453"/>
      </w:pPr>
      <w:rPr>
        <w:rFonts w:hint="default"/>
      </w:rPr>
    </w:lvl>
    <w:lvl w:ilvl="6">
      <w:start w:val="1"/>
      <w:numFmt w:val="none"/>
      <w:lvlText w:val=""/>
      <w:lvlJc w:val="left"/>
      <w:pPr>
        <w:ind w:left="1644" w:hanging="453"/>
      </w:pPr>
      <w:rPr>
        <w:rFonts w:hint="default"/>
      </w:rPr>
    </w:lvl>
    <w:lvl w:ilvl="7">
      <w:start w:val="1"/>
      <w:numFmt w:val="none"/>
      <w:lvlText w:val=""/>
      <w:lvlJc w:val="left"/>
      <w:pPr>
        <w:ind w:left="1644" w:hanging="453"/>
      </w:pPr>
      <w:rPr>
        <w:rFonts w:hint="default"/>
      </w:rPr>
    </w:lvl>
    <w:lvl w:ilvl="8">
      <w:start w:val="1"/>
      <w:numFmt w:val="none"/>
      <w:lvlText w:val=""/>
      <w:lvlJc w:val="left"/>
      <w:pPr>
        <w:ind w:left="1644" w:hanging="453"/>
      </w:pPr>
      <w:rPr>
        <w:rFonts w:hint="default"/>
      </w:rPr>
    </w:lvl>
  </w:abstractNum>
  <w:abstractNum w:abstractNumId="4" w15:restartNumberingAfterBreak="0">
    <w:nsid w:val="058622B9"/>
    <w:multiLevelType w:val="hybridMultilevel"/>
    <w:tmpl w:val="B1220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E745A"/>
    <w:multiLevelType w:val="hybridMultilevel"/>
    <w:tmpl w:val="031A5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A0853"/>
    <w:multiLevelType w:val="hybridMultilevel"/>
    <w:tmpl w:val="24C28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21521"/>
    <w:multiLevelType w:val="hybridMultilevel"/>
    <w:tmpl w:val="7798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DB74D9"/>
    <w:multiLevelType w:val="hybridMultilevel"/>
    <w:tmpl w:val="0E16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81ACF"/>
    <w:multiLevelType w:val="hybridMultilevel"/>
    <w:tmpl w:val="58B0F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F75AA3"/>
    <w:multiLevelType w:val="hybridMultilevel"/>
    <w:tmpl w:val="15B642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44213C"/>
    <w:multiLevelType w:val="hybridMultilevel"/>
    <w:tmpl w:val="7F6CC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283C54"/>
    <w:multiLevelType w:val="hybridMultilevel"/>
    <w:tmpl w:val="72103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11694B"/>
    <w:multiLevelType w:val="hybridMultilevel"/>
    <w:tmpl w:val="5B204C74"/>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4" w15:restartNumberingAfterBreak="0">
    <w:nsid w:val="29CD683C"/>
    <w:multiLevelType w:val="hybridMultilevel"/>
    <w:tmpl w:val="0588ADE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331200AE"/>
    <w:multiLevelType w:val="hybridMultilevel"/>
    <w:tmpl w:val="619AE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D819FF"/>
    <w:multiLevelType w:val="hybridMultilevel"/>
    <w:tmpl w:val="E9481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A0BCC"/>
    <w:multiLevelType w:val="hybridMultilevel"/>
    <w:tmpl w:val="A89013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8C26BE"/>
    <w:multiLevelType w:val="hybridMultilevel"/>
    <w:tmpl w:val="FB5CAC2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83B31CE"/>
    <w:multiLevelType w:val="hybridMultilevel"/>
    <w:tmpl w:val="EDD82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5F597C"/>
    <w:multiLevelType w:val="multilevel"/>
    <w:tmpl w:val="1576D712"/>
    <w:numStyleLink w:val="ListHeadings"/>
  </w:abstractNum>
  <w:abstractNum w:abstractNumId="21" w15:restartNumberingAfterBreak="0">
    <w:nsid w:val="4B1D4E5B"/>
    <w:multiLevelType w:val="hybridMultilevel"/>
    <w:tmpl w:val="88802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F57664"/>
    <w:multiLevelType w:val="multilevel"/>
    <w:tmpl w:val="292A8E60"/>
    <w:styleLink w:val="ListBullets"/>
    <w:lvl w:ilvl="0">
      <w:start w:val="1"/>
      <w:numFmt w:val="bullet"/>
      <w:lvlRestart w:val="0"/>
      <w:pStyle w:val="ListBullet"/>
      <w:lvlText w:val="•"/>
      <w:lvlJc w:val="left"/>
      <w:pPr>
        <w:ind w:left="283" w:hanging="283"/>
      </w:pPr>
      <w:rPr>
        <w:rFonts w:ascii="Century Gothic" w:hAnsi="Century Gothic" w:hint="default"/>
        <w:b w:val="0"/>
        <w:i w:val="0"/>
        <w:color w:val="auto"/>
        <w:sz w:val="22"/>
      </w:rPr>
    </w:lvl>
    <w:lvl w:ilvl="1">
      <w:start w:val="1"/>
      <w:numFmt w:val="bullet"/>
      <w:lvlText w:val="–"/>
      <w:lvlJc w:val="left"/>
      <w:pPr>
        <w:ind w:left="567" w:hanging="284"/>
      </w:pPr>
      <w:rPr>
        <w:rFonts w:ascii="Century Gothic" w:hAnsi="Century Gothic" w:hint="default"/>
        <w:color w:val="auto"/>
      </w:rPr>
    </w:lvl>
    <w:lvl w:ilvl="2">
      <w:start w:val="1"/>
      <w:numFmt w:val="bullet"/>
      <w:lvlText w:val="◦"/>
      <w:lvlJc w:val="left"/>
      <w:pPr>
        <w:ind w:left="850" w:hanging="283"/>
      </w:pPr>
      <w:rPr>
        <w:rFonts w:ascii="Century Gothic" w:hAnsi="Century Gothic" w:hint="default"/>
        <w:color w:val="auto"/>
      </w:rPr>
    </w:lvl>
    <w:lvl w:ilvl="3">
      <w:start w:val="1"/>
      <w:numFmt w:val="none"/>
      <w:lvlText w:val=""/>
      <w:lvlJc w:val="left"/>
      <w:pPr>
        <w:tabs>
          <w:tab w:val="num" w:pos="851"/>
        </w:tabs>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23" w15:restartNumberingAfterBreak="0">
    <w:nsid w:val="51020F14"/>
    <w:multiLevelType w:val="hybridMultilevel"/>
    <w:tmpl w:val="3EBA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89167F"/>
    <w:multiLevelType w:val="hybridMultilevel"/>
    <w:tmpl w:val="90C6A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8E6733"/>
    <w:multiLevelType w:val="hybridMultilevel"/>
    <w:tmpl w:val="AE02F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85539"/>
    <w:multiLevelType w:val="hybridMultilevel"/>
    <w:tmpl w:val="8D047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05B6F"/>
    <w:multiLevelType w:val="hybridMultilevel"/>
    <w:tmpl w:val="083A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FB2FC5"/>
    <w:multiLevelType w:val="hybridMultilevel"/>
    <w:tmpl w:val="7DE2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06FB9"/>
    <w:multiLevelType w:val="multilevel"/>
    <w:tmpl w:val="35F69106"/>
    <w:numStyleLink w:val="ListNumbers"/>
  </w:abstractNum>
  <w:abstractNum w:abstractNumId="30" w15:restartNumberingAfterBreak="0">
    <w:nsid w:val="64EF601B"/>
    <w:multiLevelType w:val="multilevel"/>
    <w:tmpl w:val="35F69106"/>
    <w:styleLink w:val="ListNumbers"/>
    <w:lvl w:ilvl="0">
      <w:start w:val="1"/>
      <w:numFmt w:val="decimal"/>
      <w:lvlRestart w:val="0"/>
      <w:pStyle w:val="ListNumber"/>
      <w:lvlText w:val="%1."/>
      <w:lvlJc w:val="left"/>
      <w:pPr>
        <w:ind w:left="340" w:hanging="340"/>
      </w:pPr>
      <w:rPr>
        <w:rFonts w:hint="default"/>
      </w:rPr>
    </w:lvl>
    <w:lvl w:ilvl="1">
      <w:start w:val="1"/>
      <w:numFmt w:val="decimal"/>
      <w:lvlText w:val="%1.%2"/>
      <w:lvlJc w:val="left"/>
      <w:pPr>
        <w:ind w:left="851" w:hanging="511"/>
      </w:pPr>
      <w:rPr>
        <w:rFonts w:hint="default"/>
      </w:rPr>
    </w:lvl>
    <w:lvl w:ilvl="2">
      <w:start w:val="1"/>
      <w:numFmt w:val="decimal"/>
      <w:lvlText w:val="%1.%2.%3"/>
      <w:lvlJc w:val="left"/>
      <w:pPr>
        <w:ind w:left="1418" w:hanging="567"/>
      </w:pPr>
      <w:rPr>
        <w:rFonts w:hint="default"/>
      </w:rPr>
    </w:lvl>
    <w:lvl w:ilvl="3">
      <w:start w:val="1"/>
      <w:numFmt w:val="none"/>
      <w:lvlText w:val=""/>
      <w:lvlJc w:val="left"/>
      <w:pPr>
        <w:ind w:left="851" w:hanging="284"/>
      </w:pPr>
      <w:rPr>
        <w:rFonts w:hint="default"/>
      </w:rPr>
    </w:lvl>
    <w:lvl w:ilvl="4">
      <w:start w:val="1"/>
      <w:numFmt w:val="none"/>
      <w:lvlText w:val=""/>
      <w:lvlJc w:val="left"/>
      <w:pPr>
        <w:ind w:left="851" w:hanging="284"/>
      </w:pPr>
      <w:rPr>
        <w:rFonts w:hint="default"/>
      </w:rPr>
    </w:lvl>
    <w:lvl w:ilvl="5">
      <w:start w:val="1"/>
      <w:numFmt w:val="none"/>
      <w:lvlText w:val=""/>
      <w:lvlJc w:val="left"/>
      <w:pPr>
        <w:ind w:left="851" w:hanging="284"/>
      </w:pPr>
      <w:rPr>
        <w:rFonts w:hint="default"/>
      </w:rPr>
    </w:lvl>
    <w:lvl w:ilvl="6">
      <w:start w:val="1"/>
      <w:numFmt w:val="none"/>
      <w:lvlText w:val=""/>
      <w:lvlJc w:val="left"/>
      <w:pPr>
        <w:ind w:left="851" w:hanging="284"/>
      </w:pPr>
      <w:rPr>
        <w:rFonts w:hint="default"/>
      </w:rPr>
    </w:lvl>
    <w:lvl w:ilvl="7">
      <w:start w:val="1"/>
      <w:numFmt w:val="none"/>
      <w:lvlText w:val=""/>
      <w:lvlJc w:val="left"/>
      <w:pPr>
        <w:ind w:left="851" w:hanging="284"/>
      </w:pPr>
      <w:rPr>
        <w:rFonts w:hint="default"/>
      </w:rPr>
    </w:lvl>
    <w:lvl w:ilvl="8">
      <w:start w:val="1"/>
      <w:numFmt w:val="none"/>
      <w:lvlText w:val=""/>
      <w:lvlJc w:val="left"/>
      <w:pPr>
        <w:ind w:left="851" w:hanging="284"/>
      </w:pPr>
      <w:rPr>
        <w:rFonts w:hint="default"/>
      </w:rPr>
    </w:lvl>
  </w:abstractNum>
  <w:abstractNum w:abstractNumId="31" w15:restartNumberingAfterBreak="0">
    <w:nsid w:val="65971556"/>
    <w:multiLevelType w:val="hybridMultilevel"/>
    <w:tmpl w:val="83AE2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CC1AA5"/>
    <w:multiLevelType w:val="hybridMultilevel"/>
    <w:tmpl w:val="9E5E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AB66D9"/>
    <w:multiLevelType w:val="hybridMultilevel"/>
    <w:tmpl w:val="AE14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9C2D2A"/>
    <w:multiLevelType w:val="hybridMultilevel"/>
    <w:tmpl w:val="28E2BF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0CD3CC0"/>
    <w:multiLevelType w:val="hybridMultilevel"/>
    <w:tmpl w:val="ABD8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EB37A0"/>
    <w:multiLevelType w:val="multilevel"/>
    <w:tmpl w:val="292A8E60"/>
    <w:numStyleLink w:val="ListBullets"/>
  </w:abstractNum>
  <w:abstractNum w:abstractNumId="37" w15:restartNumberingAfterBreak="0">
    <w:nsid w:val="78936947"/>
    <w:multiLevelType w:val="hybridMultilevel"/>
    <w:tmpl w:val="770CAD62"/>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FF40C77"/>
    <w:multiLevelType w:val="hybridMultilevel"/>
    <w:tmpl w:val="5A7A7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249420">
    <w:abstractNumId w:val="22"/>
  </w:num>
  <w:num w:numId="2" w16cid:durableId="1705206689">
    <w:abstractNumId w:val="36"/>
  </w:num>
  <w:num w:numId="3" w16cid:durableId="2006013747">
    <w:abstractNumId w:val="3"/>
  </w:num>
  <w:num w:numId="4" w16cid:durableId="1156266796">
    <w:abstractNumId w:val="20"/>
  </w:num>
  <w:num w:numId="5" w16cid:durableId="350649022">
    <w:abstractNumId w:val="1"/>
  </w:num>
  <w:num w:numId="6" w16cid:durableId="165638525">
    <w:abstractNumId w:val="0"/>
  </w:num>
  <w:num w:numId="7" w16cid:durableId="476999481">
    <w:abstractNumId w:val="30"/>
  </w:num>
  <w:num w:numId="8" w16cid:durableId="256250069">
    <w:abstractNumId w:val="29"/>
  </w:num>
  <w:num w:numId="9" w16cid:durableId="1233344611">
    <w:abstractNumId w:val="12"/>
  </w:num>
  <w:num w:numId="10" w16cid:durableId="51970506">
    <w:abstractNumId w:val="19"/>
  </w:num>
  <w:num w:numId="11" w16cid:durableId="537740687">
    <w:abstractNumId w:val="15"/>
  </w:num>
  <w:num w:numId="12" w16cid:durableId="2023319190">
    <w:abstractNumId w:val="26"/>
  </w:num>
  <w:num w:numId="13" w16cid:durableId="1379015815">
    <w:abstractNumId w:val="6"/>
  </w:num>
  <w:num w:numId="14" w16cid:durableId="407844283">
    <w:abstractNumId w:val="4"/>
  </w:num>
  <w:num w:numId="15" w16cid:durableId="600382909">
    <w:abstractNumId w:val="10"/>
  </w:num>
  <w:num w:numId="16" w16cid:durableId="1206983511">
    <w:abstractNumId w:val="5"/>
  </w:num>
  <w:num w:numId="17" w16cid:durableId="404379007">
    <w:abstractNumId w:val="37"/>
  </w:num>
  <w:num w:numId="18" w16cid:durableId="226185914">
    <w:abstractNumId w:val="33"/>
  </w:num>
  <w:num w:numId="19" w16cid:durableId="81294943">
    <w:abstractNumId w:val="18"/>
  </w:num>
  <w:num w:numId="20" w16cid:durableId="1721324636">
    <w:abstractNumId w:val="34"/>
  </w:num>
  <w:num w:numId="21" w16cid:durableId="1833401054">
    <w:abstractNumId w:val="27"/>
  </w:num>
  <w:num w:numId="22" w16cid:durableId="69544318">
    <w:abstractNumId w:val="35"/>
  </w:num>
  <w:num w:numId="23" w16cid:durableId="1402175370">
    <w:abstractNumId w:val="7"/>
  </w:num>
  <w:num w:numId="24" w16cid:durableId="530532437">
    <w:abstractNumId w:val="16"/>
  </w:num>
  <w:num w:numId="25" w16cid:durableId="1758668055">
    <w:abstractNumId w:val="14"/>
  </w:num>
  <w:num w:numId="26" w16cid:durableId="1679192629">
    <w:abstractNumId w:val="17"/>
  </w:num>
  <w:num w:numId="27" w16cid:durableId="1991595452">
    <w:abstractNumId w:val="21"/>
  </w:num>
  <w:num w:numId="28" w16cid:durableId="1828935629">
    <w:abstractNumId w:val="11"/>
  </w:num>
  <w:num w:numId="29" w16cid:durableId="243878024">
    <w:abstractNumId w:val="24"/>
  </w:num>
  <w:num w:numId="30" w16cid:durableId="441612398">
    <w:abstractNumId w:val="25"/>
  </w:num>
  <w:num w:numId="31" w16cid:durableId="2037343172">
    <w:abstractNumId w:val="8"/>
  </w:num>
  <w:num w:numId="32" w16cid:durableId="1153253610">
    <w:abstractNumId w:val="2"/>
  </w:num>
  <w:num w:numId="33" w16cid:durableId="160049643">
    <w:abstractNumId w:val="23"/>
  </w:num>
  <w:num w:numId="34" w16cid:durableId="820075678">
    <w:abstractNumId w:val="28"/>
  </w:num>
  <w:num w:numId="35" w16cid:durableId="1641500177">
    <w:abstractNumId w:val="9"/>
  </w:num>
  <w:num w:numId="36" w16cid:durableId="1686635522">
    <w:abstractNumId w:val="32"/>
  </w:num>
  <w:num w:numId="37" w16cid:durableId="727385243">
    <w:abstractNumId w:val="31"/>
  </w:num>
  <w:num w:numId="38" w16cid:durableId="811219918">
    <w:abstractNumId w:val="38"/>
  </w:num>
  <w:num w:numId="39" w16cid:durableId="193917705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0F"/>
    <w:rsid w:val="000014D8"/>
    <w:rsid w:val="000020A6"/>
    <w:rsid w:val="00002262"/>
    <w:rsid w:val="000032FF"/>
    <w:rsid w:val="00005055"/>
    <w:rsid w:val="00005D65"/>
    <w:rsid w:val="0000646C"/>
    <w:rsid w:val="00011073"/>
    <w:rsid w:val="00011B37"/>
    <w:rsid w:val="00013668"/>
    <w:rsid w:val="00015888"/>
    <w:rsid w:val="00022C69"/>
    <w:rsid w:val="00024C85"/>
    <w:rsid w:val="00027A08"/>
    <w:rsid w:val="000321CD"/>
    <w:rsid w:val="00036B06"/>
    <w:rsid w:val="00036B82"/>
    <w:rsid w:val="00042827"/>
    <w:rsid w:val="00044F67"/>
    <w:rsid w:val="00045714"/>
    <w:rsid w:val="000463FF"/>
    <w:rsid w:val="0005026E"/>
    <w:rsid w:val="000511FF"/>
    <w:rsid w:val="000542D4"/>
    <w:rsid w:val="000553A7"/>
    <w:rsid w:val="00056376"/>
    <w:rsid w:val="00057378"/>
    <w:rsid w:val="000576A9"/>
    <w:rsid w:val="00062BB2"/>
    <w:rsid w:val="000633E6"/>
    <w:rsid w:val="00064BE9"/>
    <w:rsid w:val="000663C4"/>
    <w:rsid w:val="0007108A"/>
    <w:rsid w:val="000711BE"/>
    <w:rsid w:val="00073558"/>
    <w:rsid w:val="00074744"/>
    <w:rsid w:val="000844F1"/>
    <w:rsid w:val="000845AE"/>
    <w:rsid w:val="00084867"/>
    <w:rsid w:val="00085851"/>
    <w:rsid w:val="00086F8B"/>
    <w:rsid w:val="000903DF"/>
    <w:rsid w:val="00090CDE"/>
    <w:rsid w:val="00093A0B"/>
    <w:rsid w:val="00093E5E"/>
    <w:rsid w:val="00095716"/>
    <w:rsid w:val="00095AA7"/>
    <w:rsid w:val="000A0FF0"/>
    <w:rsid w:val="000A716C"/>
    <w:rsid w:val="000B1DAE"/>
    <w:rsid w:val="000B31BC"/>
    <w:rsid w:val="000B3293"/>
    <w:rsid w:val="000B44CB"/>
    <w:rsid w:val="000B55A1"/>
    <w:rsid w:val="000B6DCE"/>
    <w:rsid w:val="000C0A7C"/>
    <w:rsid w:val="000C101D"/>
    <w:rsid w:val="000C11C8"/>
    <w:rsid w:val="000C1E6D"/>
    <w:rsid w:val="000C297C"/>
    <w:rsid w:val="000C56A2"/>
    <w:rsid w:val="000C6A95"/>
    <w:rsid w:val="000D11EF"/>
    <w:rsid w:val="000D1F65"/>
    <w:rsid w:val="000D3422"/>
    <w:rsid w:val="000D5264"/>
    <w:rsid w:val="000D73FA"/>
    <w:rsid w:val="000D742B"/>
    <w:rsid w:val="000E003C"/>
    <w:rsid w:val="000E0582"/>
    <w:rsid w:val="000E4158"/>
    <w:rsid w:val="000E4D1E"/>
    <w:rsid w:val="000E5277"/>
    <w:rsid w:val="000E5FF7"/>
    <w:rsid w:val="000E69CB"/>
    <w:rsid w:val="000E7326"/>
    <w:rsid w:val="000F4988"/>
    <w:rsid w:val="000F5325"/>
    <w:rsid w:val="000F670D"/>
    <w:rsid w:val="001038EF"/>
    <w:rsid w:val="00103CBA"/>
    <w:rsid w:val="00106488"/>
    <w:rsid w:val="001064C0"/>
    <w:rsid w:val="00106D7B"/>
    <w:rsid w:val="001071CA"/>
    <w:rsid w:val="00113D8D"/>
    <w:rsid w:val="00113ED0"/>
    <w:rsid w:val="00122575"/>
    <w:rsid w:val="00123B52"/>
    <w:rsid w:val="00124F2D"/>
    <w:rsid w:val="001260A5"/>
    <w:rsid w:val="00126FCA"/>
    <w:rsid w:val="00131328"/>
    <w:rsid w:val="00134DAA"/>
    <w:rsid w:val="00142D25"/>
    <w:rsid w:val="00143FCF"/>
    <w:rsid w:val="00144CC2"/>
    <w:rsid w:val="00145DD5"/>
    <w:rsid w:val="00146E6D"/>
    <w:rsid w:val="001471B5"/>
    <w:rsid w:val="001501A0"/>
    <w:rsid w:val="00151764"/>
    <w:rsid w:val="00151D4D"/>
    <w:rsid w:val="001520EB"/>
    <w:rsid w:val="001535D9"/>
    <w:rsid w:val="0015412E"/>
    <w:rsid w:val="00154C10"/>
    <w:rsid w:val="00155F5B"/>
    <w:rsid w:val="00156274"/>
    <w:rsid w:val="0016228A"/>
    <w:rsid w:val="001626DC"/>
    <w:rsid w:val="00162B40"/>
    <w:rsid w:val="00162B49"/>
    <w:rsid w:val="001636B9"/>
    <w:rsid w:val="00165A3A"/>
    <w:rsid w:val="0016616E"/>
    <w:rsid w:val="0016771B"/>
    <w:rsid w:val="00170AF4"/>
    <w:rsid w:val="0017174C"/>
    <w:rsid w:val="00171BE2"/>
    <w:rsid w:val="00174A18"/>
    <w:rsid w:val="00175D74"/>
    <w:rsid w:val="00176A60"/>
    <w:rsid w:val="00180322"/>
    <w:rsid w:val="001820B5"/>
    <w:rsid w:val="0018435F"/>
    <w:rsid w:val="00185B5C"/>
    <w:rsid w:val="00186357"/>
    <w:rsid w:val="0018688A"/>
    <w:rsid w:val="00192B09"/>
    <w:rsid w:val="0019482D"/>
    <w:rsid w:val="00194D45"/>
    <w:rsid w:val="0019553D"/>
    <w:rsid w:val="00195F13"/>
    <w:rsid w:val="001965B2"/>
    <w:rsid w:val="0019679D"/>
    <w:rsid w:val="00197A06"/>
    <w:rsid w:val="00197AEA"/>
    <w:rsid w:val="00197BCB"/>
    <w:rsid w:val="001A02BC"/>
    <w:rsid w:val="001A74E7"/>
    <w:rsid w:val="001B020B"/>
    <w:rsid w:val="001B3459"/>
    <w:rsid w:val="001B52F0"/>
    <w:rsid w:val="001B5414"/>
    <w:rsid w:val="001B56CD"/>
    <w:rsid w:val="001B5DD5"/>
    <w:rsid w:val="001C1C19"/>
    <w:rsid w:val="001C2155"/>
    <w:rsid w:val="001C6254"/>
    <w:rsid w:val="001D36A1"/>
    <w:rsid w:val="001D3FAC"/>
    <w:rsid w:val="001D6C48"/>
    <w:rsid w:val="001D722E"/>
    <w:rsid w:val="001E01AB"/>
    <w:rsid w:val="001E26D1"/>
    <w:rsid w:val="001E4352"/>
    <w:rsid w:val="001E45F6"/>
    <w:rsid w:val="001E59F0"/>
    <w:rsid w:val="001E5BAD"/>
    <w:rsid w:val="001F0700"/>
    <w:rsid w:val="001F1AE9"/>
    <w:rsid w:val="001F1E09"/>
    <w:rsid w:val="001F2EB8"/>
    <w:rsid w:val="001F378E"/>
    <w:rsid w:val="001F4FA7"/>
    <w:rsid w:val="001F6381"/>
    <w:rsid w:val="001F7285"/>
    <w:rsid w:val="001F76D9"/>
    <w:rsid w:val="001F7AE2"/>
    <w:rsid w:val="00203FDB"/>
    <w:rsid w:val="00205B00"/>
    <w:rsid w:val="00207C50"/>
    <w:rsid w:val="002120E3"/>
    <w:rsid w:val="00213412"/>
    <w:rsid w:val="002211B1"/>
    <w:rsid w:val="00221D52"/>
    <w:rsid w:val="00222D9A"/>
    <w:rsid w:val="002239DE"/>
    <w:rsid w:val="002243D1"/>
    <w:rsid w:val="00224B59"/>
    <w:rsid w:val="00224B94"/>
    <w:rsid w:val="00225525"/>
    <w:rsid w:val="00225C29"/>
    <w:rsid w:val="00227BB1"/>
    <w:rsid w:val="00234492"/>
    <w:rsid w:val="002347C7"/>
    <w:rsid w:val="00235EB6"/>
    <w:rsid w:val="00236A59"/>
    <w:rsid w:val="002408BB"/>
    <w:rsid w:val="00242F69"/>
    <w:rsid w:val="002432D6"/>
    <w:rsid w:val="002445BD"/>
    <w:rsid w:val="002465D1"/>
    <w:rsid w:val="002470F3"/>
    <w:rsid w:val="00252F74"/>
    <w:rsid w:val="00254503"/>
    <w:rsid w:val="00254E3C"/>
    <w:rsid w:val="00256F95"/>
    <w:rsid w:val="002578C0"/>
    <w:rsid w:val="002611E4"/>
    <w:rsid w:val="00262350"/>
    <w:rsid w:val="002627E9"/>
    <w:rsid w:val="002656B7"/>
    <w:rsid w:val="002723CF"/>
    <w:rsid w:val="002731FD"/>
    <w:rsid w:val="00273FC9"/>
    <w:rsid w:val="00274484"/>
    <w:rsid w:val="00274DD8"/>
    <w:rsid w:val="00276209"/>
    <w:rsid w:val="00276606"/>
    <w:rsid w:val="0028191A"/>
    <w:rsid w:val="002823BE"/>
    <w:rsid w:val="00285E29"/>
    <w:rsid w:val="00285E4E"/>
    <w:rsid w:val="00286B26"/>
    <w:rsid w:val="00293A85"/>
    <w:rsid w:val="00295E93"/>
    <w:rsid w:val="0029727C"/>
    <w:rsid w:val="002A0064"/>
    <w:rsid w:val="002A2B41"/>
    <w:rsid w:val="002A35E6"/>
    <w:rsid w:val="002A797F"/>
    <w:rsid w:val="002A7F8E"/>
    <w:rsid w:val="002B0996"/>
    <w:rsid w:val="002B3041"/>
    <w:rsid w:val="002B381F"/>
    <w:rsid w:val="002B4B15"/>
    <w:rsid w:val="002B5011"/>
    <w:rsid w:val="002B5193"/>
    <w:rsid w:val="002B55FE"/>
    <w:rsid w:val="002B5D1A"/>
    <w:rsid w:val="002C1235"/>
    <w:rsid w:val="002C3203"/>
    <w:rsid w:val="002C3255"/>
    <w:rsid w:val="002C41C2"/>
    <w:rsid w:val="002D0066"/>
    <w:rsid w:val="002D1078"/>
    <w:rsid w:val="002D109D"/>
    <w:rsid w:val="002D464A"/>
    <w:rsid w:val="002E0156"/>
    <w:rsid w:val="002E01BB"/>
    <w:rsid w:val="002E145D"/>
    <w:rsid w:val="002E3E32"/>
    <w:rsid w:val="002E5031"/>
    <w:rsid w:val="002F1BCB"/>
    <w:rsid w:val="002F4A91"/>
    <w:rsid w:val="002F6712"/>
    <w:rsid w:val="002F6BC5"/>
    <w:rsid w:val="002F76F5"/>
    <w:rsid w:val="0030033F"/>
    <w:rsid w:val="003012BF"/>
    <w:rsid w:val="00303E06"/>
    <w:rsid w:val="00305F21"/>
    <w:rsid w:val="00312548"/>
    <w:rsid w:val="0031500E"/>
    <w:rsid w:val="0031514B"/>
    <w:rsid w:val="003153DB"/>
    <w:rsid w:val="00317454"/>
    <w:rsid w:val="003202B9"/>
    <w:rsid w:val="00325BEE"/>
    <w:rsid w:val="00326ED4"/>
    <w:rsid w:val="00327A7F"/>
    <w:rsid w:val="00330FD4"/>
    <w:rsid w:val="00337F63"/>
    <w:rsid w:val="00342E2D"/>
    <w:rsid w:val="0034363D"/>
    <w:rsid w:val="0034498C"/>
    <w:rsid w:val="00347D71"/>
    <w:rsid w:val="00351FCC"/>
    <w:rsid w:val="0035407E"/>
    <w:rsid w:val="003541ED"/>
    <w:rsid w:val="00354672"/>
    <w:rsid w:val="0035484D"/>
    <w:rsid w:val="00360532"/>
    <w:rsid w:val="003621E3"/>
    <w:rsid w:val="00363AD6"/>
    <w:rsid w:val="00363AE9"/>
    <w:rsid w:val="00367D85"/>
    <w:rsid w:val="003715E7"/>
    <w:rsid w:val="00371CCD"/>
    <w:rsid w:val="00372408"/>
    <w:rsid w:val="00372670"/>
    <w:rsid w:val="003741E3"/>
    <w:rsid w:val="003743D7"/>
    <w:rsid w:val="0037508D"/>
    <w:rsid w:val="0037545F"/>
    <w:rsid w:val="00377DD8"/>
    <w:rsid w:val="00380302"/>
    <w:rsid w:val="0038275F"/>
    <w:rsid w:val="00383D95"/>
    <w:rsid w:val="00386E78"/>
    <w:rsid w:val="0039015F"/>
    <w:rsid w:val="00391D27"/>
    <w:rsid w:val="003939BA"/>
    <w:rsid w:val="0039485D"/>
    <w:rsid w:val="003977BB"/>
    <w:rsid w:val="003A2076"/>
    <w:rsid w:val="003A3BA8"/>
    <w:rsid w:val="003A494A"/>
    <w:rsid w:val="003A6E1B"/>
    <w:rsid w:val="003B1333"/>
    <w:rsid w:val="003B1BE6"/>
    <w:rsid w:val="003B4276"/>
    <w:rsid w:val="003B4A54"/>
    <w:rsid w:val="003B4F6D"/>
    <w:rsid w:val="003B5112"/>
    <w:rsid w:val="003B5658"/>
    <w:rsid w:val="003B66CB"/>
    <w:rsid w:val="003C0140"/>
    <w:rsid w:val="003C065B"/>
    <w:rsid w:val="003C0A75"/>
    <w:rsid w:val="003C0D13"/>
    <w:rsid w:val="003C213D"/>
    <w:rsid w:val="003C2F0D"/>
    <w:rsid w:val="003C3140"/>
    <w:rsid w:val="003C35E5"/>
    <w:rsid w:val="003C40B5"/>
    <w:rsid w:val="003C5869"/>
    <w:rsid w:val="003C594A"/>
    <w:rsid w:val="003C6A8F"/>
    <w:rsid w:val="003C7FE4"/>
    <w:rsid w:val="003D2A1C"/>
    <w:rsid w:val="003D2C55"/>
    <w:rsid w:val="003D33CE"/>
    <w:rsid w:val="003D35C9"/>
    <w:rsid w:val="003D3808"/>
    <w:rsid w:val="003D56F4"/>
    <w:rsid w:val="003E0C96"/>
    <w:rsid w:val="003E1647"/>
    <w:rsid w:val="003E4B66"/>
    <w:rsid w:val="003E53F5"/>
    <w:rsid w:val="003E69AF"/>
    <w:rsid w:val="003F02B0"/>
    <w:rsid w:val="003F5DC6"/>
    <w:rsid w:val="003F68EF"/>
    <w:rsid w:val="003F6DFF"/>
    <w:rsid w:val="003F6E97"/>
    <w:rsid w:val="00402321"/>
    <w:rsid w:val="00402A5C"/>
    <w:rsid w:val="00402C61"/>
    <w:rsid w:val="0040356E"/>
    <w:rsid w:val="00405EE2"/>
    <w:rsid w:val="0040781C"/>
    <w:rsid w:val="00407828"/>
    <w:rsid w:val="00410F0B"/>
    <w:rsid w:val="0041134D"/>
    <w:rsid w:val="00412734"/>
    <w:rsid w:val="00415CCE"/>
    <w:rsid w:val="004175E6"/>
    <w:rsid w:val="00421680"/>
    <w:rsid w:val="00422126"/>
    <w:rsid w:val="0042299B"/>
    <w:rsid w:val="004230ED"/>
    <w:rsid w:val="004270AA"/>
    <w:rsid w:val="00427245"/>
    <w:rsid w:val="00427619"/>
    <w:rsid w:val="00427BB5"/>
    <w:rsid w:val="00431D53"/>
    <w:rsid w:val="00432E10"/>
    <w:rsid w:val="00432F45"/>
    <w:rsid w:val="004353B7"/>
    <w:rsid w:val="004359C8"/>
    <w:rsid w:val="00441C18"/>
    <w:rsid w:val="004424CC"/>
    <w:rsid w:val="00444D20"/>
    <w:rsid w:val="00447379"/>
    <w:rsid w:val="0045425A"/>
    <w:rsid w:val="004552E2"/>
    <w:rsid w:val="00456C22"/>
    <w:rsid w:val="00460987"/>
    <w:rsid w:val="00460D48"/>
    <w:rsid w:val="00460FA3"/>
    <w:rsid w:val="00461021"/>
    <w:rsid w:val="00461AB7"/>
    <w:rsid w:val="004626BC"/>
    <w:rsid w:val="00465E54"/>
    <w:rsid w:val="00466D95"/>
    <w:rsid w:val="00467308"/>
    <w:rsid w:val="00470130"/>
    <w:rsid w:val="004718EA"/>
    <w:rsid w:val="004723C3"/>
    <w:rsid w:val="00473C23"/>
    <w:rsid w:val="004743D2"/>
    <w:rsid w:val="004746ED"/>
    <w:rsid w:val="0047543A"/>
    <w:rsid w:val="00476227"/>
    <w:rsid w:val="004802D2"/>
    <w:rsid w:val="004812E0"/>
    <w:rsid w:val="00481F6C"/>
    <w:rsid w:val="00483737"/>
    <w:rsid w:val="00486995"/>
    <w:rsid w:val="0048727E"/>
    <w:rsid w:val="00487765"/>
    <w:rsid w:val="00491AF6"/>
    <w:rsid w:val="00491AFD"/>
    <w:rsid w:val="00491E6D"/>
    <w:rsid w:val="0049226F"/>
    <w:rsid w:val="0049295E"/>
    <w:rsid w:val="00493958"/>
    <w:rsid w:val="004944F3"/>
    <w:rsid w:val="00495985"/>
    <w:rsid w:val="004976CF"/>
    <w:rsid w:val="004976F5"/>
    <w:rsid w:val="004A0650"/>
    <w:rsid w:val="004A0F23"/>
    <w:rsid w:val="004A291D"/>
    <w:rsid w:val="004A3F2F"/>
    <w:rsid w:val="004A58D2"/>
    <w:rsid w:val="004A764F"/>
    <w:rsid w:val="004A7727"/>
    <w:rsid w:val="004A791A"/>
    <w:rsid w:val="004B115E"/>
    <w:rsid w:val="004B1270"/>
    <w:rsid w:val="004B2D69"/>
    <w:rsid w:val="004B3FCD"/>
    <w:rsid w:val="004B4BA0"/>
    <w:rsid w:val="004B66E5"/>
    <w:rsid w:val="004C299A"/>
    <w:rsid w:val="004C731A"/>
    <w:rsid w:val="004C7455"/>
    <w:rsid w:val="004D031F"/>
    <w:rsid w:val="004D1AA1"/>
    <w:rsid w:val="004D4F5B"/>
    <w:rsid w:val="004D6221"/>
    <w:rsid w:val="004D62E8"/>
    <w:rsid w:val="004D690D"/>
    <w:rsid w:val="004D6B36"/>
    <w:rsid w:val="004D7ED3"/>
    <w:rsid w:val="004E1270"/>
    <w:rsid w:val="004E605B"/>
    <w:rsid w:val="004F0E1C"/>
    <w:rsid w:val="004F39FF"/>
    <w:rsid w:val="004F41B3"/>
    <w:rsid w:val="004F423F"/>
    <w:rsid w:val="004F536E"/>
    <w:rsid w:val="004F57BF"/>
    <w:rsid w:val="004F7D06"/>
    <w:rsid w:val="004F7DE5"/>
    <w:rsid w:val="005000E6"/>
    <w:rsid w:val="00501741"/>
    <w:rsid w:val="00503BBB"/>
    <w:rsid w:val="00504683"/>
    <w:rsid w:val="00507593"/>
    <w:rsid w:val="0051048D"/>
    <w:rsid w:val="00511222"/>
    <w:rsid w:val="005126A7"/>
    <w:rsid w:val="00513682"/>
    <w:rsid w:val="005141A0"/>
    <w:rsid w:val="00514AB4"/>
    <w:rsid w:val="00515697"/>
    <w:rsid w:val="00516C89"/>
    <w:rsid w:val="00517122"/>
    <w:rsid w:val="00517430"/>
    <w:rsid w:val="005175CB"/>
    <w:rsid w:val="00523687"/>
    <w:rsid w:val="00523D74"/>
    <w:rsid w:val="00523F51"/>
    <w:rsid w:val="005244E2"/>
    <w:rsid w:val="00524FC3"/>
    <w:rsid w:val="0052534F"/>
    <w:rsid w:val="005265E4"/>
    <w:rsid w:val="00527401"/>
    <w:rsid w:val="00527ED5"/>
    <w:rsid w:val="00531217"/>
    <w:rsid w:val="00533F9B"/>
    <w:rsid w:val="005367C3"/>
    <w:rsid w:val="00540816"/>
    <w:rsid w:val="00542304"/>
    <w:rsid w:val="00543FEF"/>
    <w:rsid w:val="00544521"/>
    <w:rsid w:val="00546118"/>
    <w:rsid w:val="00547E6C"/>
    <w:rsid w:val="005501A7"/>
    <w:rsid w:val="0055090A"/>
    <w:rsid w:val="00551232"/>
    <w:rsid w:val="00551C7B"/>
    <w:rsid w:val="00552063"/>
    <w:rsid w:val="0055347F"/>
    <w:rsid w:val="00553483"/>
    <w:rsid w:val="005537B5"/>
    <w:rsid w:val="00555260"/>
    <w:rsid w:val="005628B9"/>
    <w:rsid w:val="00562AAF"/>
    <w:rsid w:val="00564935"/>
    <w:rsid w:val="00564C2C"/>
    <w:rsid w:val="0056505B"/>
    <w:rsid w:val="00566038"/>
    <w:rsid w:val="005662C1"/>
    <w:rsid w:val="005702BC"/>
    <w:rsid w:val="005725D0"/>
    <w:rsid w:val="005725F8"/>
    <w:rsid w:val="00576225"/>
    <w:rsid w:val="0057713D"/>
    <w:rsid w:val="005801B2"/>
    <w:rsid w:val="00580281"/>
    <w:rsid w:val="005809CB"/>
    <w:rsid w:val="00580EA5"/>
    <w:rsid w:val="00581228"/>
    <w:rsid w:val="00582734"/>
    <w:rsid w:val="00583584"/>
    <w:rsid w:val="005839DE"/>
    <w:rsid w:val="00584D72"/>
    <w:rsid w:val="00587B57"/>
    <w:rsid w:val="005901DA"/>
    <w:rsid w:val="00592098"/>
    <w:rsid w:val="0059748D"/>
    <w:rsid w:val="005976C7"/>
    <w:rsid w:val="005A270F"/>
    <w:rsid w:val="005A46C2"/>
    <w:rsid w:val="005A5F17"/>
    <w:rsid w:val="005A5FAE"/>
    <w:rsid w:val="005A7408"/>
    <w:rsid w:val="005B0EC9"/>
    <w:rsid w:val="005B1D9E"/>
    <w:rsid w:val="005B2BF0"/>
    <w:rsid w:val="005B43F1"/>
    <w:rsid w:val="005B52AF"/>
    <w:rsid w:val="005B7BDD"/>
    <w:rsid w:val="005B7C8F"/>
    <w:rsid w:val="005C2574"/>
    <w:rsid w:val="005C28EF"/>
    <w:rsid w:val="005C7A14"/>
    <w:rsid w:val="005D01FE"/>
    <w:rsid w:val="005D05A5"/>
    <w:rsid w:val="005D1AE6"/>
    <w:rsid w:val="005D3452"/>
    <w:rsid w:val="005D527A"/>
    <w:rsid w:val="005D55A5"/>
    <w:rsid w:val="005D657A"/>
    <w:rsid w:val="005D7E2B"/>
    <w:rsid w:val="005E119E"/>
    <w:rsid w:val="005E26FD"/>
    <w:rsid w:val="005E4CE3"/>
    <w:rsid w:val="005E6349"/>
    <w:rsid w:val="005E7BAB"/>
    <w:rsid w:val="005F01EF"/>
    <w:rsid w:val="005F0A20"/>
    <w:rsid w:val="005F1928"/>
    <w:rsid w:val="005F3D9C"/>
    <w:rsid w:val="005F530F"/>
    <w:rsid w:val="005F7C03"/>
    <w:rsid w:val="00600721"/>
    <w:rsid w:val="00600E33"/>
    <w:rsid w:val="0060208A"/>
    <w:rsid w:val="0060334F"/>
    <w:rsid w:val="00603BBF"/>
    <w:rsid w:val="00606351"/>
    <w:rsid w:val="00606AFB"/>
    <w:rsid w:val="00606E10"/>
    <w:rsid w:val="0061093C"/>
    <w:rsid w:val="0061382C"/>
    <w:rsid w:val="00616BE5"/>
    <w:rsid w:val="00617913"/>
    <w:rsid w:val="0061799F"/>
    <w:rsid w:val="006223CE"/>
    <w:rsid w:val="006224AE"/>
    <w:rsid w:val="00623CA0"/>
    <w:rsid w:val="0062445A"/>
    <w:rsid w:val="00624D5C"/>
    <w:rsid w:val="00624D69"/>
    <w:rsid w:val="00626935"/>
    <w:rsid w:val="006306C1"/>
    <w:rsid w:val="006306CA"/>
    <w:rsid w:val="00631584"/>
    <w:rsid w:val="00632D04"/>
    <w:rsid w:val="00640353"/>
    <w:rsid w:val="006431D4"/>
    <w:rsid w:val="0064419F"/>
    <w:rsid w:val="006443DD"/>
    <w:rsid w:val="006447BB"/>
    <w:rsid w:val="00644822"/>
    <w:rsid w:val="00644E6A"/>
    <w:rsid w:val="00645812"/>
    <w:rsid w:val="00650AC9"/>
    <w:rsid w:val="00650D53"/>
    <w:rsid w:val="00651CAF"/>
    <w:rsid w:val="006549DC"/>
    <w:rsid w:val="00655D39"/>
    <w:rsid w:val="00655E34"/>
    <w:rsid w:val="00664E3D"/>
    <w:rsid w:val="00665AE9"/>
    <w:rsid w:val="0066660F"/>
    <w:rsid w:val="00666D24"/>
    <w:rsid w:val="00667782"/>
    <w:rsid w:val="006719FD"/>
    <w:rsid w:val="00671A88"/>
    <w:rsid w:val="00672087"/>
    <w:rsid w:val="006723D7"/>
    <w:rsid w:val="00672768"/>
    <w:rsid w:val="006740A4"/>
    <w:rsid w:val="0067428A"/>
    <w:rsid w:val="00676222"/>
    <w:rsid w:val="00677643"/>
    <w:rsid w:val="00680ECA"/>
    <w:rsid w:val="00681E72"/>
    <w:rsid w:val="00682C02"/>
    <w:rsid w:val="00683D42"/>
    <w:rsid w:val="00685A19"/>
    <w:rsid w:val="00686510"/>
    <w:rsid w:val="00686729"/>
    <w:rsid w:val="00687F94"/>
    <w:rsid w:val="00693CBC"/>
    <w:rsid w:val="00694E26"/>
    <w:rsid w:val="00695510"/>
    <w:rsid w:val="00695CC2"/>
    <w:rsid w:val="006A2753"/>
    <w:rsid w:val="006A518F"/>
    <w:rsid w:val="006B1316"/>
    <w:rsid w:val="006B202E"/>
    <w:rsid w:val="006B3280"/>
    <w:rsid w:val="006B4E33"/>
    <w:rsid w:val="006B7B15"/>
    <w:rsid w:val="006C1C15"/>
    <w:rsid w:val="006C2258"/>
    <w:rsid w:val="006C2FA4"/>
    <w:rsid w:val="006C63FD"/>
    <w:rsid w:val="006D101C"/>
    <w:rsid w:val="006D24B8"/>
    <w:rsid w:val="006D2CEC"/>
    <w:rsid w:val="006D3566"/>
    <w:rsid w:val="006D425F"/>
    <w:rsid w:val="006D54B4"/>
    <w:rsid w:val="006D5E23"/>
    <w:rsid w:val="006D71C4"/>
    <w:rsid w:val="006E5BFC"/>
    <w:rsid w:val="006E75F9"/>
    <w:rsid w:val="006F4B3D"/>
    <w:rsid w:val="006F5500"/>
    <w:rsid w:val="006F5F11"/>
    <w:rsid w:val="0070326E"/>
    <w:rsid w:val="00703DB9"/>
    <w:rsid w:val="00705C49"/>
    <w:rsid w:val="00705CF0"/>
    <w:rsid w:val="0071009C"/>
    <w:rsid w:val="0071390E"/>
    <w:rsid w:val="00716162"/>
    <w:rsid w:val="0071774B"/>
    <w:rsid w:val="00717A50"/>
    <w:rsid w:val="007209DE"/>
    <w:rsid w:val="00720A4F"/>
    <w:rsid w:val="007235C2"/>
    <w:rsid w:val="00726A2F"/>
    <w:rsid w:val="00731B84"/>
    <w:rsid w:val="007325A5"/>
    <w:rsid w:val="00734771"/>
    <w:rsid w:val="00737D44"/>
    <w:rsid w:val="007418E6"/>
    <w:rsid w:val="007434B2"/>
    <w:rsid w:val="007453A6"/>
    <w:rsid w:val="007465FB"/>
    <w:rsid w:val="0074794E"/>
    <w:rsid w:val="00752699"/>
    <w:rsid w:val="00753074"/>
    <w:rsid w:val="007541E2"/>
    <w:rsid w:val="00755163"/>
    <w:rsid w:val="0075777B"/>
    <w:rsid w:val="00763A57"/>
    <w:rsid w:val="00763AAE"/>
    <w:rsid w:val="00764B5F"/>
    <w:rsid w:val="00764C80"/>
    <w:rsid w:val="00766637"/>
    <w:rsid w:val="007707BC"/>
    <w:rsid w:val="00771FDB"/>
    <w:rsid w:val="00775910"/>
    <w:rsid w:val="007761FC"/>
    <w:rsid w:val="0077648D"/>
    <w:rsid w:val="00776D66"/>
    <w:rsid w:val="007773AB"/>
    <w:rsid w:val="007802E7"/>
    <w:rsid w:val="00780937"/>
    <w:rsid w:val="00780970"/>
    <w:rsid w:val="007811DD"/>
    <w:rsid w:val="007822AE"/>
    <w:rsid w:val="00783E20"/>
    <w:rsid w:val="0078433C"/>
    <w:rsid w:val="007844C5"/>
    <w:rsid w:val="00785A5E"/>
    <w:rsid w:val="00785D47"/>
    <w:rsid w:val="00786375"/>
    <w:rsid w:val="007952B3"/>
    <w:rsid w:val="00796230"/>
    <w:rsid w:val="007962D9"/>
    <w:rsid w:val="00796F21"/>
    <w:rsid w:val="007977DB"/>
    <w:rsid w:val="00797BF4"/>
    <w:rsid w:val="007A04DE"/>
    <w:rsid w:val="007A1E60"/>
    <w:rsid w:val="007A4431"/>
    <w:rsid w:val="007A4ED3"/>
    <w:rsid w:val="007B054E"/>
    <w:rsid w:val="007B0E59"/>
    <w:rsid w:val="007B2BCF"/>
    <w:rsid w:val="007B4731"/>
    <w:rsid w:val="007B4D6B"/>
    <w:rsid w:val="007B701D"/>
    <w:rsid w:val="007B7941"/>
    <w:rsid w:val="007C077F"/>
    <w:rsid w:val="007C0DA8"/>
    <w:rsid w:val="007C149A"/>
    <w:rsid w:val="007C257E"/>
    <w:rsid w:val="007C280F"/>
    <w:rsid w:val="007C772F"/>
    <w:rsid w:val="007D0A8C"/>
    <w:rsid w:val="007D139C"/>
    <w:rsid w:val="007D1DF8"/>
    <w:rsid w:val="007D2C4B"/>
    <w:rsid w:val="007D5672"/>
    <w:rsid w:val="007D5868"/>
    <w:rsid w:val="007D66E5"/>
    <w:rsid w:val="007D66FC"/>
    <w:rsid w:val="007E152A"/>
    <w:rsid w:val="007E362A"/>
    <w:rsid w:val="007E43F9"/>
    <w:rsid w:val="007E4C94"/>
    <w:rsid w:val="007F2907"/>
    <w:rsid w:val="007F517E"/>
    <w:rsid w:val="007F6D32"/>
    <w:rsid w:val="007F7E0D"/>
    <w:rsid w:val="008008DB"/>
    <w:rsid w:val="008009D6"/>
    <w:rsid w:val="0080281B"/>
    <w:rsid w:val="00802DB4"/>
    <w:rsid w:val="00803588"/>
    <w:rsid w:val="00803764"/>
    <w:rsid w:val="00812119"/>
    <w:rsid w:val="00813A95"/>
    <w:rsid w:val="00815EAF"/>
    <w:rsid w:val="008176E9"/>
    <w:rsid w:val="00820058"/>
    <w:rsid w:val="00820204"/>
    <w:rsid w:val="00821B5F"/>
    <w:rsid w:val="008223F8"/>
    <w:rsid w:val="008234AF"/>
    <w:rsid w:val="008239F6"/>
    <w:rsid w:val="0082564B"/>
    <w:rsid w:val="00827728"/>
    <w:rsid w:val="00831582"/>
    <w:rsid w:val="00832485"/>
    <w:rsid w:val="0083249C"/>
    <w:rsid w:val="00833659"/>
    <w:rsid w:val="008337E7"/>
    <w:rsid w:val="008357EA"/>
    <w:rsid w:val="008358E1"/>
    <w:rsid w:val="00835D87"/>
    <w:rsid w:val="00835FAF"/>
    <w:rsid w:val="00836D9D"/>
    <w:rsid w:val="00844D68"/>
    <w:rsid w:val="008458AC"/>
    <w:rsid w:val="00845912"/>
    <w:rsid w:val="0085089F"/>
    <w:rsid w:val="008516D4"/>
    <w:rsid w:val="0085200C"/>
    <w:rsid w:val="00852F7D"/>
    <w:rsid w:val="00855390"/>
    <w:rsid w:val="0085662F"/>
    <w:rsid w:val="00856707"/>
    <w:rsid w:val="00860002"/>
    <w:rsid w:val="00860D9E"/>
    <w:rsid w:val="00861778"/>
    <w:rsid w:val="00861CDC"/>
    <w:rsid w:val="00862CB6"/>
    <w:rsid w:val="0086363E"/>
    <w:rsid w:val="00866DFA"/>
    <w:rsid w:val="00867D8F"/>
    <w:rsid w:val="00870927"/>
    <w:rsid w:val="00871F34"/>
    <w:rsid w:val="00872841"/>
    <w:rsid w:val="00873B03"/>
    <w:rsid w:val="00876BC6"/>
    <w:rsid w:val="00877042"/>
    <w:rsid w:val="00881273"/>
    <w:rsid w:val="008819C0"/>
    <w:rsid w:val="00881CAB"/>
    <w:rsid w:val="00882D46"/>
    <w:rsid w:val="00886184"/>
    <w:rsid w:val="00891F4D"/>
    <w:rsid w:val="008968B0"/>
    <w:rsid w:val="00897CCE"/>
    <w:rsid w:val="008A13BF"/>
    <w:rsid w:val="008A1663"/>
    <w:rsid w:val="008A41F0"/>
    <w:rsid w:val="008A4E24"/>
    <w:rsid w:val="008A5DD8"/>
    <w:rsid w:val="008B0BD1"/>
    <w:rsid w:val="008B1651"/>
    <w:rsid w:val="008B3759"/>
    <w:rsid w:val="008B57A9"/>
    <w:rsid w:val="008C0700"/>
    <w:rsid w:val="008C21A4"/>
    <w:rsid w:val="008C26FF"/>
    <w:rsid w:val="008C2FF3"/>
    <w:rsid w:val="008C3BDC"/>
    <w:rsid w:val="008C6E32"/>
    <w:rsid w:val="008C7C39"/>
    <w:rsid w:val="008D1C84"/>
    <w:rsid w:val="008D3A81"/>
    <w:rsid w:val="008D63CA"/>
    <w:rsid w:val="008D6E92"/>
    <w:rsid w:val="008D7068"/>
    <w:rsid w:val="008D7488"/>
    <w:rsid w:val="008D75F7"/>
    <w:rsid w:val="008D782A"/>
    <w:rsid w:val="008E03B9"/>
    <w:rsid w:val="008E03F2"/>
    <w:rsid w:val="008E1565"/>
    <w:rsid w:val="008E2DC2"/>
    <w:rsid w:val="008E4AB0"/>
    <w:rsid w:val="008E5342"/>
    <w:rsid w:val="008E5D8F"/>
    <w:rsid w:val="008E6479"/>
    <w:rsid w:val="008F03BA"/>
    <w:rsid w:val="008F400C"/>
    <w:rsid w:val="008F60B9"/>
    <w:rsid w:val="008F685B"/>
    <w:rsid w:val="008F6914"/>
    <w:rsid w:val="009007EC"/>
    <w:rsid w:val="00902195"/>
    <w:rsid w:val="0090572F"/>
    <w:rsid w:val="00910269"/>
    <w:rsid w:val="009111A1"/>
    <w:rsid w:val="009123DA"/>
    <w:rsid w:val="00913CDF"/>
    <w:rsid w:val="00920831"/>
    <w:rsid w:val="0092089F"/>
    <w:rsid w:val="0092348F"/>
    <w:rsid w:val="00923EB1"/>
    <w:rsid w:val="00924573"/>
    <w:rsid w:val="00924A64"/>
    <w:rsid w:val="0093003B"/>
    <w:rsid w:val="00930C1B"/>
    <w:rsid w:val="0093494E"/>
    <w:rsid w:val="00936053"/>
    <w:rsid w:val="0094093F"/>
    <w:rsid w:val="00941455"/>
    <w:rsid w:val="00941B8B"/>
    <w:rsid w:val="00942E13"/>
    <w:rsid w:val="00947F1D"/>
    <w:rsid w:val="00951EF5"/>
    <w:rsid w:val="00954D7F"/>
    <w:rsid w:val="00954F3D"/>
    <w:rsid w:val="0095680B"/>
    <w:rsid w:val="0095733D"/>
    <w:rsid w:val="00960A4D"/>
    <w:rsid w:val="009612AD"/>
    <w:rsid w:val="00961ED8"/>
    <w:rsid w:val="0096215A"/>
    <w:rsid w:val="00970191"/>
    <w:rsid w:val="009718E1"/>
    <w:rsid w:val="00974AB7"/>
    <w:rsid w:val="009762D2"/>
    <w:rsid w:val="00976FB0"/>
    <w:rsid w:val="00980CFE"/>
    <w:rsid w:val="00981134"/>
    <w:rsid w:val="00981C59"/>
    <w:rsid w:val="00983052"/>
    <w:rsid w:val="00986838"/>
    <w:rsid w:val="00986C1B"/>
    <w:rsid w:val="009870A7"/>
    <w:rsid w:val="009906CF"/>
    <w:rsid w:val="0099094B"/>
    <w:rsid w:val="00990B50"/>
    <w:rsid w:val="00992967"/>
    <w:rsid w:val="00993E29"/>
    <w:rsid w:val="009950DF"/>
    <w:rsid w:val="0099621A"/>
    <w:rsid w:val="009973B4"/>
    <w:rsid w:val="009A3215"/>
    <w:rsid w:val="009A6698"/>
    <w:rsid w:val="009A6BC8"/>
    <w:rsid w:val="009B1F2C"/>
    <w:rsid w:val="009B2A1A"/>
    <w:rsid w:val="009B2FF1"/>
    <w:rsid w:val="009B5037"/>
    <w:rsid w:val="009B5157"/>
    <w:rsid w:val="009B5649"/>
    <w:rsid w:val="009C069F"/>
    <w:rsid w:val="009C18F3"/>
    <w:rsid w:val="009C1C3D"/>
    <w:rsid w:val="009C2573"/>
    <w:rsid w:val="009C37C2"/>
    <w:rsid w:val="009C5185"/>
    <w:rsid w:val="009D060F"/>
    <w:rsid w:val="009D0C34"/>
    <w:rsid w:val="009D54BB"/>
    <w:rsid w:val="009D5511"/>
    <w:rsid w:val="009D5E4F"/>
    <w:rsid w:val="009D6C43"/>
    <w:rsid w:val="009E2B39"/>
    <w:rsid w:val="009E3454"/>
    <w:rsid w:val="009E6E41"/>
    <w:rsid w:val="009E78C1"/>
    <w:rsid w:val="009E7BAC"/>
    <w:rsid w:val="009F0B03"/>
    <w:rsid w:val="009F2248"/>
    <w:rsid w:val="009F703C"/>
    <w:rsid w:val="009F70F6"/>
    <w:rsid w:val="00A00B68"/>
    <w:rsid w:val="00A02C28"/>
    <w:rsid w:val="00A0343F"/>
    <w:rsid w:val="00A039BB"/>
    <w:rsid w:val="00A06C88"/>
    <w:rsid w:val="00A073CA"/>
    <w:rsid w:val="00A2139E"/>
    <w:rsid w:val="00A234C2"/>
    <w:rsid w:val="00A24282"/>
    <w:rsid w:val="00A258D2"/>
    <w:rsid w:val="00A25A53"/>
    <w:rsid w:val="00A26E88"/>
    <w:rsid w:val="00A3341B"/>
    <w:rsid w:val="00A336C3"/>
    <w:rsid w:val="00A41909"/>
    <w:rsid w:val="00A41AE9"/>
    <w:rsid w:val="00A438DD"/>
    <w:rsid w:val="00A44E42"/>
    <w:rsid w:val="00A45AEE"/>
    <w:rsid w:val="00A50087"/>
    <w:rsid w:val="00A5214F"/>
    <w:rsid w:val="00A53A29"/>
    <w:rsid w:val="00A55550"/>
    <w:rsid w:val="00A55DD1"/>
    <w:rsid w:val="00A56528"/>
    <w:rsid w:val="00A600CB"/>
    <w:rsid w:val="00A619E9"/>
    <w:rsid w:val="00A62887"/>
    <w:rsid w:val="00A64F99"/>
    <w:rsid w:val="00A67A19"/>
    <w:rsid w:val="00A70097"/>
    <w:rsid w:val="00A745B2"/>
    <w:rsid w:val="00A74A81"/>
    <w:rsid w:val="00A76AAB"/>
    <w:rsid w:val="00A76F34"/>
    <w:rsid w:val="00A802FE"/>
    <w:rsid w:val="00A82AC1"/>
    <w:rsid w:val="00A8385C"/>
    <w:rsid w:val="00A840C0"/>
    <w:rsid w:val="00A87405"/>
    <w:rsid w:val="00A90D40"/>
    <w:rsid w:val="00A91ECB"/>
    <w:rsid w:val="00A921A6"/>
    <w:rsid w:val="00A926FA"/>
    <w:rsid w:val="00A92DEA"/>
    <w:rsid w:val="00A953A9"/>
    <w:rsid w:val="00A96C4D"/>
    <w:rsid w:val="00A978A0"/>
    <w:rsid w:val="00AA1D67"/>
    <w:rsid w:val="00AA2497"/>
    <w:rsid w:val="00AA2B4B"/>
    <w:rsid w:val="00AA2C88"/>
    <w:rsid w:val="00AA5C14"/>
    <w:rsid w:val="00AA6BD7"/>
    <w:rsid w:val="00AB0235"/>
    <w:rsid w:val="00AB0C3B"/>
    <w:rsid w:val="00AB1A86"/>
    <w:rsid w:val="00AB2446"/>
    <w:rsid w:val="00AB5084"/>
    <w:rsid w:val="00AB7A16"/>
    <w:rsid w:val="00AC1EF9"/>
    <w:rsid w:val="00AC1FC0"/>
    <w:rsid w:val="00AC28AA"/>
    <w:rsid w:val="00AC366D"/>
    <w:rsid w:val="00AC3ED9"/>
    <w:rsid w:val="00AC59D5"/>
    <w:rsid w:val="00AC5B35"/>
    <w:rsid w:val="00AC71E7"/>
    <w:rsid w:val="00AD1650"/>
    <w:rsid w:val="00AE26BA"/>
    <w:rsid w:val="00AE3383"/>
    <w:rsid w:val="00AE5760"/>
    <w:rsid w:val="00AE791F"/>
    <w:rsid w:val="00AE7A67"/>
    <w:rsid w:val="00AF0316"/>
    <w:rsid w:val="00AF240E"/>
    <w:rsid w:val="00AF290E"/>
    <w:rsid w:val="00AF4DFE"/>
    <w:rsid w:val="00AF64E5"/>
    <w:rsid w:val="00AF6F9E"/>
    <w:rsid w:val="00AF7B5C"/>
    <w:rsid w:val="00B00298"/>
    <w:rsid w:val="00B0130B"/>
    <w:rsid w:val="00B017DF"/>
    <w:rsid w:val="00B02FC5"/>
    <w:rsid w:val="00B04D03"/>
    <w:rsid w:val="00B05979"/>
    <w:rsid w:val="00B0680E"/>
    <w:rsid w:val="00B10409"/>
    <w:rsid w:val="00B13254"/>
    <w:rsid w:val="00B1384B"/>
    <w:rsid w:val="00B13B74"/>
    <w:rsid w:val="00B15A0E"/>
    <w:rsid w:val="00B176D7"/>
    <w:rsid w:val="00B17B4B"/>
    <w:rsid w:val="00B17D73"/>
    <w:rsid w:val="00B208A5"/>
    <w:rsid w:val="00B20A2C"/>
    <w:rsid w:val="00B21B35"/>
    <w:rsid w:val="00B23F70"/>
    <w:rsid w:val="00B24FFF"/>
    <w:rsid w:val="00B273E5"/>
    <w:rsid w:val="00B3161B"/>
    <w:rsid w:val="00B3302A"/>
    <w:rsid w:val="00B33FE5"/>
    <w:rsid w:val="00B3458B"/>
    <w:rsid w:val="00B345FD"/>
    <w:rsid w:val="00B352DD"/>
    <w:rsid w:val="00B35AB9"/>
    <w:rsid w:val="00B36740"/>
    <w:rsid w:val="00B36BE0"/>
    <w:rsid w:val="00B37BC0"/>
    <w:rsid w:val="00B41E27"/>
    <w:rsid w:val="00B43A50"/>
    <w:rsid w:val="00B44108"/>
    <w:rsid w:val="00B45592"/>
    <w:rsid w:val="00B4740C"/>
    <w:rsid w:val="00B5061B"/>
    <w:rsid w:val="00B50B87"/>
    <w:rsid w:val="00B54F76"/>
    <w:rsid w:val="00B553C7"/>
    <w:rsid w:val="00B56CB3"/>
    <w:rsid w:val="00B57500"/>
    <w:rsid w:val="00B601AE"/>
    <w:rsid w:val="00B63185"/>
    <w:rsid w:val="00B64980"/>
    <w:rsid w:val="00B70B5B"/>
    <w:rsid w:val="00B72449"/>
    <w:rsid w:val="00B74515"/>
    <w:rsid w:val="00B76570"/>
    <w:rsid w:val="00B774E9"/>
    <w:rsid w:val="00B80099"/>
    <w:rsid w:val="00B8017D"/>
    <w:rsid w:val="00B85445"/>
    <w:rsid w:val="00B861D5"/>
    <w:rsid w:val="00B861E7"/>
    <w:rsid w:val="00B90C95"/>
    <w:rsid w:val="00B922DC"/>
    <w:rsid w:val="00B94A11"/>
    <w:rsid w:val="00B94EF1"/>
    <w:rsid w:val="00B95F0B"/>
    <w:rsid w:val="00B97668"/>
    <w:rsid w:val="00BA4B3A"/>
    <w:rsid w:val="00BB6760"/>
    <w:rsid w:val="00BC01C3"/>
    <w:rsid w:val="00BC0FBC"/>
    <w:rsid w:val="00BC131B"/>
    <w:rsid w:val="00BC2A0A"/>
    <w:rsid w:val="00BC5F7E"/>
    <w:rsid w:val="00BD0050"/>
    <w:rsid w:val="00BD0B2E"/>
    <w:rsid w:val="00BD2659"/>
    <w:rsid w:val="00BD4805"/>
    <w:rsid w:val="00BD5DA8"/>
    <w:rsid w:val="00BE0927"/>
    <w:rsid w:val="00BE181D"/>
    <w:rsid w:val="00BE375E"/>
    <w:rsid w:val="00BE45FA"/>
    <w:rsid w:val="00BE639B"/>
    <w:rsid w:val="00BE7BEA"/>
    <w:rsid w:val="00BF0570"/>
    <w:rsid w:val="00BF1BB9"/>
    <w:rsid w:val="00BF2E15"/>
    <w:rsid w:val="00BF31C1"/>
    <w:rsid w:val="00BF3863"/>
    <w:rsid w:val="00BF5ABB"/>
    <w:rsid w:val="00BF7041"/>
    <w:rsid w:val="00BF73F2"/>
    <w:rsid w:val="00BF7DFE"/>
    <w:rsid w:val="00BF7E93"/>
    <w:rsid w:val="00C00B85"/>
    <w:rsid w:val="00C07648"/>
    <w:rsid w:val="00C103F9"/>
    <w:rsid w:val="00C13868"/>
    <w:rsid w:val="00C16227"/>
    <w:rsid w:val="00C20104"/>
    <w:rsid w:val="00C211BB"/>
    <w:rsid w:val="00C2151C"/>
    <w:rsid w:val="00C21B7E"/>
    <w:rsid w:val="00C21FEF"/>
    <w:rsid w:val="00C2222D"/>
    <w:rsid w:val="00C24139"/>
    <w:rsid w:val="00C265B9"/>
    <w:rsid w:val="00C278B6"/>
    <w:rsid w:val="00C27F1B"/>
    <w:rsid w:val="00C3189B"/>
    <w:rsid w:val="00C32E6C"/>
    <w:rsid w:val="00C37440"/>
    <w:rsid w:val="00C40064"/>
    <w:rsid w:val="00C4062C"/>
    <w:rsid w:val="00C42A24"/>
    <w:rsid w:val="00C43885"/>
    <w:rsid w:val="00C46E46"/>
    <w:rsid w:val="00C47341"/>
    <w:rsid w:val="00C5091F"/>
    <w:rsid w:val="00C518D2"/>
    <w:rsid w:val="00C51EF5"/>
    <w:rsid w:val="00C52FBD"/>
    <w:rsid w:val="00C53588"/>
    <w:rsid w:val="00C5704F"/>
    <w:rsid w:val="00C63A8A"/>
    <w:rsid w:val="00C77473"/>
    <w:rsid w:val="00C77ED4"/>
    <w:rsid w:val="00C81F76"/>
    <w:rsid w:val="00C820CF"/>
    <w:rsid w:val="00C82A62"/>
    <w:rsid w:val="00C82C0B"/>
    <w:rsid w:val="00C82D2B"/>
    <w:rsid w:val="00C8579E"/>
    <w:rsid w:val="00C85F22"/>
    <w:rsid w:val="00C863D6"/>
    <w:rsid w:val="00C90711"/>
    <w:rsid w:val="00C92394"/>
    <w:rsid w:val="00C95046"/>
    <w:rsid w:val="00CA248D"/>
    <w:rsid w:val="00CA2839"/>
    <w:rsid w:val="00CA3E04"/>
    <w:rsid w:val="00CA475B"/>
    <w:rsid w:val="00CA5E32"/>
    <w:rsid w:val="00CA680B"/>
    <w:rsid w:val="00CA75FB"/>
    <w:rsid w:val="00CA7A2B"/>
    <w:rsid w:val="00CB005B"/>
    <w:rsid w:val="00CB5EBC"/>
    <w:rsid w:val="00CC113B"/>
    <w:rsid w:val="00CC22FB"/>
    <w:rsid w:val="00CC30EC"/>
    <w:rsid w:val="00CC481E"/>
    <w:rsid w:val="00CD09DA"/>
    <w:rsid w:val="00CD110A"/>
    <w:rsid w:val="00CE0BCB"/>
    <w:rsid w:val="00CE2DE4"/>
    <w:rsid w:val="00CE6476"/>
    <w:rsid w:val="00CE7565"/>
    <w:rsid w:val="00CF1E48"/>
    <w:rsid w:val="00CF38DC"/>
    <w:rsid w:val="00CF6EBF"/>
    <w:rsid w:val="00CF7CD7"/>
    <w:rsid w:val="00D0020F"/>
    <w:rsid w:val="00D0116C"/>
    <w:rsid w:val="00D0257E"/>
    <w:rsid w:val="00D035A8"/>
    <w:rsid w:val="00D037A9"/>
    <w:rsid w:val="00D069DA"/>
    <w:rsid w:val="00D06C03"/>
    <w:rsid w:val="00D0749C"/>
    <w:rsid w:val="00D10CE5"/>
    <w:rsid w:val="00D115E6"/>
    <w:rsid w:val="00D14A8F"/>
    <w:rsid w:val="00D15D20"/>
    <w:rsid w:val="00D16CE1"/>
    <w:rsid w:val="00D173EE"/>
    <w:rsid w:val="00D2004D"/>
    <w:rsid w:val="00D21A4B"/>
    <w:rsid w:val="00D24EBA"/>
    <w:rsid w:val="00D2681F"/>
    <w:rsid w:val="00D26BF9"/>
    <w:rsid w:val="00D2749A"/>
    <w:rsid w:val="00D31A8D"/>
    <w:rsid w:val="00D325F0"/>
    <w:rsid w:val="00D32687"/>
    <w:rsid w:val="00D32B4D"/>
    <w:rsid w:val="00D34434"/>
    <w:rsid w:val="00D34F79"/>
    <w:rsid w:val="00D3541C"/>
    <w:rsid w:val="00D35CA0"/>
    <w:rsid w:val="00D360C0"/>
    <w:rsid w:val="00D367A0"/>
    <w:rsid w:val="00D37B98"/>
    <w:rsid w:val="00D37E9A"/>
    <w:rsid w:val="00D40ED9"/>
    <w:rsid w:val="00D5016F"/>
    <w:rsid w:val="00D5078F"/>
    <w:rsid w:val="00D533B0"/>
    <w:rsid w:val="00D6229F"/>
    <w:rsid w:val="00D62B63"/>
    <w:rsid w:val="00D62EDF"/>
    <w:rsid w:val="00D63072"/>
    <w:rsid w:val="00D63433"/>
    <w:rsid w:val="00D65A9C"/>
    <w:rsid w:val="00D65BC5"/>
    <w:rsid w:val="00D65C97"/>
    <w:rsid w:val="00D65ED2"/>
    <w:rsid w:val="00D67ED8"/>
    <w:rsid w:val="00D7002C"/>
    <w:rsid w:val="00D71CD7"/>
    <w:rsid w:val="00D75386"/>
    <w:rsid w:val="00D758DE"/>
    <w:rsid w:val="00D77CB4"/>
    <w:rsid w:val="00D804A3"/>
    <w:rsid w:val="00D80841"/>
    <w:rsid w:val="00D808CE"/>
    <w:rsid w:val="00D81D8F"/>
    <w:rsid w:val="00D85928"/>
    <w:rsid w:val="00D86AA3"/>
    <w:rsid w:val="00D872AE"/>
    <w:rsid w:val="00D8767B"/>
    <w:rsid w:val="00D87B7B"/>
    <w:rsid w:val="00D90214"/>
    <w:rsid w:val="00D90D16"/>
    <w:rsid w:val="00D91A0B"/>
    <w:rsid w:val="00D93450"/>
    <w:rsid w:val="00D96958"/>
    <w:rsid w:val="00D96BBE"/>
    <w:rsid w:val="00DA02BA"/>
    <w:rsid w:val="00DA3898"/>
    <w:rsid w:val="00DA3996"/>
    <w:rsid w:val="00DA3BDF"/>
    <w:rsid w:val="00DA76FF"/>
    <w:rsid w:val="00DA79FF"/>
    <w:rsid w:val="00DB081B"/>
    <w:rsid w:val="00DB1D4A"/>
    <w:rsid w:val="00DB4B88"/>
    <w:rsid w:val="00DB58C0"/>
    <w:rsid w:val="00DB6295"/>
    <w:rsid w:val="00DB69F8"/>
    <w:rsid w:val="00DB6D2B"/>
    <w:rsid w:val="00DC0A50"/>
    <w:rsid w:val="00DC1DCF"/>
    <w:rsid w:val="00DC5F29"/>
    <w:rsid w:val="00DC6470"/>
    <w:rsid w:val="00DC6798"/>
    <w:rsid w:val="00DC6D53"/>
    <w:rsid w:val="00DC7851"/>
    <w:rsid w:val="00DD090F"/>
    <w:rsid w:val="00DD2B71"/>
    <w:rsid w:val="00DD4508"/>
    <w:rsid w:val="00DD533A"/>
    <w:rsid w:val="00DD65FC"/>
    <w:rsid w:val="00DE3A29"/>
    <w:rsid w:val="00DE40F9"/>
    <w:rsid w:val="00DE4990"/>
    <w:rsid w:val="00DE5989"/>
    <w:rsid w:val="00DE5CD2"/>
    <w:rsid w:val="00DF2E79"/>
    <w:rsid w:val="00DF337A"/>
    <w:rsid w:val="00DF3859"/>
    <w:rsid w:val="00DF6491"/>
    <w:rsid w:val="00E01A9E"/>
    <w:rsid w:val="00E0226F"/>
    <w:rsid w:val="00E02903"/>
    <w:rsid w:val="00E12373"/>
    <w:rsid w:val="00E1252C"/>
    <w:rsid w:val="00E12F2A"/>
    <w:rsid w:val="00E13CF0"/>
    <w:rsid w:val="00E149A2"/>
    <w:rsid w:val="00E20249"/>
    <w:rsid w:val="00E20FB4"/>
    <w:rsid w:val="00E213B6"/>
    <w:rsid w:val="00E21C58"/>
    <w:rsid w:val="00E21C5E"/>
    <w:rsid w:val="00E23B5E"/>
    <w:rsid w:val="00E24D4F"/>
    <w:rsid w:val="00E2515D"/>
    <w:rsid w:val="00E263C2"/>
    <w:rsid w:val="00E26440"/>
    <w:rsid w:val="00E26C1B"/>
    <w:rsid w:val="00E34685"/>
    <w:rsid w:val="00E34A3D"/>
    <w:rsid w:val="00E37BE6"/>
    <w:rsid w:val="00E37CCE"/>
    <w:rsid w:val="00E37D18"/>
    <w:rsid w:val="00E414AA"/>
    <w:rsid w:val="00E41C98"/>
    <w:rsid w:val="00E4202D"/>
    <w:rsid w:val="00E4223D"/>
    <w:rsid w:val="00E42517"/>
    <w:rsid w:val="00E42A00"/>
    <w:rsid w:val="00E45FB0"/>
    <w:rsid w:val="00E50960"/>
    <w:rsid w:val="00E53CB6"/>
    <w:rsid w:val="00E54D23"/>
    <w:rsid w:val="00E56462"/>
    <w:rsid w:val="00E56C62"/>
    <w:rsid w:val="00E60D2A"/>
    <w:rsid w:val="00E615AF"/>
    <w:rsid w:val="00E63D1D"/>
    <w:rsid w:val="00E65E45"/>
    <w:rsid w:val="00E6608E"/>
    <w:rsid w:val="00E66276"/>
    <w:rsid w:val="00E67BA3"/>
    <w:rsid w:val="00E70C0D"/>
    <w:rsid w:val="00E8158E"/>
    <w:rsid w:val="00E828A6"/>
    <w:rsid w:val="00E8683E"/>
    <w:rsid w:val="00E86BAE"/>
    <w:rsid w:val="00E91509"/>
    <w:rsid w:val="00E91A43"/>
    <w:rsid w:val="00E925D8"/>
    <w:rsid w:val="00E93F39"/>
    <w:rsid w:val="00E9533D"/>
    <w:rsid w:val="00E97AE2"/>
    <w:rsid w:val="00EA10FF"/>
    <w:rsid w:val="00EA130E"/>
    <w:rsid w:val="00EA2B1A"/>
    <w:rsid w:val="00EA487B"/>
    <w:rsid w:val="00EB28DB"/>
    <w:rsid w:val="00EB3512"/>
    <w:rsid w:val="00EB3C16"/>
    <w:rsid w:val="00EB3D3B"/>
    <w:rsid w:val="00EB3F2A"/>
    <w:rsid w:val="00EB3FB5"/>
    <w:rsid w:val="00EB5228"/>
    <w:rsid w:val="00EB550D"/>
    <w:rsid w:val="00EB602C"/>
    <w:rsid w:val="00EB6866"/>
    <w:rsid w:val="00EC003B"/>
    <w:rsid w:val="00EC0A63"/>
    <w:rsid w:val="00EC0FB2"/>
    <w:rsid w:val="00EC43EF"/>
    <w:rsid w:val="00EC4F11"/>
    <w:rsid w:val="00EC66EC"/>
    <w:rsid w:val="00EC7F5A"/>
    <w:rsid w:val="00ED0544"/>
    <w:rsid w:val="00ED07F7"/>
    <w:rsid w:val="00ED3A2C"/>
    <w:rsid w:val="00ED79D6"/>
    <w:rsid w:val="00ED7B8F"/>
    <w:rsid w:val="00EE36D6"/>
    <w:rsid w:val="00EE42D5"/>
    <w:rsid w:val="00EF009E"/>
    <w:rsid w:val="00EF03D2"/>
    <w:rsid w:val="00EF08F3"/>
    <w:rsid w:val="00EF403E"/>
    <w:rsid w:val="00EF4A0C"/>
    <w:rsid w:val="00EF4E24"/>
    <w:rsid w:val="00EF640F"/>
    <w:rsid w:val="00EF6457"/>
    <w:rsid w:val="00F00346"/>
    <w:rsid w:val="00F0114E"/>
    <w:rsid w:val="00F0178C"/>
    <w:rsid w:val="00F01A5C"/>
    <w:rsid w:val="00F02702"/>
    <w:rsid w:val="00F06728"/>
    <w:rsid w:val="00F10202"/>
    <w:rsid w:val="00F10275"/>
    <w:rsid w:val="00F112BD"/>
    <w:rsid w:val="00F11CA0"/>
    <w:rsid w:val="00F11ECB"/>
    <w:rsid w:val="00F12304"/>
    <w:rsid w:val="00F16B94"/>
    <w:rsid w:val="00F17368"/>
    <w:rsid w:val="00F17647"/>
    <w:rsid w:val="00F20E98"/>
    <w:rsid w:val="00F23823"/>
    <w:rsid w:val="00F248B2"/>
    <w:rsid w:val="00F253B2"/>
    <w:rsid w:val="00F27458"/>
    <w:rsid w:val="00F30A59"/>
    <w:rsid w:val="00F31EBE"/>
    <w:rsid w:val="00F355BD"/>
    <w:rsid w:val="00F35755"/>
    <w:rsid w:val="00F41B75"/>
    <w:rsid w:val="00F43FA0"/>
    <w:rsid w:val="00F46DE1"/>
    <w:rsid w:val="00F50AAD"/>
    <w:rsid w:val="00F51641"/>
    <w:rsid w:val="00F51825"/>
    <w:rsid w:val="00F522A7"/>
    <w:rsid w:val="00F534F2"/>
    <w:rsid w:val="00F57C8A"/>
    <w:rsid w:val="00F57FA7"/>
    <w:rsid w:val="00F612E9"/>
    <w:rsid w:val="00F619CD"/>
    <w:rsid w:val="00F61B1B"/>
    <w:rsid w:val="00F62410"/>
    <w:rsid w:val="00F6369C"/>
    <w:rsid w:val="00F64EE5"/>
    <w:rsid w:val="00F66D96"/>
    <w:rsid w:val="00F674A6"/>
    <w:rsid w:val="00F6794C"/>
    <w:rsid w:val="00F67985"/>
    <w:rsid w:val="00F709CF"/>
    <w:rsid w:val="00F71361"/>
    <w:rsid w:val="00F71F55"/>
    <w:rsid w:val="00F733AF"/>
    <w:rsid w:val="00F7449D"/>
    <w:rsid w:val="00F753C4"/>
    <w:rsid w:val="00F759A9"/>
    <w:rsid w:val="00F76585"/>
    <w:rsid w:val="00F806FD"/>
    <w:rsid w:val="00F82DC2"/>
    <w:rsid w:val="00F8456E"/>
    <w:rsid w:val="00F90BC2"/>
    <w:rsid w:val="00F91398"/>
    <w:rsid w:val="00F933F7"/>
    <w:rsid w:val="00F9398F"/>
    <w:rsid w:val="00F943B6"/>
    <w:rsid w:val="00F948D3"/>
    <w:rsid w:val="00F95E85"/>
    <w:rsid w:val="00F97B50"/>
    <w:rsid w:val="00FA3CE2"/>
    <w:rsid w:val="00FB189B"/>
    <w:rsid w:val="00FB1A24"/>
    <w:rsid w:val="00FB445F"/>
    <w:rsid w:val="00FB6826"/>
    <w:rsid w:val="00FB6F24"/>
    <w:rsid w:val="00FC1BC0"/>
    <w:rsid w:val="00FC30E3"/>
    <w:rsid w:val="00FC4914"/>
    <w:rsid w:val="00FC7727"/>
    <w:rsid w:val="00FC7A36"/>
    <w:rsid w:val="00FD09BD"/>
    <w:rsid w:val="00FD1754"/>
    <w:rsid w:val="00FD2F41"/>
    <w:rsid w:val="00FD5DE1"/>
    <w:rsid w:val="00FE3A63"/>
    <w:rsid w:val="00FE6C89"/>
    <w:rsid w:val="00FE731F"/>
    <w:rsid w:val="00FE75C1"/>
    <w:rsid w:val="00FE7C63"/>
    <w:rsid w:val="00FF028D"/>
    <w:rsid w:val="00FF05AB"/>
    <w:rsid w:val="00FF2F1C"/>
    <w:rsid w:val="00FF3CBB"/>
    <w:rsid w:val="00FF4A26"/>
    <w:rsid w:val="00FF7D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410DA"/>
  <w15:chartTrackingRefBased/>
  <w15:docId w15:val="{708CFFCC-02FC-4B9D-A434-D467FF7C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6794C"/>
    <w:pPr>
      <w:spacing w:after="120"/>
    </w:pPr>
    <w:rPr>
      <w:lang w:val="en-US"/>
    </w:rPr>
  </w:style>
  <w:style w:type="paragraph" w:styleId="Heading1">
    <w:name w:val="heading 1"/>
    <w:basedOn w:val="Normal"/>
    <w:next w:val="Normal"/>
    <w:link w:val="Heading1Char"/>
    <w:uiPriority w:val="9"/>
    <w:qFormat/>
    <w:rsid w:val="000C6A95"/>
    <w:pPr>
      <w:keepNext/>
      <w:keepLines/>
      <w:spacing w:before="240" w:after="0" w:line="259" w:lineRule="auto"/>
      <w:outlineLvl w:val="0"/>
    </w:pPr>
    <w:rPr>
      <w:rFonts w:asciiTheme="majorHAnsi" w:eastAsiaTheme="majorEastAsia" w:hAnsiTheme="majorHAnsi" w:cstheme="majorBidi"/>
      <w:color w:val="00146D" w:themeColor="text2"/>
      <w:sz w:val="52"/>
      <w:szCs w:val="32"/>
      <w:lang w:val="en-GB"/>
    </w:rPr>
  </w:style>
  <w:style w:type="paragraph" w:styleId="Heading2">
    <w:name w:val="heading 2"/>
    <w:basedOn w:val="Normal"/>
    <w:next w:val="Normal"/>
    <w:link w:val="Heading2Char"/>
    <w:uiPriority w:val="9"/>
    <w:unhideWhenUsed/>
    <w:qFormat/>
    <w:rsid w:val="000C6A95"/>
    <w:pPr>
      <w:keepNext/>
      <w:keepLines/>
      <w:pBdr>
        <w:bottom w:val="single" w:sz="4" w:space="1" w:color="00146D" w:themeColor="text2"/>
      </w:pBdr>
      <w:spacing w:before="60" w:after="240" w:line="259" w:lineRule="auto"/>
      <w:outlineLvl w:val="1"/>
    </w:pPr>
    <w:rPr>
      <w:rFonts w:asciiTheme="majorHAnsi" w:eastAsiaTheme="majorEastAsia" w:hAnsiTheme="majorHAnsi" w:cstheme="majorBidi"/>
      <w:color w:val="00146D" w:themeColor="text2"/>
      <w:sz w:val="40"/>
      <w:szCs w:val="26"/>
      <w:lang w:val="en-GB"/>
    </w:rPr>
  </w:style>
  <w:style w:type="paragraph" w:styleId="Heading3">
    <w:name w:val="heading 3"/>
    <w:basedOn w:val="Normal"/>
    <w:next w:val="Normal"/>
    <w:link w:val="Heading3Char"/>
    <w:uiPriority w:val="9"/>
    <w:unhideWhenUsed/>
    <w:qFormat/>
    <w:rsid w:val="002627E9"/>
    <w:pPr>
      <w:keepNext/>
      <w:keepLines/>
      <w:spacing w:before="40" w:after="0" w:line="259" w:lineRule="auto"/>
      <w:outlineLvl w:val="2"/>
    </w:pPr>
    <w:rPr>
      <w:rFonts w:asciiTheme="majorHAnsi" w:eastAsiaTheme="majorEastAsia" w:hAnsiTheme="majorHAnsi" w:cstheme="majorBidi"/>
      <w:color w:val="585854" w:themeColor="accent5"/>
      <w:sz w:val="36"/>
      <w:szCs w:val="24"/>
      <w:lang w:val="en-GB"/>
    </w:rPr>
  </w:style>
  <w:style w:type="paragraph" w:styleId="Heading4">
    <w:name w:val="heading 4"/>
    <w:basedOn w:val="Normal"/>
    <w:next w:val="Normal"/>
    <w:link w:val="Heading4Char"/>
    <w:uiPriority w:val="9"/>
    <w:unhideWhenUsed/>
    <w:qFormat/>
    <w:rsid w:val="002627E9"/>
    <w:pPr>
      <w:keepNext/>
      <w:keepLines/>
      <w:spacing w:before="40" w:after="0" w:line="259" w:lineRule="auto"/>
      <w:outlineLvl w:val="3"/>
    </w:pPr>
    <w:rPr>
      <w:rFonts w:asciiTheme="majorHAnsi" w:eastAsiaTheme="majorEastAsia" w:hAnsiTheme="majorHAnsi" w:cstheme="majorBidi"/>
      <w:iCs/>
      <w:color w:val="585854" w:themeColor="accent5"/>
      <w:sz w:val="32"/>
      <w:lang w:val="en-GB"/>
    </w:rPr>
  </w:style>
  <w:style w:type="paragraph" w:styleId="Heading5">
    <w:name w:val="heading 5"/>
    <w:basedOn w:val="Normal"/>
    <w:next w:val="Normal"/>
    <w:link w:val="Heading5Char"/>
    <w:uiPriority w:val="9"/>
    <w:unhideWhenUsed/>
    <w:qFormat/>
    <w:rsid w:val="002627E9"/>
    <w:pPr>
      <w:keepNext/>
      <w:keepLines/>
      <w:spacing w:before="40" w:after="0" w:line="259" w:lineRule="auto"/>
      <w:outlineLvl w:val="4"/>
    </w:pPr>
    <w:rPr>
      <w:rFonts w:asciiTheme="majorHAnsi" w:eastAsiaTheme="majorEastAsia" w:hAnsiTheme="majorHAnsi" w:cstheme="majorBidi"/>
      <w:color w:val="585854" w:themeColor="accent5"/>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aseText"/>
    <w:link w:val="BodyTextChar"/>
    <w:uiPriority w:val="14"/>
    <w:unhideWhenUsed/>
    <w:qFormat/>
    <w:rsid w:val="003D35C9"/>
    <w:pPr>
      <w:spacing w:after="160" w:line="259" w:lineRule="auto"/>
    </w:pPr>
  </w:style>
  <w:style w:type="character" w:customStyle="1" w:styleId="BodyTextChar">
    <w:name w:val="Body Text Char"/>
    <w:basedOn w:val="DefaultParagraphFont"/>
    <w:link w:val="BodyText"/>
    <w:uiPriority w:val="14"/>
    <w:rsid w:val="003D35C9"/>
  </w:style>
  <w:style w:type="character" w:customStyle="1" w:styleId="Heading1Char">
    <w:name w:val="Heading 1 Char"/>
    <w:basedOn w:val="DefaultParagraphFont"/>
    <w:link w:val="Heading1"/>
    <w:uiPriority w:val="9"/>
    <w:rsid w:val="000C6A95"/>
    <w:rPr>
      <w:rFonts w:asciiTheme="majorHAnsi" w:eastAsiaTheme="majorEastAsia" w:hAnsiTheme="majorHAnsi" w:cstheme="majorBidi"/>
      <w:color w:val="00146D" w:themeColor="text2"/>
      <w:sz w:val="52"/>
      <w:szCs w:val="32"/>
    </w:rPr>
  </w:style>
  <w:style w:type="character" w:customStyle="1" w:styleId="Heading2Char">
    <w:name w:val="Heading 2 Char"/>
    <w:basedOn w:val="DefaultParagraphFont"/>
    <w:link w:val="Heading2"/>
    <w:uiPriority w:val="9"/>
    <w:rsid w:val="000C6A95"/>
    <w:rPr>
      <w:rFonts w:asciiTheme="majorHAnsi" w:eastAsiaTheme="majorEastAsia" w:hAnsiTheme="majorHAnsi" w:cstheme="majorBidi"/>
      <w:color w:val="00146D" w:themeColor="text2"/>
      <w:sz w:val="40"/>
      <w:szCs w:val="26"/>
    </w:rPr>
  </w:style>
  <w:style w:type="character" w:customStyle="1" w:styleId="Heading3Char">
    <w:name w:val="Heading 3 Char"/>
    <w:basedOn w:val="DefaultParagraphFont"/>
    <w:link w:val="Heading3"/>
    <w:uiPriority w:val="9"/>
    <w:rsid w:val="002627E9"/>
    <w:rPr>
      <w:rFonts w:asciiTheme="majorHAnsi" w:eastAsiaTheme="majorEastAsia" w:hAnsiTheme="majorHAnsi" w:cstheme="majorBidi"/>
      <w:color w:val="585854" w:themeColor="accent5"/>
      <w:sz w:val="36"/>
      <w:szCs w:val="24"/>
    </w:rPr>
  </w:style>
  <w:style w:type="character" w:customStyle="1" w:styleId="Heading4Char">
    <w:name w:val="Heading 4 Char"/>
    <w:basedOn w:val="DefaultParagraphFont"/>
    <w:link w:val="Heading4"/>
    <w:uiPriority w:val="9"/>
    <w:rsid w:val="002627E9"/>
    <w:rPr>
      <w:rFonts w:asciiTheme="majorHAnsi" w:eastAsiaTheme="majorEastAsia" w:hAnsiTheme="majorHAnsi" w:cstheme="majorBidi"/>
      <w:iCs/>
      <w:color w:val="585854" w:themeColor="accent5"/>
      <w:sz w:val="32"/>
    </w:rPr>
  </w:style>
  <w:style w:type="paragraph" w:styleId="Title">
    <w:name w:val="Title"/>
    <w:basedOn w:val="Normal"/>
    <w:next w:val="Normal"/>
    <w:link w:val="TitleChar"/>
    <w:uiPriority w:val="4"/>
    <w:qFormat/>
    <w:rsid w:val="00517122"/>
    <w:pPr>
      <w:spacing w:after="0" w:line="240" w:lineRule="auto"/>
      <w:contextualSpacing/>
    </w:pPr>
    <w:rPr>
      <w:rFonts w:asciiTheme="majorHAnsi" w:eastAsiaTheme="majorEastAsia" w:hAnsiTheme="majorHAnsi" w:cstheme="majorBidi"/>
      <w:color w:val="00146D" w:themeColor="text2"/>
      <w:spacing w:val="-10"/>
      <w:kern w:val="28"/>
      <w:sz w:val="72"/>
      <w:szCs w:val="56"/>
      <w:lang w:val="en-GB"/>
    </w:rPr>
  </w:style>
  <w:style w:type="character" w:customStyle="1" w:styleId="TitleChar">
    <w:name w:val="Title Char"/>
    <w:basedOn w:val="DefaultParagraphFont"/>
    <w:link w:val="Title"/>
    <w:uiPriority w:val="4"/>
    <w:rsid w:val="00F6794C"/>
    <w:rPr>
      <w:rFonts w:asciiTheme="majorHAnsi" w:eastAsiaTheme="majorEastAsia" w:hAnsiTheme="majorHAnsi" w:cstheme="majorBidi"/>
      <w:color w:val="00146D" w:themeColor="text2"/>
      <w:spacing w:val="-10"/>
      <w:kern w:val="28"/>
      <w:sz w:val="72"/>
      <w:szCs w:val="56"/>
    </w:rPr>
  </w:style>
  <w:style w:type="paragraph" w:styleId="Subtitle">
    <w:name w:val="Subtitle"/>
    <w:basedOn w:val="Normal"/>
    <w:next w:val="Normal"/>
    <w:link w:val="SubtitleChar"/>
    <w:uiPriority w:val="5"/>
    <w:qFormat/>
    <w:rsid w:val="002627E9"/>
    <w:pPr>
      <w:numPr>
        <w:ilvl w:val="1"/>
      </w:numPr>
      <w:spacing w:after="160" w:line="259" w:lineRule="auto"/>
    </w:pPr>
    <w:rPr>
      <w:rFonts w:eastAsiaTheme="minorEastAsia" w:cs="Times New Roman"/>
      <w:color w:val="5A5A5A" w:themeColor="text1" w:themeTint="A5"/>
      <w:spacing w:val="15"/>
      <w:sz w:val="32"/>
      <w:szCs w:val="32"/>
      <w:lang w:val="en-GB"/>
    </w:rPr>
  </w:style>
  <w:style w:type="character" w:customStyle="1" w:styleId="SubtitleChar">
    <w:name w:val="Subtitle Char"/>
    <w:basedOn w:val="DefaultParagraphFont"/>
    <w:link w:val="Subtitle"/>
    <w:uiPriority w:val="5"/>
    <w:rsid w:val="00F6794C"/>
    <w:rPr>
      <w:rFonts w:eastAsiaTheme="minorEastAsia" w:cs="Times New Roman"/>
      <w:color w:val="5A5A5A" w:themeColor="text1" w:themeTint="A5"/>
      <w:spacing w:val="15"/>
      <w:sz w:val="32"/>
      <w:szCs w:val="32"/>
    </w:rPr>
  </w:style>
  <w:style w:type="paragraph" w:customStyle="1" w:styleId="BaseStyle">
    <w:name w:val="___Base Style"/>
    <w:semiHidden/>
    <w:rsid w:val="00E54D23"/>
    <w:pPr>
      <w:spacing w:after="0" w:line="276" w:lineRule="auto"/>
    </w:pPr>
  </w:style>
  <w:style w:type="paragraph" w:customStyle="1" w:styleId="BaseTable">
    <w:name w:val="___Base Table"/>
    <w:semiHidden/>
    <w:rsid w:val="00E54D23"/>
  </w:style>
  <w:style w:type="paragraph" w:customStyle="1" w:styleId="BaseText">
    <w:name w:val="__Base Text"/>
    <w:basedOn w:val="BaseStyle"/>
    <w:semiHidden/>
    <w:rsid w:val="00E54D23"/>
  </w:style>
  <w:style w:type="paragraph" w:customStyle="1" w:styleId="BaseHeading">
    <w:name w:val="__Base Heading"/>
    <w:basedOn w:val="BaseStyle"/>
    <w:next w:val="BodyText"/>
    <w:semiHidden/>
    <w:rsid w:val="00DA02BA"/>
    <w:pPr>
      <w:keepNext/>
      <w:keepLines/>
    </w:pPr>
    <w:rPr>
      <w:rFonts w:asciiTheme="majorHAnsi" w:hAnsiTheme="majorHAnsi"/>
      <w:color w:val="00146D" w:themeColor="text2"/>
    </w:rPr>
  </w:style>
  <w:style w:type="table" w:customStyle="1" w:styleId="Plain">
    <w:name w:val="Plain"/>
    <w:basedOn w:val="TableNormal"/>
    <w:rsid w:val="00E54D23"/>
    <w:pPr>
      <w:spacing w:after="0" w:line="240" w:lineRule="auto"/>
    </w:pPr>
    <w:tblPr/>
    <w:tcPr>
      <w:shd w:val="clear" w:color="auto" w:fill="auto"/>
      <w:tcMar>
        <w:left w:w="0" w:type="dxa"/>
        <w:right w:w="0" w:type="dxa"/>
      </w:tcMar>
    </w:tcPr>
  </w:style>
  <w:style w:type="paragraph" w:customStyle="1" w:styleId="1ptspacer">
    <w:name w:val="__1pt spacer"/>
    <w:basedOn w:val="BaseStyle"/>
    <w:next w:val="BodyText"/>
    <w:semiHidden/>
    <w:rsid w:val="00E54D23"/>
    <w:pPr>
      <w:spacing w:line="20" w:lineRule="exact"/>
    </w:pPr>
    <w:rPr>
      <w:sz w:val="2"/>
    </w:rPr>
  </w:style>
  <w:style w:type="paragraph" w:customStyle="1" w:styleId="Placeholder">
    <w:name w:val="__Placeholder"/>
    <w:basedOn w:val="BaseText"/>
    <w:next w:val="BodyText"/>
    <w:semiHidden/>
    <w:rsid w:val="00E54D23"/>
    <w:pPr>
      <w:spacing w:line="240" w:lineRule="auto"/>
      <w:jc w:val="center"/>
    </w:pPr>
  </w:style>
  <w:style w:type="paragraph" w:customStyle="1" w:styleId="TableSpaceAfter">
    <w:name w:val="__TableSpaceAfter"/>
    <w:basedOn w:val="BaseStyle"/>
    <w:next w:val="BodyText"/>
    <w:semiHidden/>
    <w:rsid w:val="00E54D23"/>
    <w:pPr>
      <w:spacing w:line="20" w:lineRule="exact"/>
    </w:pPr>
    <w:rPr>
      <w:sz w:val="2"/>
    </w:rPr>
  </w:style>
  <w:style w:type="paragraph" w:styleId="ListBullet">
    <w:name w:val="List Bullet"/>
    <w:basedOn w:val="BodyText"/>
    <w:uiPriority w:val="15"/>
    <w:unhideWhenUsed/>
    <w:qFormat/>
    <w:rsid w:val="00A3341B"/>
    <w:pPr>
      <w:numPr>
        <w:numId w:val="2"/>
      </w:numPr>
    </w:pPr>
  </w:style>
  <w:style w:type="paragraph" w:customStyle="1" w:styleId="TableText">
    <w:name w:val="Table Text"/>
    <w:basedOn w:val="BaseTable"/>
    <w:uiPriority w:val="35"/>
    <w:qFormat/>
    <w:rsid w:val="000020A6"/>
    <w:pPr>
      <w:spacing w:after="0" w:line="240" w:lineRule="auto"/>
    </w:pPr>
    <w:rPr>
      <w:sz w:val="20"/>
    </w:rPr>
  </w:style>
  <w:style w:type="character" w:styleId="BookTitle">
    <w:name w:val="Book Title"/>
    <w:basedOn w:val="DefaultParagraphFont"/>
    <w:uiPriority w:val="33"/>
    <w:semiHidden/>
    <w:qFormat/>
    <w:rsid w:val="00E54D23"/>
    <w:rPr>
      <w:b/>
      <w:bCs/>
      <w:i/>
      <w:iCs/>
      <w:spacing w:val="5"/>
    </w:rPr>
  </w:style>
  <w:style w:type="character" w:styleId="Emphasis">
    <w:name w:val="Emphasis"/>
    <w:basedOn w:val="DefaultParagraphFont"/>
    <w:uiPriority w:val="20"/>
    <w:semiHidden/>
    <w:qFormat/>
    <w:rsid w:val="00E54D23"/>
    <w:rPr>
      <w:i/>
      <w:iCs/>
    </w:rPr>
  </w:style>
  <w:style w:type="character" w:styleId="IntenseEmphasis">
    <w:name w:val="Intense Emphasis"/>
    <w:basedOn w:val="DefaultParagraphFont"/>
    <w:uiPriority w:val="21"/>
    <w:semiHidden/>
    <w:qFormat/>
    <w:rsid w:val="00E54D23"/>
    <w:rPr>
      <w:i/>
      <w:iCs/>
      <w:color w:val="00B0F0" w:themeColor="accent1"/>
    </w:rPr>
  </w:style>
  <w:style w:type="paragraph" w:styleId="IntenseQuote">
    <w:name w:val="Intense Quote"/>
    <w:basedOn w:val="Normal"/>
    <w:next w:val="Normal"/>
    <w:link w:val="IntenseQuoteChar"/>
    <w:uiPriority w:val="30"/>
    <w:semiHidden/>
    <w:qFormat/>
    <w:rsid w:val="00E54D23"/>
    <w:pPr>
      <w:pBdr>
        <w:top w:val="single" w:sz="4" w:space="10" w:color="00B0F0" w:themeColor="accent1"/>
        <w:bottom w:val="single" w:sz="4" w:space="10" w:color="00B0F0" w:themeColor="accent1"/>
      </w:pBdr>
      <w:spacing w:before="360" w:after="360"/>
      <w:ind w:left="864" w:right="864"/>
      <w:jc w:val="center"/>
    </w:pPr>
    <w:rPr>
      <w:i/>
      <w:iCs/>
      <w:color w:val="00B0F0" w:themeColor="accent1"/>
    </w:rPr>
  </w:style>
  <w:style w:type="character" w:customStyle="1" w:styleId="IntenseQuoteChar">
    <w:name w:val="Intense Quote Char"/>
    <w:basedOn w:val="DefaultParagraphFont"/>
    <w:link w:val="IntenseQuote"/>
    <w:uiPriority w:val="30"/>
    <w:rsid w:val="00E54D23"/>
    <w:rPr>
      <w:i/>
      <w:iCs/>
      <w:color w:val="00B0F0" w:themeColor="accent1"/>
    </w:rPr>
  </w:style>
  <w:style w:type="character" w:styleId="IntenseReference">
    <w:name w:val="Intense Reference"/>
    <w:basedOn w:val="DefaultParagraphFont"/>
    <w:uiPriority w:val="32"/>
    <w:semiHidden/>
    <w:qFormat/>
    <w:rsid w:val="00E54D23"/>
    <w:rPr>
      <w:b/>
      <w:bCs/>
      <w:smallCaps/>
      <w:color w:val="00B0F0" w:themeColor="accent1"/>
      <w:spacing w:val="5"/>
    </w:rPr>
  </w:style>
  <w:style w:type="paragraph" w:styleId="ListParagraph">
    <w:name w:val="List Paragraph"/>
    <w:basedOn w:val="Normal"/>
    <w:uiPriority w:val="34"/>
    <w:qFormat/>
    <w:rsid w:val="00E54D23"/>
    <w:pPr>
      <w:ind w:left="720"/>
      <w:contextualSpacing/>
    </w:pPr>
  </w:style>
  <w:style w:type="paragraph" w:styleId="NoSpacing">
    <w:name w:val="No Spacing"/>
    <w:uiPriority w:val="1"/>
    <w:semiHidden/>
    <w:qFormat/>
    <w:rsid w:val="00E54D23"/>
    <w:pPr>
      <w:spacing w:after="0" w:line="240" w:lineRule="auto"/>
    </w:pPr>
  </w:style>
  <w:style w:type="paragraph" w:styleId="Quote">
    <w:name w:val="Quote"/>
    <w:basedOn w:val="Normal"/>
    <w:next w:val="Normal"/>
    <w:link w:val="QuoteChar"/>
    <w:uiPriority w:val="29"/>
    <w:semiHidden/>
    <w:qFormat/>
    <w:rsid w:val="00E54D2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D23"/>
    <w:rPr>
      <w:i/>
      <w:iCs/>
      <w:color w:val="404040" w:themeColor="text1" w:themeTint="BF"/>
    </w:rPr>
  </w:style>
  <w:style w:type="character" w:styleId="Strong">
    <w:name w:val="Strong"/>
    <w:basedOn w:val="DefaultParagraphFont"/>
    <w:uiPriority w:val="22"/>
    <w:semiHidden/>
    <w:qFormat/>
    <w:rsid w:val="00E54D23"/>
    <w:rPr>
      <w:b/>
      <w:bCs/>
    </w:rPr>
  </w:style>
  <w:style w:type="character" w:styleId="SubtleEmphasis">
    <w:name w:val="Subtle Emphasis"/>
    <w:basedOn w:val="DefaultParagraphFont"/>
    <w:uiPriority w:val="19"/>
    <w:semiHidden/>
    <w:qFormat/>
    <w:rsid w:val="00E54D23"/>
    <w:rPr>
      <w:i/>
      <w:iCs/>
      <w:color w:val="404040" w:themeColor="text1" w:themeTint="BF"/>
    </w:rPr>
  </w:style>
  <w:style w:type="character" w:styleId="SubtleReference">
    <w:name w:val="Subtle Reference"/>
    <w:basedOn w:val="DefaultParagraphFont"/>
    <w:uiPriority w:val="31"/>
    <w:semiHidden/>
    <w:qFormat/>
    <w:rsid w:val="00E54D23"/>
    <w:rPr>
      <w:smallCaps/>
      <w:color w:val="5A5A5A" w:themeColor="text1" w:themeTint="A5"/>
    </w:rPr>
  </w:style>
  <w:style w:type="numbering" w:customStyle="1" w:styleId="ListBullets">
    <w:name w:val="__List Bullets"/>
    <w:rsid w:val="00A3341B"/>
    <w:pPr>
      <w:numPr>
        <w:numId w:val="1"/>
      </w:numPr>
    </w:pPr>
  </w:style>
  <w:style w:type="numbering" w:customStyle="1" w:styleId="ListNumbers">
    <w:name w:val="__List Numbers"/>
    <w:rsid w:val="00797BF4"/>
    <w:pPr>
      <w:numPr>
        <w:numId w:val="7"/>
      </w:numPr>
    </w:pPr>
  </w:style>
  <w:style w:type="paragraph" w:styleId="ListNumber">
    <w:name w:val="List Number"/>
    <w:basedOn w:val="BodyText"/>
    <w:uiPriority w:val="15"/>
    <w:rsid w:val="00797BF4"/>
    <w:pPr>
      <w:numPr>
        <w:numId w:val="8"/>
      </w:numPr>
      <w:spacing w:after="120" w:line="276" w:lineRule="auto"/>
    </w:pPr>
  </w:style>
  <w:style w:type="table" w:customStyle="1" w:styleId="Systemiq-Table4">
    <w:name w:val="Systemiq - Table 4"/>
    <w:basedOn w:val="Systemiq-Table2"/>
    <w:uiPriority w:val="99"/>
    <w:rsid w:val="00954D7F"/>
    <w:tblPr/>
    <w:tblStylePr w:type="firstRow">
      <w:pPr>
        <w:wordWrap/>
        <w:spacing w:beforeLines="0" w:before="0" w:beforeAutospacing="0" w:afterLines="0" w:after="0" w:afterAutospacing="0" w:line="240" w:lineRule="auto"/>
        <w:ind w:leftChars="0" w:left="0" w:rightChars="0" w:right="0" w:firstLineChars="0" w:firstLine="0"/>
        <w:jc w:val="left"/>
      </w:pPr>
      <w:rPr>
        <w:rFonts w:ascii="Bebas Kai" w:hAnsi="Bebas Kai"/>
        <w:b w:val="0"/>
        <w:i w:val="0"/>
        <w:color w:val="FFFFFF" w:themeColor="background1"/>
        <w:sz w:val="24"/>
        <w:u w:val="none"/>
      </w:rPr>
      <w:tblPr/>
      <w:tcPr>
        <w:shd w:val="clear" w:color="auto" w:fill="00146D" w:themeFill="text2"/>
        <w:noWrap/>
        <w:tcMar>
          <w:top w:w="28" w:type="dxa"/>
          <w:left w:w="113" w:type="dxa"/>
          <w:bottom w:w="28" w:type="dxa"/>
          <w:right w:w="113" w:type="dxa"/>
        </w:tcMar>
        <w:vAlign w:val="center"/>
      </w:tcPr>
    </w:tblStylePr>
    <w:tblStylePr w:type="band1Horz">
      <w:tblPr/>
      <w:tcPr>
        <w:shd w:val="clear" w:color="auto" w:fill="FFFFFF" w:themeFill="background1"/>
      </w:tcPr>
    </w:tblStylePr>
    <w:tblStylePr w:type="band2Horz">
      <w:pPr>
        <w:wordWrap/>
        <w:jc w:val="left"/>
      </w:pPr>
      <w:tblPr/>
      <w:tcPr>
        <w:shd w:val="clear" w:color="auto" w:fill="EFF2FF"/>
      </w:tcPr>
    </w:tblStylePr>
  </w:style>
  <w:style w:type="table" w:customStyle="1" w:styleId="Systemiq-Table2">
    <w:name w:val="Systemiq - Table 2"/>
    <w:basedOn w:val="Systemiq-Table1"/>
    <w:uiPriority w:val="99"/>
    <w:rsid w:val="00A978A0"/>
    <w:tblPr/>
    <w:tblStylePr w:type="firstRow">
      <w:pPr>
        <w:wordWrap/>
        <w:spacing w:beforeLines="0" w:before="0" w:beforeAutospacing="0" w:afterLines="0" w:after="0" w:afterAutospacing="0" w:line="240" w:lineRule="auto"/>
        <w:ind w:leftChars="0" w:left="0" w:rightChars="0" w:right="0" w:firstLineChars="0" w:firstLine="0"/>
        <w:jc w:val="left"/>
      </w:pPr>
      <w:rPr>
        <w:rFonts w:ascii="Bebas Kai" w:hAnsi="Bebas Kai"/>
        <w:b w:val="0"/>
        <w:i w:val="0"/>
        <w:color w:val="FFFFFF" w:themeColor="background1"/>
        <w:sz w:val="24"/>
        <w:u w:val="none"/>
      </w:rPr>
      <w:tblPr/>
      <w:tcPr>
        <w:shd w:val="clear" w:color="auto" w:fill="00146D" w:themeFill="text2"/>
        <w:noWrap/>
        <w:tcMar>
          <w:top w:w="28" w:type="dxa"/>
          <w:left w:w="113" w:type="dxa"/>
          <w:bottom w:w="28" w:type="dxa"/>
          <w:right w:w="113" w:type="dxa"/>
        </w:tcMar>
        <w:vAlign w:val="center"/>
      </w:tcPr>
    </w:tblStylePr>
    <w:tblStylePr w:type="band1Horz">
      <w:tblPr/>
      <w:tcPr>
        <w:shd w:val="clear" w:color="auto" w:fill="F1F2F1" w:themeFill="accent6" w:themeFillTint="33"/>
      </w:tcPr>
    </w:tblStylePr>
    <w:tblStylePr w:type="band2Horz">
      <w:pPr>
        <w:wordWrap/>
        <w:jc w:val="left"/>
      </w:pPr>
      <w:tblPr/>
      <w:tcPr>
        <w:shd w:val="clear" w:color="auto" w:fill="FFFFFF" w:themeFill="background1"/>
      </w:tcPr>
    </w:tblStylePr>
  </w:style>
  <w:style w:type="character" w:customStyle="1" w:styleId="Accent1">
    <w:name w:val="Accent 1"/>
    <w:basedOn w:val="DefaultParagraphFont"/>
    <w:uiPriority w:val="36"/>
    <w:semiHidden/>
    <w:qFormat/>
    <w:rsid w:val="0090572F"/>
    <w:rPr>
      <w:color w:val="00B0F0" w:themeColor="accent1"/>
    </w:rPr>
  </w:style>
  <w:style w:type="character" w:customStyle="1" w:styleId="Accent2">
    <w:name w:val="Accent 2"/>
    <w:basedOn w:val="DefaultParagraphFont"/>
    <w:uiPriority w:val="36"/>
    <w:semiHidden/>
    <w:qFormat/>
    <w:rsid w:val="00274DD8"/>
    <w:rPr>
      <w:color w:val="B2D235" w:themeColor="accent2"/>
    </w:rPr>
  </w:style>
  <w:style w:type="character" w:customStyle="1" w:styleId="Accent3">
    <w:name w:val="Accent 3"/>
    <w:basedOn w:val="DefaultParagraphFont"/>
    <w:uiPriority w:val="36"/>
    <w:semiHidden/>
    <w:qFormat/>
    <w:rsid w:val="00274DD8"/>
    <w:rPr>
      <w:color w:val="FEDD00" w:themeColor="accent3"/>
    </w:rPr>
  </w:style>
  <w:style w:type="character" w:customStyle="1" w:styleId="Accent4">
    <w:name w:val="Accent 4"/>
    <w:basedOn w:val="DefaultParagraphFont"/>
    <w:uiPriority w:val="36"/>
    <w:semiHidden/>
    <w:qFormat/>
    <w:rsid w:val="00274DD8"/>
    <w:rPr>
      <w:color w:val="FF6D70" w:themeColor="accent4"/>
    </w:rPr>
  </w:style>
  <w:style w:type="character" w:customStyle="1" w:styleId="Accent5">
    <w:name w:val="Accent 5"/>
    <w:basedOn w:val="DefaultParagraphFont"/>
    <w:uiPriority w:val="36"/>
    <w:semiHidden/>
    <w:qFormat/>
    <w:rsid w:val="00274DD8"/>
    <w:rPr>
      <w:color w:val="585854" w:themeColor="accent5"/>
    </w:rPr>
  </w:style>
  <w:style w:type="character" w:customStyle="1" w:styleId="Accent6">
    <w:name w:val="Accent 6"/>
    <w:basedOn w:val="DefaultParagraphFont"/>
    <w:uiPriority w:val="36"/>
    <w:semiHidden/>
    <w:qFormat/>
    <w:rsid w:val="00274DD8"/>
    <w:rPr>
      <w:color w:val="BCBEBB" w:themeColor="accent6"/>
    </w:rPr>
  </w:style>
  <w:style w:type="paragraph" w:customStyle="1" w:styleId="BaseSECTION">
    <w:name w:val="__Base SECTION"/>
    <w:basedOn w:val="BaseText"/>
    <w:next w:val="BodyText"/>
    <w:semiHidden/>
    <w:rsid w:val="00631584"/>
    <w:pPr>
      <w:spacing w:line="160" w:lineRule="exact"/>
    </w:pPr>
    <w:rPr>
      <w:color w:val="0000FF"/>
      <w:sz w:val="16"/>
      <w:szCs w:val="20"/>
    </w:rPr>
  </w:style>
  <w:style w:type="paragraph" w:customStyle="1" w:styleId="LinkedPH">
    <w:name w:val="__Linked PH"/>
    <w:basedOn w:val="TableText"/>
    <w:semiHidden/>
    <w:rsid w:val="00631584"/>
    <w:pPr>
      <w:spacing w:before="120" w:line="20" w:lineRule="exact"/>
      <w:ind w:right="113"/>
    </w:pPr>
    <w:rPr>
      <w:sz w:val="2"/>
      <w:szCs w:val="20"/>
    </w:rPr>
  </w:style>
  <w:style w:type="paragraph" w:customStyle="1" w:styleId="SECTION2Column">
    <w:name w:val="__SECTION 2Column"/>
    <w:basedOn w:val="BaseSECTION"/>
    <w:next w:val="BodyText"/>
    <w:semiHidden/>
    <w:rsid w:val="00631584"/>
  </w:style>
  <w:style w:type="paragraph" w:customStyle="1" w:styleId="SECTION3Column">
    <w:name w:val="__SECTION 3Column"/>
    <w:basedOn w:val="BaseSECTION"/>
    <w:next w:val="BodyText"/>
    <w:semiHidden/>
    <w:rsid w:val="00631584"/>
  </w:style>
  <w:style w:type="paragraph" w:customStyle="1" w:styleId="SECTIONBackCover">
    <w:name w:val="__SECTION BackCover"/>
    <w:basedOn w:val="BaseSECTION"/>
    <w:next w:val="BodyText"/>
    <w:semiHidden/>
    <w:rsid w:val="00631584"/>
  </w:style>
  <w:style w:type="paragraph" w:customStyle="1" w:styleId="SECTIONCover">
    <w:name w:val="__SECTION Cover"/>
    <w:basedOn w:val="BaseSECTION"/>
    <w:next w:val="BodyText"/>
    <w:semiHidden/>
    <w:rsid w:val="00631584"/>
  </w:style>
  <w:style w:type="paragraph" w:customStyle="1" w:styleId="SECTIONFullWidth">
    <w:name w:val="__SECTION FullWidth"/>
    <w:basedOn w:val="BaseSECTION"/>
    <w:next w:val="BodyText"/>
    <w:semiHidden/>
    <w:rsid w:val="00631584"/>
  </w:style>
  <w:style w:type="paragraph" w:customStyle="1" w:styleId="SECTIONLandscape">
    <w:name w:val="__SECTION Landscape"/>
    <w:basedOn w:val="BaseSECTION"/>
    <w:next w:val="BodyText"/>
    <w:semiHidden/>
    <w:rsid w:val="00631584"/>
  </w:style>
  <w:style w:type="paragraph" w:customStyle="1" w:styleId="SECTIONMargin">
    <w:name w:val="__SECTION Margin"/>
    <w:basedOn w:val="BaseSECTION"/>
    <w:next w:val="BodyText"/>
    <w:semiHidden/>
    <w:rsid w:val="00631584"/>
  </w:style>
  <w:style w:type="paragraph" w:customStyle="1" w:styleId="SECTIONToC">
    <w:name w:val="__SECTION ToC"/>
    <w:basedOn w:val="BaseSECTION"/>
    <w:next w:val="BodyText"/>
    <w:semiHidden/>
    <w:rsid w:val="00631584"/>
  </w:style>
  <w:style w:type="paragraph" w:customStyle="1" w:styleId="SECTIONDivider">
    <w:name w:val="__SECTION Divider"/>
    <w:basedOn w:val="BaseSECTION"/>
    <w:next w:val="BodyText"/>
    <w:semiHidden/>
    <w:rsid w:val="00631584"/>
  </w:style>
  <w:style w:type="paragraph" w:customStyle="1" w:styleId="TombstoneText">
    <w:name w:val="Tombstone Text"/>
    <w:basedOn w:val="BaseText"/>
    <w:uiPriority w:val="21"/>
    <w:semiHidden/>
    <w:rsid w:val="00CC22FB"/>
    <w:pPr>
      <w:spacing w:before="120" w:after="120" w:line="240" w:lineRule="auto"/>
      <w:ind w:left="113" w:right="113"/>
    </w:pPr>
    <w:rPr>
      <w:rFonts w:cstheme="minorHAnsi"/>
      <w:color w:val="000000" w:themeColor="text1"/>
      <w:sz w:val="16"/>
      <w:szCs w:val="24"/>
    </w:rPr>
  </w:style>
  <w:style w:type="paragraph" w:customStyle="1" w:styleId="TombstoneHeading">
    <w:name w:val="Tombstone Heading"/>
    <w:basedOn w:val="TombstoneText"/>
    <w:next w:val="TombstoneText"/>
    <w:uiPriority w:val="21"/>
    <w:semiHidden/>
    <w:rsid w:val="00631584"/>
    <w:rPr>
      <w:b/>
      <w:sz w:val="18"/>
      <w:szCs w:val="28"/>
    </w:rPr>
  </w:style>
  <w:style w:type="paragraph" w:customStyle="1" w:styleId="HeadingnoToC">
    <w:name w:val="Heading no ToC"/>
    <w:basedOn w:val="BaseHeading"/>
    <w:next w:val="Normal"/>
    <w:link w:val="HeadingnoToCChar"/>
    <w:uiPriority w:val="9"/>
    <w:semiHidden/>
    <w:qFormat/>
    <w:rsid w:val="00E23B5E"/>
    <w:pPr>
      <w:pBdr>
        <w:bottom w:val="single" w:sz="4" w:space="1" w:color="auto"/>
      </w:pBdr>
      <w:spacing w:before="120" w:line="259" w:lineRule="auto"/>
    </w:pPr>
    <w:rPr>
      <w:rFonts w:eastAsiaTheme="majorEastAsia" w:cstheme="majorBidi"/>
      <w:color w:val="002060"/>
      <w:sz w:val="40"/>
      <w:szCs w:val="24"/>
    </w:rPr>
  </w:style>
  <w:style w:type="character" w:customStyle="1" w:styleId="HeadingnoToCChar">
    <w:name w:val="Heading no ToC Char"/>
    <w:basedOn w:val="Heading3Char"/>
    <w:link w:val="HeadingnoToC"/>
    <w:uiPriority w:val="9"/>
    <w:semiHidden/>
    <w:rsid w:val="00F6794C"/>
    <w:rPr>
      <w:rFonts w:asciiTheme="majorHAnsi" w:eastAsiaTheme="majorEastAsia" w:hAnsiTheme="majorHAnsi" w:cstheme="majorBidi"/>
      <w:color w:val="002060"/>
      <w:sz w:val="40"/>
      <w:szCs w:val="24"/>
    </w:rPr>
  </w:style>
  <w:style w:type="character" w:customStyle="1" w:styleId="Heading5Char">
    <w:name w:val="Heading 5 Char"/>
    <w:basedOn w:val="DefaultParagraphFont"/>
    <w:link w:val="Heading5"/>
    <w:uiPriority w:val="9"/>
    <w:rsid w:val="002627E9"/>
    <w:rPr>
      <w:rFonts w:asciiTheme="majorHAnsi" w:eastAsiaTheme="majorEastAsia" w:hAnsiTheme="majorHAnsi" w:cstheme="majorBidi"/>
      <w:color w:val="585854" w:themeColor="accent5"/>
      <w:sz w:val="24"/>
    </w:rPr>
  </w:style>
  <w:style w:type="table" w:styleId="ListTable3">
    <w:name w:val="List Table 3"/>
    <w:basedOn w:val="TableNormal"/>
    <w:uiPriority w:val="48"/>
    <w:rsid w:val="000020A6"/>
    <w:pPr>
      <w:spacing w:after="0" w:line="240" w:lineRule="auto"/>
    </w:pPr>
    <w:rPr>
      <w:lang w:val="de-D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Caption">
    <w:name w:val="caption"/>
    <w:basedOn w:val="Normal"/>
    <w:next w:val="Normal"/>
    <w:uiPriority w:val="35"/>
    <w:qFormat/>
    <w:rsid w:val="002627E9"/>
    <w:pPr>
      <w:spacing w:after="200" w:line="240" w:lineRule="auto"/>
    </w:pPr>
    <w:rPr>
      <w:iCs/>
      <w:color w:val="00146D" w:themeColor="text2"/>
      <w:szCs w:val="18"/>
    </w:rPr>
  </w:style>
  <w:style w:type="paragraph" w:customStyle="1" w:styleId="ListHeading1">
    <w:name w:val="List Heading 1"/>
    <w:basedOn w:val="Heading1"/>
    <w:uiPriority w:val="9"/>
    <w:qFormat/>
    <w:rsid w:val="003D35C9"/>
    <w:pPr>
      <w:numPr>
        <w:numId w:val="4"/>
      </w:numPr>
    </w:pPr>
  </w:style>
  <w:style w:type="paragraph" w:customStyle="1" w:styleId="ListHeading2">
    <w:name w:val="List Heading 2"/>
    <w:basedOn w:val="Heading2"/>
    <w:uiPriority w:val="9"/>
    <w:qFormat/>
    <w:rsid w:val="000C6A95"/>
    <w:pPr>
      <w:numPr>
        <w:ilvl w:val="1"/>
        <w:numId w:val="4"/>
      </w:numPr>
      <w:pBdr>
        <w:bottom w:val="none" w:sz="0" w:space="0" w:color="auto"/>
      </w:pBdr>
      <w:spacing w:after="0"/>
    </w:pPr>
  </w:style>
  <w:style w:type="paragraph" w:customStyle="1" w:styleId="ListHeading3">
    <w:name w:val="List Heading 3"/>
    <w:basedOn w:val="Heading3"/>
    <w:uiPriority w:val="9"/>
    <w:qFormat/>
    <w:rsid w:val="003D35C9"/>
    <w:pPr>
      <w:numPr>
        <w:ilvl w:val="2"/>
        <w:numId w:val="4"/>
      </w:numPr>
    </w:pPr>
  </w:style>
  <w:style w:type="numbering" w:customStyle="1" w:styleId="ListHeadings">
    <w:name w:val="List Headings"/>
    <w:uiPriority w:val="99"/>
    <w:rsid w:val="003D35C9"/>
    <w:pPr>
      <w:numPr>
        <w:numId w:val="3"/>
      </w:numPr>
    </w:pPr>
  </w:style>
  <w:style w:type="paragraph" w:styleId="ListNumber2">
    <w:name w:val="List Number 2"/>
    <w:basedOn w:val="Normal"/>
    <w:uiPriority w:val="99"/>
    <w:semiHidden/>
    <w:unhideWhenUsed/>
    <w:rsid w:val="00553483"/>
    <w:pPr>
      <w:numPr>
        <w:numId w:val="5"/>
      </w:numPr>
      <w:contextualSpacing/>
    </w:pPr>
  </w:style>
  <w:style w:type="paragraph" w:styleId="ListNumber3">
    <w:name w:val="List Number 3"/>
    <w:basedOn w:val="Normal"/>
    <w:uiPriority w:val="99"/>
    <w:semiHidden/>
    <w:unhideWhenUsed/>
    <w:rsid w:val="00553483"/>
    <w:pPr>
      <w:numPr>
        <w:numId w:val="6"/>
      </w:numPr>
      <w:contextualSpacing/>
    </w:pPr>
  </w:style>
  <w:style w:type="paragraph" w:styleId="Header">
    <w:name w:val="header"/>
    <w:basedOn w:val="Normal"/>
    <w:link w:val="HeaderChar"/>
    <w:uiPriority w:val="86"/>
    <w:semiHidden/>
    <w:rsid w:val="000D1F65"/>
    <w:pPr>
      <w:tabs>
        <w:tab w:val="center" w:pos="4680"/>
        <w:tab w:val="right" w:pos="9360"/>
      </w:tabs>
      <w:spacing w:after="0" w:line="240" w:lineRule="auto"/>
    </w:pPr>
    <w:rPr>
      <w:sz w:val="18"/>
    </w:rPr>
  </w:style>
  <w:style w:type="character" w:customStyle="1" w:styleId="HeaderChar">
    <w:name w:val="Header Char"/>
    <w:basedOn w:val="DefaultParagraphFont"/>
    <w:link w:val="Header"/>
    <w:uiPriority w:val="86"/>
    <w:semiHidden/>
    <w:rsid w:val="00F6794C"/>
    <w:rPr>
      <w:sz w:val="18"/>
      <w:lang w:val="en-US"/>
    </w:rPr>
  </w:style>
  <w:style w:type="paragraph" w:styleId="Footer">
    <w:name w:val="footer"/>
    <w:basedOn w:val="Normal"/>
    <w:link w:val="FooterChar"/>
    <w:uiPriority w:val="87"/>
    <w:semiHidden/>
    <w:rsid w:val="000D1F65"/>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87"/>
    <w:semiHidden/>
    <w:rsid w:val="00F6794C"/>
    <w:rPr>
      <w:sz w:val="18"/>
      <w:lang w:val="en-US"/>
    </w:rPr>
  </w:style>
  <w:style w:type="table" w:customStyle="1" w:styleId="Systemiq-Table1">
    <w:name w:val="Systemiq - Table 1"/>
    <w:basedOn w:val="TableNormal"/>
    <w:uiPriority w:val="99"/>
    <w:rsid w:val="00954D7F"/>
    <w:pPr>
      <w:spacing w:after="0" w:line="240" w:lineRule="auto"/>
    </w:pPr>
    <w:rPr>
      <w:color w:val="595959" w:themeColor="text1" w:themeTint="A6"/>
      <w:sz w:val="20"/>
    </w:rPr>
    <w:tblPr>
      <w:tblStyleRowBandSize w:val="1"/>
      <w:tblBorders>
        <w:bottom w:val="single" w:sz="2" w:space="0" w:color="E4E5E3" w:themeColor="accent6" w:themeTint="66"/>
        <w:insideH w:val="single" w:sz="2" w:space="0" w:color="E4E5E3" w:themeColor="accent6" w:themeTint="66"/>
        <w:insideV w:val="single" w:sz="2" w:space="0" w:color="E4E5E3" w:themeColor="accent6" w:themeTint="66"/>
      </w:tblBorders>
    </w:tblPr>
    <w:tblStylePr w:type="firstRow">
      <w:pPr>
        <w:wordWrap/>
        <w:spacing w:beforeLines="0" w:before="0" w:beforeAutospacing="0" w:afterLines="0" w:after="0" w:afterAutospacing="0" w:line="240" w:lineRule="auto"/>
        <w:ind w:leftChars="0" w:left="0" w:rightChars="0" w:right="0" w:firstLineChars="0" w:firstLine="0"/>
        <w:jc w:val="left"/>
      </w:pPr>
      <w:rPr>
        <w:rFonts w:ascii="Bebas Kai" w:hAnsi="Bebas Kai"/>
        <w:b w:val="0"/>
        <w:i w:val="0"/>
        <w:color w:val="FFFFFF" w:themeColor="background1"/>
        <w:sz w:val="24"/>
        <w:u w:val="none"/>
      </w:rPr>
      <w:tblPr/>
      <w:tcPr>
        <w:shd w:val="clear" w:color="auto" w:fill="00146D" w:themeFill="text2"/>
        <w:noWrap/>
        <w:tcMar>
          <w:top w:w="28" w:type="dxa"/>
          <w:left w:w="113" w:type="dxa"/>
          <w:bottom w:w="28" w:type="dxa"/>
          <w:right w:w="113" w:type="dxa"/>
        </w:tcMar>
        <w:vAlign w:val="center"/>
      </w:tcPr>
    </w:tblStylePr>
  </w:style>
  <w:style w:type="table" w:styleId="PlainTable1">
    <w:name w:val="Plain Table 1"/>
    <w:basedOn w:val="TableNormal"/>
    <w:uiPriority w:val="41"/>
    <w:rsid w:val="004D031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stemiq-Table3">
    <w:name w:val="Systemiq - Table 3"/>
    <w:basedOn w:val="TableNormal"/>
    <w:uiPriority w:val="99"/>
    <w:rsid w:val="00954D7F"/>
    <w:pPr>
      <w:spacing w:after="0" w:line="240" w:lineRule="auto"/>
    </w:pPr>
    <w:rPr>
      <w:color w:val="595959" w:themeColor="text1" w:themeTint="A6"/>
      <w:sz w:val="20"/>
    </w:rPr>
    <w:tblPr>
      <w:tblBorders>
        <w:insideH w:val="single" w:sz="2" w:space="0" w:color="D6D8D6" w:themeColor="accent6" w:themeTint="99"/>
        <w:insideV w:val="single" w:sz="2" w:space="0" w:color="D6D8D6" w:themeColor="accent6" w:themeTint="99"/>
      </w:tblBorders>
    </w:tblPr>
    <w:tblStylePr w:type="firstRow">
      <w:pPr>
        <w:wordWrap/>
        <w:spacing w:beforeLines="0" w:before="0" w:beforeAutospacing="0" w:afterLines="0" w:after="0" w:afterAutospacing="0" w:line="240" w:lineRule="auto"/>
        <w:ind w:leftChars="0" w:left="0" w:rightChars="0" w:right="0" w:firstLineChars="0" w:firstLine="0"/>
        <w:jc w:val="left"/>
      </w:pPr>
      <w:rPr>
        <w:rFonts w:ascii="Bebas Kai" w:hAnsi="Bebas Kai"/>
        <w:b w:val="0"/>
        <w:i w:val="0"/>
        <w:color w:val="00146D" w:themeColor="text2"/>
        <w:sz w:val="24"/>
        <w:u w:val="none"/>
      </w:rPr>
      <w:tblPr/>
      <w:tcPr>
        <w:tcBorders>
          <w:top w:val="nil"/>
          <w:left w:val="nil"/>
          <w:bottom w:val="single" w:sz="8" w:space="0" w:color="00146D" w:themeColor="text2"/>
          <w:right w:val="nil"/>
          <w:insideH w:val="nil"/>
          <w:insideV w:val="nil"/>
          <w:tl2br w:val="nil"/>
          <w:tr2bl w:val="nil"/>
        </w:tcBorders>
        <w:shd w:val="clear" w:color="auto" w:fill="FFFFFF" w:themeFill="background1"/>
      </w:tcPr>
    </w:tblStylePr>
  </w:style>
  <w:style w:type="paragraph" w:styleId="TOCHeading">
    <w:name w:val="TOC Heading"/>
    <w:basedOn w:val="Heading1"/>
    <w:next w:val="Normal"/>
    <w:uiPriority w:val="38"/>
    <w:semiHidden/>
    <w:qFormat/>
    <w:rsid w:val="005A7408"/>
    <w:pPr>
      <w:spacing w:line="240" w:lineRule="atLeast"/>
      <w:outlineLvl w:val="9"/>
    </w:pPr>
    <w:rPr>
      <w:sz w:val="32"/>
      <w:lang w:val="en-US"/>
    </w:rPr>
  </w:style>
  <w:style w:type="paragraph" w:styleId="TOC1">
    <w:name w:val="toc 1"/>
    <w:basedOn w:val="Normal"/>
    <w:next w:val="Normal"/>
    <w:autoRedefine/>
    <w:uiPriority w:val="39"/>
    <w:semiHidden/>
    <w:rsid w:val="005A7408"/>
    <w:pPr>
      <w:spacing w:after="100"/>
    </w:pPr>
    <w:rPr>
      <w:color w:val="00146D" w:themeColor="text2"/>
    </w:rPr>
  </w:style>
  <w:style w:type="paragraph" w:styleId="TOC2">
    <w:name w:val="toc 2"/>
    <w:basedOn w:val="Normal"/>
    <w:next w:val="Normal"/>
    <w:autoRedefine/>
    <w:uiPriority w:val="39"/>
    <w:semiHidden/>
    <w:rsid w:val="005A7408"/>
    <w:pPr>
      <w:spacing w:after="100"/>
      <w:ind w:left="216"/>
    </w:pPr>
    <w:rPr>
      <w:color w:val="000000" w:themeColor="text1"/>
    </w:rPr>
  </w:style>
  <w:style w:type="paragraph" w:styleId="TOC3">
    <w:name w:val="toc 3"/>
    <w:basedOn w:val="Normal"/>
    <w:next w:val="Normal"/>
    <w:autoRedefine/>
    <w:uiPriority w:val="39"/>
    <w:semiHidden/>
    <w:rsid w:val="005A7408"/>
    <w:pPr>
      <w:spacing w:after="100"/>
      <w:ind w:left="446"/>
    </w:pPr>
  </w:style>
  <w:style w:type="character" w:styleId="CommentReference">
    <w:name w:val="annotation reference"/>
    <w:basedOn w:val="DefaultParagraphFont"/>
    <w:uiPriority w:val="99"/>
    <w:semiHidden/>
    <w:unhideWhenUsed/>
    <w:rsid w:val="00C16227"/>
    <w:rPr>
      <w:sz w:val="16"/>
      <w:szCs w:val="16"/>
    </w:rPr>
  </w:style>
  <w:style w:type="paragraph" w:styleId="CommentText">
    <w:name w:val="annotation text"/>
    <w:basedOn w:val="Normal"/>
    <w:link w:val="CommentTextChar"/>
    <w:uiPriority w:val="99"/>
    <w:unhideWhenUsed/>
    <w:rsid w:val="00C16227"/>
    <w:pPr>
      <w:spacing w:line="240" w:lineRule="auto"/>
    </w:pPr>
    <w:rPr>
      <w:sz w:val="20"/>
      <w:szCs w:val="20"/>
    </w:rPr>
  </w:style>
  <w:style w:type="character" w:customStyle="1" w:styleId="CommentTextChar">
    <w:name w:val="Comment Text Char"/>
    <w:basedOn w:val="DefaultParagraphFont"/>
    <w:link w:val="CommentText"/>
    <w:uiPriority w:val="99"/>
    <w:rsid w:val="00C16227"/>
    <w:rPr>
      <w:sz w:val="20"/>
      <w:szCs w:val="20"/>
      <w:lang w:val="en-US"/>
    </w:rPr>
  </w:style>
  <w:style w:type="paragraph" w:styleId="CommentSubject">
    <w:name w:val="annotation subject"/>
    <w:basedOn w:val="CommentText"/>
    <w:next w:val="CommentText"/>
    <w:link w:val="CommentSubjectChar"/>
    <w:uiPriority w:val="99"/>
    <w:semiHidden/>
    <w:unhideWhenUsed/>
    <w:rsid w:val="00C16227"/>
    <w:rPr>
      <w:b/>
      <w:bCs/>
    </w:rPr>
  </w:style>
  <w:style w:type="character" w:customStyle="1" w:styleId="CommentSubjectChar">
    <w:name w:val="Comment Subject Char"/>
    <w:basedOn w:val="CommentTextChar"/>
    <w:link w:val="CommentSubject"/>
    <w:uiPriority w:val="99"/>
    <w:semiHidden/>
    <w:rsid w:val="00C16227"/>
    <w:rPr>
      <w:b/>
      <w:bCs/>
      <w:sz w:val="20"/>
      <w:szCs w:val="20"/>
      <w:lang w:val="en-US"/>
    </w:rPr>
  </w:style>
  <w:style w:type="character" w:styleId="Mention">
    <w:name w:val="Mention"/>
    <w:basedOn w:val="DefaultParagraphFont"/>
    <w:uiPriority w:val="99"/>
    <w:unhideWhenUsed/>
    <w:rsid w:val="009C069F"/>
    <w:rPr>
      <w:color w:val="2B579A"/>
      <w:shd w:val="clear" w:color="auto" w:fill="E1DFDD"/>
    </w:rPr>
  </w:style>
  <w:style w:type="character" w:styleId="Hyperlink">
    <w:name w:val="Hyperlink"/>
    <w:basedOn w:val="DefaultParagraphFont"/>
    <w:uiPriority w:val="99"/>
    <w:unhideWhenUsed/>
    <w:rsid w:val="004A791A"/>
    <w:rPr>
      <w:color w:val="00146D" w:themeColor="hyperlink"/>
      <w:u w:val="single"/>
    </w:rPr>
  </w:style>
  <w:style w:type="character" w:styleId="UnresolvedMention">
    <w:name w:val="Unresolved Mention"/>
    <w:basedOn w:val="DefaultParagraphFont"/>
    <w:uiPriority w:val="99"/>
    <w:semiHidden/>
    <w:unhideWhenUsed/>
    <w:rsid w:val="004A791A"/>
    <w:rPr>
      <w:color w:val="605E5C"/>
      <w:shd w:val="clear" w:color="auto" w:fill="E1DFDD"/>
    </w:rPr>
  </w:style>
  <w:style w:type="character" w:styleId="FollowedHyperlink">
    <w:name w:val="FollowedHyperlink"/>
    <w:basedOn w:val="DefaultParagraphFont"/>
    <w:uiPriority w:val="99"/>
    <w:semiHidden/>
    <w:unhideWhenUsed/>
    <w:rsid w:val="00E37CCE"/>
    <w:rPr>
      <w:color w:val="B2D235" w:themeColor="followedHyperlink"/>
      <w:u w:val="single"/>
    </w:rPr>
  </w:style>
  <w:style w:type="paragraph" w:styleId="Revision">
    <w:name w:val="Revision"/>
    <w:hidden/>
    <w:uiPriority w:val="99"/>
    <w:semiHidden/>
    <w:rsid w:val="00B74515"/>
    <w:pPr>
      <w:spacing w:after="0" w:line="240" w:lineRule="auto"/>
    </w:pPr>
    <w:rPr>
      <w:lang w:val="en-US"/>
    </w:rPr>
  </w:style>
  <w:style w:type="paragraph" w:styleId="FootnoteText">
    <w:name w:val="footnote text"/>
    <w:basedOn w:val="Normal"/>
    <w:link w:val="FootnoteTextChar"/>
    <w:uiPriority w:val="99"/>
    <w:unhideWhenUsed/>
    <w:rsid w:val="008F400C"/>
    <w:pPr>
      <w:spacing w:after="0" w:line="240" w:lineRule="auto"/>
    </w:pPr>
    <w:rPr>
      <w:sz w:val="20"/>
      <w:szCs w:val="20"/>
    </w:rPr>
  </w:style>
  <w:style w:type="character" w:customStyle="1" w:styleId="FootnoteTextChar">
    <w:name w:val="Footnote Text Char"/>
    <w:basedOn w:val="DefaultParagraphFont"/>
    <w:link w:val="FootnoteText"/>
    <w:uiPriority w:val="99"/>
    <w:rsid w:val="008F400C"/>
    <w:rPr>
      <w:sz w:val="20"/>
      <w:szCs w:val="20"/>
      <w:lang w:val="en-US"/>
    </w:rPr>
  </w:style>
  <w:style w:type="character" w:styleId="FootnoteReference">
    <w:name w:val="footnote reference"/>
    <w:basedOn w:val="DefaultParagraphFont"/>
    <w:uiPriority w:val="99"/>
    <w:semiHidden/>
    <w:unhideWhenUsed/>
    <w:rsid w:val="008F40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57867">
      <w:bodyDiv w:val="1"/>
      <w:marLeft w:val="0"/>
      <w:marRight w:val="0"/>
      <w:marTop w:val="0"/>
      <w:marBottom w:val="0"/>
      <w:divBdr>
        <w:top w:val="none" w:sz="0" w:space="0" w:color="auto"/>
        <w:left w:val="none" w:sz="0" w:space="0" w:color="auto"/>
        <w:bottom w:val="none" w:sz="0" w:space="0" w:color="auto"/>
        <w:right w:val="none" w:sz="0" w:space="0" w:color="auto"/>
      </w:divBdr>
    </w:div>
    <w:div w:id="428045266">
      <w:bodyDiv w:val="1"/>
      <w:marLeft w:val="0"/>
      <w:marRight w:val="0"/>
      <w:marTop w:val="0"/>
      <w:marBottom w:val="0"/>
      <w:divBdr>
        <w:top w:val="none" w:sz="0" w:space="0" w:color="auto"/>
        <w:left w:val="none" w:sz="0" w:space="0" w:color="auto"/>
        <w:bottom w:val="none" w:sz="0" w:space="0" w:color="auto"/>
        <w:right w:val="none" w:sz="0" w:space="0" w:color="auto"/>
      </w:divBdr>
    </w:div>
    <w:div w:id="1452095100">
      <w:bodyDiv w:val="1"/>
      <w:marLeft w:val="0"/>
      <w:marRight w:val="0"/>
      <w:marTop w:val="0"/>
      <w:marBottom w:val="0"/>
      <w:divBdr>
        <w:top w:val="none" w:sz="0" w:space="0" w:color="auto"/>
        <w:left w:val="none" w:sz="0" w:space="0" w:color="auto"/>
        <w:bottom w:val="none" w:sz="0" w:space="0" w:color="auto"/>
        <w:right w:val="none" w:sz="0" w:space="0" w:color="auto"/>
      </w:divBdr>
    </w:div>
    <w:div w:id="1477725479">
      <w:bodyDiv w:val="1"/>
      <w:marLeft w:val="0"/>
      <w:marRight w:val="0"/>
      <w:marTop w:val="0"/>
      <w:marBottom w:val="0"/>
      <w:divBdr>
        <w:top w:val="none" w:sz="0" w:space="0" w:color="auto"/>
        <w:left w:val="none" w:sz="0" w:space="0" w:color="auto"/>
        <w:bottom w:val="none" w:sz="0" w:space="0" w:color="auto"/>
        <w:right w:val="none" w:sz="0" w:space="0" w:color="auto"/>
      </w:divBdr>
      <w:divsChild>
        <w:div w:id="1011880787">
          <w:marLeft w:val="288"/>
          <w:marRight w:val="0"/>
          <w:marTop w:val="200"/>
          <w:marBottom w:val="0"/>
          <w:divBdr>
            <w:top w:val="none" w:sz="0" w:space="0" w:color="auto"/>
            <w:left w:val="none" w:sz="0" w:space="0" w:color="auto"/>
            <w:bottom w:val="none" w:sz="0" w:space="0" w:color="auto"/>
            <w:right w:val="none" w:sz="0" w:space="0" w:color="auto"/>
          </w:divBdr>
        </w:div>
        <w:div w:id="1392727580">
          <w:marLeft w:val="288"/>
          <w:marRight w:val="0"/>
          <w:marTop w:val="200"/>
          <w:marBottom w:val="0"/>
          <w:divBdr>
            <w:top w:val="none" w:sz="0" w:space="0" w:color="auto"/>
            <w:left w:val="none" w:sz="0" w:space="0" w:color="auto"/>
            <w:bottom w:val="none" w:sz="0" w:space="0" w:color="auto"/>
            <w:right w:val="none" w:sz="0" w:space="0" w:color="auto"/>
          </w:divBdr>
        </w:div>
      </w:divsChild>
    </w:div>
    <w:div w:id="200246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nergy-transitions.org/publications/planning-and-permitting/" TargetMode="External"/><Relationship Id="rId2" Type="http://schemas.openxmlformats.org/officeDocument/2006/relationships/hyperlink" Target="https://www.energy-transitions.org/publications/credible-contributions-bolder-plans-for-ndcs/" TargetMode="External"/><Relationship Id="rId1" Type="http://schemas.openxmlformats.org/officeDocument/2006/relationships/hyperlink" Target="https://www.energy-transitions.org/publications/better-faster-cleaner-supply-chains/" TargetMode="External"/><Relationship Id="rId5" Type="http://schemas.openxmlformats.org/officeDocument/2006/relationships/hyperlink" Target="chrome-extension://efaidnbmnnnibpcajpcglclefindmkaj/https:/www.energy-transitions.org/wp-content/uploads/2023/06/ETC_Barriers_SupplyChains_EUToolkit.pdf" TargetMode="External"/><Relationship Id="rId4" Type="http://schemas.openxmlformats.org/officeDocument/2006/relationships/hyperlink" Target="https://www.energy-transitions.org/publications/building-energy-secu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eDortch\AppData\Local\Temp\Templafy\WordVsto\5fmgyhaf.dotx" TargetMode="External"/></Relationships>
</file>

<file path=word/theme/theme1.xml><?xml version="1.0" encoding="utf-8"?>
<a:theme xmlns:a="http://schemas.openxmlformats.org/drawingml/2006/main" name="Office Theme">
  <a:themeElements>
    <a:clrScheme name="SystemIQ 2023">
      <a:dk1>
        <a:srgbClr val="000000"/>
      </a:dk1>
      <a:lt1>
        <a:srgbClr val="FFFFFF"/>
      </a:lt1>
      <a:dk2>
        <a:srgbClr val="00146D"/>
      </a:dk2>
      <a:lt2>
        <a:srgbClr val="FFFFFF"/>
      </a:lt2>
      <a:accent1>
        <a:srgbClr val="00B0F0"/>
      </a:accent1>
      <a:accent2>
        <a:srgbClr val="B2D235"/>
      </a:accent2>
      <a:accent3>
        <a:srgbClr val="FEDD00"/>
      </a:accent3>
      <a:accent4>
        <a:srgbClr val="FF6D70"/>
      </a:accent4>
      <a:accent5>
        <a:srgbClr val="585854"/>
      </a:accent5>
      <a:accent6>
        <a:srgbClr val="BCBEBB"/>
      </a:accent6>
      <a:hlink>
        <a:srgbClr val="00146D"/>
      </a:hlink>
      <a:folHlink>
        <a:srgbClr val="B2D235"/>
      </a:folHlink>
    </a:clrScheme>
    <a:fontScheme name="SystemIQ 2023">
      <a:majorFont>
        <a:latin typeface="Bebas Kai"/>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f44a7d-d6f5-4042-8792-19cb5f90fb06" xsi:nil="true"/>
    <lcf76f155ced4ddcb4097134ff3c332f xmlns="0b81b9ab-ce3e-4e53-a6e1-db2c872d8d85">
      <Terms xmlns="http://schemas.microsoft.com/office/infopath/2007/PartnerControls"/>
    </lcf76f155ced4ddcb4097134ff3c332f>
  </documentManagement>
</p:properties>
</file>

<file path=customXml/item2.xml><?xml version="1.0" encoding="utf-8"?>
<TemplafyTemplateConfiguration><![CDATA[{"elementsMetadata":[],"transformationConfigurations":[],"templateName":"Systemiq blank Word template","templateDescription":"","enableDocumentContentUpdater":false,"version":"2.0"}]]></TemplafyTemplate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CDD6E6CA2F5B44A1514221FA900CB8" ma:contentTypeVersion="15" ma:contentTypeDescription="Create a new document." ma:contentTypeScope="" ma:versionID="266f0a4dc149496e4b7a5ce224b58891">
  <xsd:schema xmlns:xsd="http://www.w3.org/2001/XMLSchema" xmlns:xs="http://www.w3.org/2001/XMLSchema" xmlns:p="http://schemas.microsoft.com/office/2006/metadata/properties" xmlns:ns2="0b81b9ab-ce3e-4e53-a6e1-db2c872d8d85" xmlns:ns3="f6f44a7d-d6f5-4042-8792-19cb5f90fb06" targetNamespace="http://schemas.microsoft.com/office/2006/metadata/properties" ma:root="true" ma:fieldsID="d0d514c133d3442d4d107d49e6784fbb" ns2:_="" ns3:_="">
    <xsd:import namespace="0b81b9ab-ce3e-4e53-a6e1-db2c872d8d85"/>
    <xsd:import namespace="f6f44a7d-d6f5-4042-8792-19cb5f90fb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1b9ab-ce3e-4e53-a6e1-db2c872d8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fd27762-0251-4a48-b483-e1f79c0a654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44a7d-d6f5-4042-8792-19cb5f90fb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f1cb957-661d-4683-93b6-7eb55a432899}" ma:internalName="TaxCatchAll" ma:showField="CatchAllData" ma:web="f6f44a7d-d6f5-4042-8792-19cb5f90f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FormConfiguration><![CDATA[{"formFields":[],"formDataEntries":[]}]]></TemplafyFormConfiguratio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35E6B-D957-45D9-A960-275358498AA5}">
  <ds:schemaRefs>
    <ds:schemaRef ds:uri="http://schemas.microsoft.com/office/2006/metadata/properties"/>
    <ds:schemaRef ds:uri="http://schemas.microsoft.com/office/infopath/2007/PartnerControls"/>
    <ds:schemaRef ds:uri="f6f44a7d-d6f5-4042-8792-19cb5f90fb06"/>
    <ds:schemaRef ds:uri="0b81b9ab-ce3e-4e53-a6e1-db2c872d8d85"/>
  </ds:schemaRefs>
</ds:datastoreItem>
</file>

<file path=customXml/itemProps2.xml><?xml version="1.0" encoding="utf-8"?>
<ds:datastoreItem xmlns:ds="http://schemas.openxmlformats.org/officeDocument/2006/customXml" ds:itemID="{E0AC0417-47DD-4EC4-BFD6-F743858D79A1}">
  <ds:schemaRefs/>
</ds:datastoreItem>
</file>

<file path=customXml/itemProps3.xml><?xml version="1.0" encoding="utf-8"?>
<ds:datastoreItem xmlns:ds="http://schemas.openxmlformats.org/officeDocument/2006/customXml" ds:itemID="{B01E4E45-005E-420D-AE76-DC7CDB68C4BB}">
  <ds:schemaRefs>
    <ds:schemaRef ds:uri="http://schemas.microsoft.com/sharepoint/v3/contenttype/forms"/>
  </ds:schemaRefs>
</ds:datastoreItem>
</file>

<file path=customXml/itemProps4.xml><?xml version="1.0" encoding="utf-8"?>
<ds:datastoreItem xmlns:ds="http://schemas.openxmlformats.org/officeDocument/2006/customXml" ds:itemID="{A0608694-2CA1-4B09-8DEF-88CF6DDE0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1b9ab-ce3e-4e53-a6e1-db2c872d8d85"/>
    <ds:schemaRef ds:uri="f6f44a7d-d6f5-4042-8792-19cb5f90f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319B7-D257-4A84-BBA7-A759582954ED}">
  <ds:schemaRefs/>
</ds:datastoreItem>
</file>

<file path=customXml/itemProps6.xml><?xml version="1.0" encoding="utf-8"?>
<ds:datastoreItem xmlns:ds="http://schemas.openxmlformats.org/officeDocument/2006/customXml" ds:itemID="{C384D3EE-0DE0-4E20-99ED-D093E832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5fmgyhaf</Template>
  <TotalTime>0</TotalTime>
  <Pages>1</Pages>
  <Words>3761</Words>
  <Characters>21444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Systemiq blank Word template</vt:lpstr>
    </vt:vector>
  </TitlesOfParts>
  <Company/>
  <LinksUpToDate>false</LinksUpToDate>
  <CharactersWithSpaces>25155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Systemiq blank Word template</dc:title>
  <dc:subject/>
  <dc:creator>Rose Dortch</dc:creator>
  <cp:keywords/>
  <dc:description>Systemiq blank Word template Mar23</dc:description>
  <cp:lastModifiedBy>Viktoriia Petriv</cp:lastModifiedBy>
  <cp:revision>3</cp:revision>
  <cp:lastPrinted>2024-10-08T19:10:00Z</cp:lastPrinted>
  <dcterms:created xsi:type="dcterms:W3CDTF">2024-10-17T07:55:00Z</dcterms:created>
  <dcterms:modified xsi:type="dcterms:W3CDTF">2024-10-17T07:55:00Z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systemiq</vt:lpwstr>
  </property>
  <property fmtid="{D5CDD505-2E9C-101B-9397-08002B2CF9AE}" pid="3" name="TemplafyTemplateId">
    <vt:lpwstr>638143235326514574</vt:lpwstr>
  </property>
  <property fmtid="{D5CDD505-2E9C-101B-9397-08002B2CF9AE}" pid="4" name="TemplafyUserProfileId">
    <vt:lpwstr>637934022434689041</vt:lpwstr>
  </property>
  <property fmtid="{D5CDD505-2E9C-101B-9397-08002B2CF9AE}" pid="5" name="TemplafyFromBlank">
    <vt:bool>true</vt:bool>
  </property>
  <property fmtid="{D5CDD505-2E9C-101B-9397-08002B2CF9AE}" pid="6" name="ContentTypeId">
    <vt:lpwstr>0x010100FCCDD6E6CA2F5B44A1514221FA900CB8</vt:lpwstr>
  </property>
  <property fmtid="{D5CDD505-2E9C-101B-9397-08002B2CF9AE}" pid="7" name="MediaServiceImageTags">
    <vt:lpwstr/>
  </property>
</Properties>
</file>